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121920</wp:posOffset>
            </wp:positionV>
            <wp:extent cx="14973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133350</wp:posOffset>
            </wp:positionV>
            <wp:extent cx="14973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Pursuant to Section 13 or Section 15(d)</w:t>
      </w:r>
    </w:p>
    <w:p>
      <w:pPr>
        <w:spacing w:after="0" w:line="1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150495</wp:posOffset>
            </wp:positionV>
            <wp:extent cx="14973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SYMBOTIC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134620</wp:posOffset>
            </wp:positionV>
            <wp:extent cx="14973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03" w:lineRule="exact"/>
        <w:rPr>
          <w:sz w:val="24"/>
          <w:szCs w:val="24"/>
          <w:color w:val="auto"/>
        </w:rPr>
      </w:pPr>
    </w:p>
    <w:tbl>
      <w:tblPr>
        <w:tblLayout w:type="fixed"/>
        <w:tblInd w:w="1280" w:type="dxa"/>
        <w:tblCellMar>
          <w:top w:w="0" w:type="dxa"/>
          <w:left w:w="0" w:type="dxa"/>
          <w:bottom w:w="0" w:type="dxa"/>
          <w:right w:w="0" w:type="dxa"/>
        </w:tblCellMar>
      </w:tblPr>
      <w:tr>
        <w:trPr>
          <w:trHeight w:val="159"/>
        </w:trPr>
        <w:tc>
          <w:tcPr>
            <w:tcW w:w="2340" w:type="dxa"/>
            <w:vAlign w:val="bottom"/>
          </w:tcPr>
          <w:p>
            <w:pPr>
              <w:jc w:val="center"/>
              <w:ind w:right="70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4200" w:type="dxa"/>
            <w:vAlign w:val="bottom"/>
          </w:tcPr>
          <w:p>
            <w:pPr>
              <w:ind w:left="1740"/>
              <w:spacing w:after="0"/>
              <w:rPr>
                <w:sz w:val="20"/>
                <w:szCs w:val="20"/>
                <w:color w:val="auto"/>
              </w:rPr>
            </w:pPr>
            <w:r>
              <w:rPr>
                <w:rFonts w:ascii="Times New Roman" w:cs="Times New Roman" w:eastAsia="Times New Roman" w:hAnsi="Times New Roman"/>
                <w:sz w:val="12"/>
                <w:szCs w:val="12"/>
                <w:b w:val="1"/>
                <w:bCs w:val="1"/>
                <w:color w:val="auto"/>
              </w:rPr>
              <w:t>001-40175</w:t>
            </w:r>
          </w:p>
        </w:tc>
        <w:tc>
          <w:tcPr>
            <w:tcW w:w="1860" w:type="dxa"/>
            <w:vAlign w:val="bottom"/>
          </w:tcPr>
          <w:p>
            <w:pPr>
              <w:jc w:val="center"/>
              <w:ind w:left="827"/>
              <w:spacing w:after="0"/>
              <w:rPr>
                <w:sz w:val="20"/>
                <w:szCs w:val="20"/>
                <w:color w:val="auto"/>
              </w:rPr>
            </w:pPr>
            <w:r>
              <w:rPr>
                <w:rFonts w:ascii="Times New Roman" w:cs="Times New Roman" w:eastAsia="Times New Roman" w:hAnsi="Times New Roman"/>
                <w:sz w:val="12"/>
                <w:szCs w:val="12"/>
                <w:b w:val="1"/>
                <w:bCs w:val="1"/>
                <w:color w:val="auto"/>
                <w:w w:val="99"/>
              </w:rPr>
              <w:t>98-1572401</w:t>
            </w:r>
          </w:p>
        </w:tc>
      </w:tr>
      <w:tr>
        <w:trPr>
          <w:trHeight w:val="101"/>
        </w:trPr>
        <w:tc>
          <w:tcPr>
            <w:tcW w:w="2340" w:type="dxa"/>
            <w:vAlign w:val="bottom"/>
          </w:tcPr>
          <w:p>
            <w:pPr>
              <w:jc w:val="center"/>
              <w:ind w:right="686"/>
              <w:spacing w:after="0" w:line="101"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4200" w:type="dxa"/>
            <w:vAlign w:val="bottom"/>
          </w:tcPr>
          <w:p>
            <w:pPr>
              <w:ind w:left="1740"/>
              <w:spacing w:after="0" w:line="101"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860" w:type="dxa"/>
            <w:vAlign w:val="bottom"/>
          </w:tcPr>
          <w:p>
            <w:pPr>
              <w:jc w:val="center"/>
              <w:ind w:left="847"/>
              <w:spacing w:after="0" w:line="101" w:lineRule="exact"/>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25"/>
        </w:trPr>
        <w:tc>
          <w:tcPr>
            <w:tcW w:w="2340" w:type="dxa"/>
            <w:vAlign w:val="bottom"/>
          </w:tcPr>
          <w:p>
            <w:pPr>
              <w:jc w:val="center"/>
              <w:ind w:right="706"/>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4200" w:type="dxa"/>
            <w:vAlign w:val="bottom"/>
          </w:tcPr>
          <w:p>
            <w:pPr>
              <w:ind w:left="1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860" w:type="dxa"/>
            <w:vAlign w:val="bottom"/>
          </w:tcPr>
          <w:p>
            <w:pPr>
              <w:jc w:val="center"/>
              <w:ind w:left="847"/>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227"/>
        </w:trPr>
        <w:tc>
          <w:tcPr>
            <w:tcW w:w="2340" w:type="dxa"/>
            <w:vAlign w:val="bottom"/>
          </w:tcPr>
          <w:p>
            <w:pPr>
              <w:jc w:val="center"/>
              <w:ind w:right="686"/>
              <w:spacing w:after="0"/>
              <w:rPr>
                <w:sz w:val="20"/>
                <w:szCs w:val="20"/>
                <w:color w:val="auto"/>
              </w:rPr>
            </w:pPr>
            <w:r>
              <w:rPr>
                <w:rFonts w:ascii="Times New Roman" w:cs="Times New Roman" w:eastAsia="Times New Roman" w:hAnsi="Times New Roman"/>
                <w:sz w:val="12"/>
                <w:szCs w:val="12"/>
                <w:b w:val="1"/>
                <w:bCs w:val="1"/>
                <w:color w:val="auto"/>
                <w:w w:val="99"/>
              </w:rPr>
              <w:t>200 Research Drive</w:t>
            </w: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77"/>
        </w:trPr>
        <w:tc>
          <w:tcPr>
            <w:tcW w:w="2340" w:type="dxa"/>
            <w:vAlign w:val="bottom"/>
          </w:tcPr>
          <w:p>
            <w:pPr>
              <w:jc w:val="center"/>
              <w:ind w:right="686"/>
              <w:spacing w:after="0"/>
              <w:rPr>
                <w:sz w:val="20"/>
                <w:szCs w:val="20"/>
                <w:color w:val="auto"/>
              </w:rPr>
            </w:pPr>
            <w:r>
              <w:rPr>
                <w:rFonts w:ascii="Times New Roman" w:cs="Times New Roman" w:eastAsia="Times New Roman" w:hAnsi="Times New Roman"/>
                <w:sz w:val="12"/>
                <w:szCs w:val="12"/>
                <w:b w:val="1"/>
                <w:bCs w:val="1"/>
                <w:color w:val="auto"/>
              </w:rPr>
              <w:t>Wilmington, MA</w:t>
            </w:r>
          </w:p>
        </w:tc>
        <w:tc>
          <w:tcPr>
            <w:tcW w:w="4200" w:type="dxa"/>
            <w:vAlign w:val="bottom"/>
          </w:tcPr>
          <w:p>
            <w:pPr>
              <w:spacing w:after="0"/>
              <w:rPr>
                <w:sz w:val="15"/>
                <w:szCs w:val="15"/>
                <w:color w:val="auto"/>
              </w:rPr>
            </w:pPr>
          </w:p>
        </w:tc>
        <w:tc>
          <w:tcPr>
            <w:tcW w:w="1860" w:type="dxa"/>
            <w:vAlign w:val="bottom"/>
          </w:tcPr>
          <w:p>
            <w:pPr>
              <w:jc w:val="center"/>
              <w:ind w:left="867"/>
              <w:spacing w:after="0"/>
              <w:rPr>
                <w:sz w:val="20"/>
                <w:szCs w:val="20"/>
                <w:color w:val="auto"/>
              </w:rPr>
            </w:pPr>
            <w:r>
              <w:rPr>
                <w:rFonts w:ascii="Times New Roman" w:cs="Times New Roman" w:eastAsia="Times New Roman" w:hAnsi="Times New Roman"/>
                <w:sz w:val="12"/>
                <w:szCs w:val="12"/>
                <w:b w:val="1"/>
                <w:bCs w:val="1"/>
                <w:color w:val="auto"/>
                <w:w w:val="99"/>
              </w:rPr>
              <w:t>01887</w:t>
            </w:r>
          </w:p>
        </w:tc>
      </w:tr>
      <w:tr>
        <w:trPr>
          <w:trHeight w:val="136"/>
        </w:trPr>
        <w:tc>
          <w:tcPr>
            <w:tcW w:w="2340" w:type="dxa"/>
            <w:vAlign w:val="bottom"/>
          </w:tcPr>
          <w:p>
            <w:pPr>
              <w:jc w:val="center"/>
              <w:ind w:right="68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4200" w:type="dxa"/>
            <w:vAlign w:val="bottom"/>
          </w:tcPr>
          <w:p>
            <w:pPr>
              <w:spacing w:after="0"/>
              <w:rPr>
                <w:sz w:val="11"/>
                <w:szCs w:val="11"/>
                <w:color w:val="auto"/>
              </w:rPr>
            </w:pPr>
          </w:p>
        </w:tc>
        <w:tc>
          <w:tcPr>
            <w:tcW w:w="1860" w:type="dxa"/>
            <w:vAlign w:val="bottom"/>
          </w:tcPr>
          <w:p>
            <w:pPr>
              <w:jc w:val="center"/>
              <w:ind w:left="84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316"/>
        </w:trPr>
        <w:tc>
          <w:tcPr>
            <w:tcW w:w="2340" w:type="dxa"/>
            <w:vAlign w:val="bottom"/>
          </w:tcPr>
          <w:p>
            <w:pPr>
              <w:spacing w:after="0"/>
              <w:rPr>
                <w:sz w:val="24"/>
                <w:szCs w:val="24"/>
                <w:color w:val="auto"/>
              </w:rPr>
            </w:pPr>
          </w:p>
        </w:tc>
        <w:tc>
          <w:tcPr>
            <w:tcW w:w="4200" w:type="dxa"/>
            <w:vAlign w:val="bottom"/>
          </w:tcPr>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(978) 284-2800</w:t>
            </w:r>
          </w:p>
        </w:tc>
        <w:tc>
          <w:tcPr>
            <w:tcW w:w="1860" w:type="dxa"/>
            <w:vAlign w:val="bottom"/>
          </w:tcPr>
          <w:p>
            <w:pPr>
              <w:spacing w:after="0"/>
              <w:rPr>
                <w:sz w:val="24"/>
                <w:szCs w:val="24"/>
                <w:color w:val="auto"/>
              </w:rPr>
            </w:pPr>
          </w:p>
        </w:tc>
      </w:tr>
      <w:tr>
        <w:trPr>
          <w:trHeight w:val="125"/>
        </w:trPr>
        <w:tc>
          <w:tcPr>
            <w:tcW w:w="2340" w:type="dxa"/>
            <w:vAlign w:val="bottom"/>
          </w:tcPr>
          <w:p>
            <w:pPr>
              <w:spacing w:after="0"/>
              <w:rPr>
                <w:sz w:val="10"/>
                <w:szCs w:val="10"/>
                <w:color w:val="auto"/>
              </w:rPr>
            </w:pPr>
          </w:p>
        </w:tc>
        <w:tc>
          <w:tcPr>
            <w:tcW w:w="420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860" w:type="dxa"/>
            <w:vAlign w:val="bottom"/>
          </w:tcPr>
          <w:p>
            <w:pPr>
              <w:spacing w:after="0"/>
              <w:rPr>
                <w:sz w:val="10"/>
                <w:szCs w:val="10"/>
                <w:color w:val="auto"/>
              </w:rPr>
            </w:pPr>
          </w:p>
        </w:tc>
      </w:tr>
      <w:tr>
        <w:trPr>
          <w:trHeight w:val="244"/>
        </w:trPr>
        <w:tc>
          <w:tcPr>
            <w:tcW w:w="2340" w:type="dxa"/>
            <w:vAlign w:val="bottom"/>
          </w:tcPr>
          <w:p>
            <w:pPr>
              <w:spacing w:after="0"/>
              <w:rPr>
                <w:sz w:val="21"/>
                <w:szCs w:val="21"/>
                <w:color w:val="auto"/>
              </w:rPr>
            </w:pPr>
          </w:p>
        </w:tc>
        <w:tc>
          <w:tcPr>
            <w:tcW w:w="4200" w:type="dxa"/>
            <w:vAlign w:val="bottom"/>
          </w:tcPr>
          <w:p>
            <w:pPr>
              <w:jc w:val="center"/>
              <w:ind w:right="107"/>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860" w:type="dxa"/>
            <w:vAlign w:val="bottom"/>
          </w:tcPr>
          <w:p>
            <w:pPr>
              <w:spacing w:after="0"/>
              <w:rPr>
                <w:sz w:val="21"/>
                <w:szCs w:val="21"/>
                <w:color w:val="auto"/>
              </w:rPr>
            </w:pPr>
          </w:p>
        </w:tc>
      </w:tr>
      <w:tr>
        <w:trPr>
          <w:trHeight w:val="125"/>
        </w:trPr>
        <w:tc>
          <w:tcPr>
            <w:tcW w:w="2340" w:type="dxa"/>
            <w:vAlign w:val="bottom"/>
          </w:tcPr>
          <w:p>
            <w:pPr>
              <w:spacing w:after="0"/>
              <w:rPr>
                <w:sz w:val="10"/>
                <w:szCs w:val="10"/>
                <w:color w:val="auto"/>
              </w:rPr>
            </w:pPr>
          </w:p>
        </w:tc>
        <w:tc>
          <w:tcPr>
            <w:tcW w:w="420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5"/>
              </w:rPr>
              <w:t>(Former name or former address, if changed since last report)</w:t>
            </w:r>
          </w:p>
        </w:tc>
        <w:tc>
          <w:tcPr>
            <w:tcW w:w="186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14973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7330" cy="571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to the registrant under any of the following provisions:</w:t>
      </w:r>
    </w:p>
    <w:p>
      <w:pPr>
        <w:spacing w:after="0" w:line="114"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Name of each exchange</w:t>
            </w:r>
          </w:p>
        </w:tc>
      </w:tr>
      <w:tr>
        <w:trPr>
          <w:trHeight w:val="152"/>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10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12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Class A common stock, par value $0.0001 per share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9"/>
              </w:rPr>
              <w:t>SYM</w:t>
            </w:r>
          </w:p>
        </w:tc>
        <w:tc>
          <w:tcPr>
            <w:tcW w:w="3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bl>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or Rule 12b-2 of the Securities Exchange Act of 1934.</w:t>
      </w:r>
    </w:p>
    <w:p>
      <w:pPr>
        <w:spacing w:after="0" w:line="9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ind w:right="80"/>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62" w:right="319" w:bottom="1440" w:gutter="0" w:footer="0" w:header="0"/>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7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May 6, 2026, Symbotic Inc. (the “Company”) issued a press release announcing its financial results and other information for the fiscal quarter ended March 28, 2026. A copy of the press release is furnished as Exhibit 99.1 to this Current Report on Form 8-K and is incorporated by reference herein.</w:t>
      </w:r>
    </w:p>
    <w:p>
      <w:pPr>
        <w:spacing w:after="0" w:line="12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2"/>
          <w:szCs w:val="12"/>
          <w:color w:val="auto"/>
        </w:rPr>
        <w:t>The information furnished pursuant to this Item 2.02, including Exhibit 99.1, shall not be deemed “filed” for any purpose, including for the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except as shall be expressly set forth by specific reference in such filing.</w:t>
      </w:r>
    </w:p>
    <w:p>
      <w:pPr>
        <w:spacing w:after="0" w:line="3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On May 6, 2026, the Company posted on its investor relations website a supplemental presentation relating to its financial results and other information for the fiscal quarter ended March 28, 2026. A copy of the supplemental presentation is furnished as Exhibit 99.2 to this Current Report on Form 8-K and is incorporated by reference herein.</w:t>
      </w:r>
    </w:p>
    <w:p>
      <w:pPr>
        <w:spacing w:after="0" w:line="120"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2"/>
          <w:szCs w:val="12"/>
          <w:color w:val="auto"/>
        </w:rPr>
        <w:t>The information furnished pursuant to this Item 7.01, including Exhibit 99.2, shall not be deemed to be “filed” for any purpose, including for purposes of Section 18 of the Exchange Act, or otherwise be subject to the liabilities of that Section, nor shall it be deemed to be incorporated by reference in any filing under the Securities Act or the Exchange Act, regardless of any general incorporation language in such filing, except as shall be expressly set forth by specific reference in such filing.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620" w:type="dxa"/>
            <w:vAlign w:val="bottom"/>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07"/>
        </w:trPr>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99"/>
        </w:trPr>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w:t>
            </w:r>
          </w:p>
        </w:tc>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97"/>
              </w:rPr>
              <w:t>Description</w:t>
            </w:r>
          </w:p>
        </w:tc>
        <w:tc>
          <w:tcPr>
            <w:tcW w:w="5360" w:type="dxa"/>
            <w:vAlign w:val="bottom"/>
          </w:tcPr>
          <w:p>
            <w:pPr>
              <w:spacing w:after="0"/>
              <w:rPr>
                <w:sz w:val="24"/>
                <w:szCs w:val="24"/>
                <w:color w:val="auto"/>
              </w:rPr>
            </w:pPr>
          </w:p>
        </w:tc>
      </w:tr>
      <w:tr>
        <w:trPr>
          <w:trHeight w:val="311"/>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2"/>
                <w:szCs w:val="12"/>
                <w:color w:val="3051F2"/>
              </w:rPr>
              <w:t>Symbotic Inc. Press Release, dated May 6, 2026</w:t>
            </w: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shd w:val="clear" w:color="auto" w:fill="3051F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r>
      <w:tr>
        <w:trPr>
          <w:trHeight w:val="223"/>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2"/>
                <w:szCs w:val="12"/>
                <w:color w:val="3051F2"/>
              </w:rPr>
              <w:t>Symbotic Inc. Investor Presentation, dated May 6, 2026</w:t>
            </w: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80" w:type="dxa"/>
            <w:vAlign w:val="bottom"/>
            <w:gridSpan w:val="2"/>
            <w:shd w:val="clear" w:color="auto" w:fill="3051F2"/>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r>
      <w:tr>
        <w:trPr>
          <w:trHeight w:val="259"/>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6, 2026</w:t>
      </w:r>
    </w:p>
    <w:p>
      <w:pPr>
        <w:spacing w:after="0" w:line="168" w:lineRule="exact"/>
        <w:rPr>
          <w:sz w:val="20"/>
          <w:szCs w:val="20"/>
          <w:color w:val="auto"/>
        </w:rPr>
      </w:pPr>
    </w:p>
    <w:tbl>
      <w:tblPr>
        <w:tblLayout w:type="fixed"/>
        <w:tblInd w:w="2380" w:type="dxa"/>
        <w:tblCellMar>
          <w:top w:w="0" w:type="dxa"/>
          <w:left w:w="0" w:type="dxa"/>
          <w:bottom w:w="0" w:type="dxa"/>
          <w:right w:w="0" w:type="dxa"/>
        </w:tblCellMar>
      </w:tblPr>
      <w:tr>
        <w:trPr>
          <w:trHeight w:val="155"/>
        </w:trPr>
        <w:tc>
          <w:tcPr>
            <w:tcW w:w="760" w:type="dxa"/>
            <w:vAlign w:val="bottom"/>
          </w:tcPr>
          <w:p>
            <w:pPr>
              <w:spacing w:after="0"/>
              <w:rPr>
                <w:sz w:val="20"/>
                <w:szCs w:val="20"/>
                <w:color w:val="auto"/>
              </w:rPr>
            </w:pPr>
            <w:r>
              <w:rPr>
                <w:rFonts w:ascii="Times New Roman" w:cs="Times New Roman" w:eastAsia="Times New Roman" w:hAnsi="Times New Roman"/>
                <w:sz w:val="12"/>
                <w:szCs w:val="12"/>
                <w:color w:val="auto"/>
              </w:rPr>
              <w:t>Symbotic Inc.</w:t>
            </w:r>
          </w:p>
        </w:tc>
        <w:tc>
          <w:tcPr>
            <w:tcW w:w="4580" w:type="dxa"/>
            <w:vAlign w:val="bottom"/>
          </w:tcPr>
          <w:p>
            <w:pPr>
              <w:spacing w:after="0"/>
              <w:rPr>
                <w:sz w:val="13"/>
                <w:szCs w:val="13"/>
                <w:color w:val="auto"/>
              </w:rPr>
            </w:pPr>
          </w:p>
        </w:tc>
      </w:tr>
      <w:tr>
        <w:trPr>
          <w:trHeight w:val="333"/>
        </w:trPr>
        <w:tc>
          <w:tcPr>
            <w:tcW w:w="7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Maria G. Freve</w:t>
            </w:r>
          </w:p>
        </w:tc>
      </w:tr>
      <w:tr>
        <w:trPr>
          <w:trHeight w:val="140"/>
        </w:trPr>
        <w:tc>
          <w:tcPr>
            <w:tcW w:w="7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Maria G. Freve</w:t>
            </w:r>
          </w:p>
        </w:tc>
      </w:tr>
      <w:tr>
        <w:trPr>
          <w:trHeight w:val="119"/>
        </w:trPr>
        <w:tc>
          <w:tcPr>
            <w:tcW w:w="76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Title:</w:t>
            </w:r>
          </w:p>
        </w:tc>
        <w:tc>
          <w:tcPr>
            <w:tcW w:w="458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Vice President, Controller and Chief Accounting Officer</w:t>
            </w:r>
          </w:p>
        </w:tc>
      </w:tr>
      <w:tr>
        <w:trPr>
          <w:trHeight w:val="155"/>
        </w:trPr>
        <w:tc>
          <w:tcPr>
            <w:tcW w:w="76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Accounting Officer)</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10159"/>
          </w:cols>
          <w:pgMar w:left="300" w:top="66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100012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01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 IMMEDIATE RELEASE</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Symbotic Reports Second Quarter Fiscal Year 2026 Results</w:t>
      </w:r>
    </w:p>
    <w:p>
      <w:pPr>
        <w:spacing w:after="0" w:line="310" w:lineRule="exact"/>
        <w:rPr>
          <w:sz w:val="20"/>
          <w:szCs w:val="20"/>
          <w:color w:val="auto"/>
        </w:rPr>
      </w:pPr>
    </w:p>
    <w:p>
      <w:pPr>
        <w:jc w:val="both"/>
        <w:ind w:left="8" w:right="100"/>
        <w:spacing w:after="0" w:line="259" w:lineRule="auto"/>
        <w:rPr>
          <w:sz w:val="20"/>
          <w:szCs w:val="20"/>
          <w:color w:val="auto"/>
        </w:rPr>
      </w:pPr>
      <w:r>
        <w:rPr>
          <w:rFonts w:ascii="Arial" w:cs="Arial" w:eastAsia="Arial" w:hAnsi="Arial"/>
          <w:sz w:val="13"/>
          <w:szCs w:val="13"/>
          <w:b w:val="1"/>
          <w:bCs w:val="1"/>
          <w:color w:val="auto"/>
        </w:rPr>
        <w:t xml:space="preserve">Wilmington, Massachusetts </w:t>
      </w:r>
      <w:r>
        <w:rPr>
          <w:rFonts w:ascii="Arial" w:cs="Arial" w:eastAsia="Arial" w:hAnsi="Arial"/>
          <w:sz w:val="13"/>
          <w:szCs w:val="13"/>
          <w:color w:val="auto"/>
        </w:rPr>
        <w:t>(May 6, 2026) -- Symbotic Inc. (Nasdaq: SYM), a leader in A.I.-enabled robotics technology for the supply chain, announced financial results for its second quarter</w:t>
      </w:r>
      <w:r>
        <w:rPr>
          <w:rFonts w:ascii="Arial" w:cs="Arial" w:eastAsia="Arial" w:hAnsi="Arial"/>
          <w:sz w:val="13"/>
          <w:szCs w:val="13"/>
          <w:b w:val="1"/>
          <w:bCs w:val="1"/>
          <w:color w:val="auto"/>
        </w:rPr>
        <w:t xml:space="preserve"> </w:t>
      </w:r>
      <w:r>
        <w:rPr>
          <w:rFonts w:ascii="Arial" w:cs="Arial" w:eastAsia="Arial" w:hAnsi="Arial"/>
          <w:sz w:val="13"/>
          <w:szCs w:val="13"/>
          <w:color w:val="auto"/>
        </w:rPr>
        <w:t>of fiscal year 2026, which ended on March 28, 2026. Symbotic reported revenue of $ 676 million, up 23% year-over-year, and net income of $9 million, compared with a net loss of $10 million in the second quarter of fiscal year 2025. Adjusted EBITDA</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reached $78 million, more than double the $35 million in the second quarter of fiscal year 2025.</w:t>
      </w:r>
    </w:p>
    <w:p>
      <w:pPr>
        <w:spacing w:after="0" w:line="1" w:lineRule="exact"/>
        <w:rPr>
          <w:sz w:val="20"/>
          <w:szCs w:val="20"/>
          <w:color w:val="auto"/>
        </w:rPr>
      </w:pPr>
    </w:p>
    <w:p>
      <w:pPr>
        <w:ind w:left="8"/>
        <w:spacing w:after="0"/>
        <w:rPr>
          <w:sz w:val="20"/>
          <w:szCs w:val="20"/>
          <w:color w:val="auto"/>
        </w:rPr>
      </w:pPr>
      <w:r>
        <w:rPr>
          <w:rFonts w:ascii="Arial" w:cs="Arial" w:eastAsia="Arial" w:hAnsi="Arial"/>
          <w:sz w:val="13"/>
          <w:szCs w:val="13"/>
          <w:color w:val="auto"/>
        </w:rPr>
        <w:t>Cash and cash equivalents totaled $2.0 billion at the end of the second quarter of fiscal year 2026, up from $1.8 billion at the end of the first quarter of fiscal year 2026.</w:t>
      </w:r>
    </w:p>
    <w:p>
      <w:pPr>
        <w:spacing w:after="0" w:line="72" w:lineRule="exact"/>
        <w:rPr>
          <w:sz w:val="20"/>
          <w:szCs w:val="20"/>
          <w:color w:val="auto"/>
        </w:rPr>
      </w:pPr>
    </w:p>
    <w:p>
      <w:pPr>
        <w:ind w:left="8" w:right="40"/>
        <w:spacing w:after="0" w:line="284" w:lineRule="auto"/>
        <w:rPr>
          <w:sz w:val="20"/>
          <w:szCs w:val="20"/>
          <w:color w:val="auto"/>
        </w:rPr>
      </w:pPr>
      <w:r>
        <w:rPr>
          <w:rFonts w:ascii="Arial" w:cs="Arial" w:eastAsia="Arial" w:hAnsi="Arial"/>
          <w:sz w:val="13"/>
          <w:szCs w:val="13"/>
          <w:color w:val="auto"/>
        </w:rPr>
        <w:t>“We again demonstrated strong execution against our key objectives,” said Rick Cohen, Symbotic Chairman and Chief Executive Officer. “Our momentum continues to build as customers across several verticals are now realizing tangible value from our end-to-end automation systems.”</w:t>
      </w:r>
    </w:p>
    <w:p>
      <w:pPr>
        <w:spacing w:after="0" w:line="15" w:lineRule="exact"/>
        <w:rPr>
          <w:sz w:val="20"/>
          <w:szCs w:val="20"/>
          <w:color w:val="auto"/>
        </w:rPr>
      </w:pPr>
    </w:p>
    <w:p>
      <w:pPr>
        <w:ind w:left="8" w:right="60"/>
        <w:spacing w:after="0" w:line="284" w:lineRule="auto"/>
        <w:rPr>
          <w:sz w:val="20"/>
          <w:szCs w:val="20"/>
          <w:color w:val="auto"/>
        </w:rPr>
      </w:pPr>
      <w:r>
        <w:rPr>
          <w:rFonts w:ascii="Arial" w:cs="Arial" w:eastAsia="Arial" w:hAnsi="Arial"/>
          <w:sz w:val="13"/>
          <w:szCs w:val="13"/>
          <w:color w:val="auto"/>
        </w:rPr>
        <w:t>“We delivered another quarter of growth and margin expansion as our total number of systems in deployment rose to 70,” said Izzy Martins, Symbotic Chief Financial Officer. “Looking ahead, we continue to see a solid growth trajectory supported by rising deployments, along with enhanced profitability.”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OUTLOOK</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 the third quarter of fiscal 2026, Symbotic expects revenue of $700 million to $720 million, and adjusted EBITDA</w:t>
      </w:r>
      <w:r>
        <w:rPr>
          <w:rFonts w:ascii="Arial" w:cs="Arial" w:eastAsia="Arial" w:hAnsi="Arial"/>
          <w:sz w:val="17"/>
          <w:szCs w:val="17"/>
          <w:color w:val="auto"/>
          <w:vertAlign w:val="superscript"/>
        </w:rPr>
        <w:t>2</w:t>
      </w:r>
      <w:r>
        <w:rPr>
          <w:rFonts w:ascii="Arial" w:cs="Arial" w:eastAsia="Arial" w:hAnsi="Arial"/>
          <w:sz w:val="13"/>
          <w:szCs w:val="13"/>
          <w:color w:val="auto"/>
        </w:rPr>
        <w:t xml:space="preserve"> of $80 million to $85 million.</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WEBCAST INFORMATION</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3"/>
          <w:szCs w:val="13"/>
          <w:color w:val="auto"/>
        </w:rPr>
        <w:t>Symbotic will host a webcast today at 5:00 pm ET to discuss its second quarter fiscal year 2026 results. The webcast link is: https://edge.media-server.com/mmc/go/symbotic-q2-2026/.</w:t>
      </w:r>
    </w:p>
    <w:p>
      <w:pPr>
        <w:spacing w:after="0" w:line="76"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1430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73" w:lineRule="exact"/>
        <w:rPr>
          <w:sz w:val="20"/>
          <w:szCs w:val="20"/>
          <w:color w:val="auto"/>
        </w:rPr>
      </w:pPr>
    </w:p>
    <w:p>
      <w:pPr>
        <w:ind w:left="8" w:hanging="8"/>
        <w:spacing w:after="0" w:line="220" w:lineRule="auto"/>
        <w:tabs>
          <w:tab w:leader="none" w:pos="69" w:val="left"/>
        </w:tabs>
        <w:numPr>
          <w:ilvl w:val="0"/>
          <w:numId w:val="2"/>
        </w:numPr>
        <w:rPr>
          <w:rFonts w:ascii="Arial" w:cs="Arial" w:eastAsia="Arial" w:hAnsi="Arial"/>
          <w:sz w:val="12"/>
          <w:szCs w:val="12"/>
          <w:color w:val="auto"/>
          <w:vertAlign w:val="superscript"/>
        </w:rPr>
      </w:pPr>
      <w:r>
        <w:rPr>
          <w:rFonts w:ascii="Arial" w:cs="Arial" w:eastAsia="Arial" w:hAnsi="Arial"/>
          <w:sz w:val="10"/>
          <w:szCs w:val="10"/>
          <w:color w:val="auto"/>
        </w:rPr>
        <w:t>Adjusted EBITDA (earnings before interest, taxes, depreciation, and amortization) is a non-GAAP financial measure as defined below under “Use of Non-GAAP Financial Information.” See the tables below for reconciliations to net income (loss), the most comparable GAAP measure.</w:t>
      </w:r>
    </w:p>
    <w:p>
      <w:pPr>
        <w:spacing w:after="0" w:line="65" w:lineRule="exact"/>
        <w:rPr>
          <w:sz w:val="20"/>
          <w:szCs w:val="20"/>
          <w:color w:val="auto"/>
        </w:rPr>
      </w:pPr>
    </w:p>
    <w:p>
      <w:pPr>
        <w:ind w:left="8" w:right="180" w:hanging="8"/>
        <w:spacing w:after="0" w:line="222" w:lineRule="auto"/>
        <w:tabs>
          <w:tab w:leader="none" w:pos="69" w:val="left"/>
        </w:tabs>
        <w:numPr>
          <w:ilvl w:val="0"/>
          <w:numId w:val="3"/>
        </w:numPr>
        <w:rPr>
          <w:rFonts w:ascii="Arial" w:cs="Arial" w:eastAsia="Arial" w:hAnsi="Arial"/>
          <w:sz w:val="12"/>
          <w:szCs w:val="12"/>
          <w:color w:val="auto"/>
          <w:vertAlign w:val="superscript"/>
        </w:rPr>
      </w:pPr>
      <w:r>
        <w:rPr>
          <w:rFonts w:ascii="Arial" w:cs="Arial" w:eastAsia="Arial" w:hAnsi="Arial"/>
          <w:sz w:val="10"/>
          <w:szCs w:val="10"/>
          <w:color w:val="auto"/>
        </w:rPr>
        <w:t>Symbotic is not providing guidance for net income (loss), which is the most comparable GAAP financial measure to adjusted EBITDA, because information reconciling forward-looking adjusted EBITDA to net income (loss) is unavailable to it without unreasonable effort. Symbotic is not able to provide reconciliations of adjusted EBITDA to GAAP financial measures because certain items required for such reconciliations are outside of Symbotic’s control and/or cannot be reasonably predicted, such as the provision for stock-based compensation.</w:t>
      </w:r>
    </w:p>
    <w:p>
      <w:pPr>
        <w:sectPr>
          <w:pgSz w:w="11900" w:h="16838" w:orient="portrait"/>
          <w:cols w:equalWidth="0" w:num="1">
            <w:col w:w="11308"/>
          </w:cols>
          <w:pgMar w:left="292" w:top="737"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ABOUT SYMBOTIC</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Symbotic is an automation technology leader reimagining the supply chain with its end-to-end, A.I.-powered robotic and software platform. Symbotic reinvents the warehouse as a strategic asset for the world’s largest retail, wholesale, food &amp; beverage, and medical supply distribution companies. Applying next-generation technology, high-density storage and machine learning to solve today's complex distribution challenges, Symbotic enables companies to move goods with unmatched speed, agility, accuracy and efficiency. As the backbone of commerce, Symbotic transforms the flow of goods and the economics of the supply chain for its customers. For more information, visit www.symbotic.com.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NON-GAAP FINANCIAL INFORMATION</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Symbotic reports its financial results in accordance with Generally Accepted Accounting Principles in the United States (“U.S. GAAP”). This press release contains financial measures that are not recognized under U.S. GAAP (“non-GAAP financial measures”), including adjusted EBITDA, adjusted gross profit, adjusted gross profit margin, adjusted research and development expenses, adjusted selling, general, and administrative expenses, and free cash flow. These non-GAAP financial measures have limitations as an analytical tool as they do not have a standardized meaning prescribed by U.S. GAAP. The non-GAAP financial measures Symbotic uses may not be the same non-GAAP financial measures, and may not be calculated in the same manner, as that of other companies and, therefore, are unlikely to be comparable to similar measures presented by other companies. Rather, these non-GAAP financial measures are provided as a supplement to corresponding U.S. GAAP measures to provide additional information regarding the results of operations from management’s perspective. Accordingly, non-GAAP financial measures should not be considered a substitute for, in isolation from, or superior to, the financial information prepared and presented in accordance with U.S. GAAP. All non-GAAP financial measures presented in this press release are reconciled to their closest reported U.S. GAAP financial measures. Symbotic recommends that investors review the reconciliation of these non-GAAP financial measures to the most directly comparable GAAP financial measures provided in the financial statement tables included below in this press release, and not rely on any single financial measure to evaluate its business.</w:t>
      </w:r>
    </w:p>
    <w:p>
      <w:pPr>
        <w:spacing w:after="0" w:line="4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Symbotic defines adjusted EBITDA, a non-GAAP financial measure, as GAAP net income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Symbotic defines adjusted gross profit, a non-GAAP financial measure, as GAAP gross profit excluding the following items: depreciation, stock-based compensation, and restructuring charges. Symbotic defines adjusted gross profit margin, a non-GAAP financial measure, as adjusted gross profit divided by total revenue. Symbotic defines adjusted research and development expenses, a non-GAAP financial measure, as GAAP research and development expenses excluding the following items: depreciation and amortization of tangible and intangible assets and stock-based compensation. Symbotic defines adjusted selling, general, and administrative expenses, a non-GAAP financial measure, as GAAP selling, general, and administrative expenses excluding the following items: depreciation and amortization of tangible and intangible assets; stock-based compensation; business combination transaction expenses; internal control remediation; business transformation costs; and other infrequent items that may arise from time to time. Symbotic defines free cash flow, a non-GAAP financial measure, as net cash provided by or used in operating activities less purchases of property and equipment and capitalization of internal use software development costs. In addition to Symbotic’s financial results determined in accordance with U.S. GAAP, Symbotic believes that adjusted EBITDA, adjusted gross profit, adjusted gross profit margin, adjusted research and development expenses, adjusted selling, general, and administrative expenses, and free cash flow non-GAAP financial measures, are useful in evaluating the performance of Symbotic’s business because they highlight trends in its core business.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953"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FORWARD-LOOKING STATEMENTS</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including, but not limited to, Symbotic’s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backlog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Forward-looking statements include, but are not limited to, statements about the ability of or expectations regarding Symbotic to:</w:t>
      </w:r>
    </w:p>
    <w:p>
      <w:pPr>
        <w:spacing w:after="0" w:line="76"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meet the technical requirements of existing or future supply agreements with its customers, including with respect to existing backlog;</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expand its target customer base and maintain its existing customer base;</w:t>
      </w:r>
    </w:p>
    <w:p>
      <w:pPr>
        <w:spacing w:after="0" w:line="75" w:lineRule="exact"/>
        <w:rPr>
          <w:rFonts w:ascii="Arial" w:cs="Arial" w:eastAsia="Arial" w:hAnsi="Arial"/>
          <w:sz w:val="13"/>
          <w:szCs w:val="13"/>
          <w:color w:val="auto"/>
        </w:rPr>
      </w:pPr>
    </w:p>
    <w:p>
      <w:pPr>
        <w:ind w:left="420" w:right="20" w:hanging="212"/>
        <w:spacing w:after="0" w:line="284"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realize the benefits expected from its GreenBox Systems LLC joint venture, which is now doing business as Exol (“Exol”), the commercial agreement with Exol, the commercial agreement with Nueva Wal Mart de México, S. de R.L. de C.V and the acquisition of the Advanced Systems and Robotics business from Walmart;</w:t>
      </w:r>
    </w:p>
    <w:p>
      <w:pPr>
        <w:spacing w:after="0" w:line="1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realize its outlook, including its system gross margin;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and cost of any product replacement, programs and related recalls;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anticipate industry trends;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maintain and enhance its system;</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execute its growth strategy;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develop, design and sell systems that are differentiated from those of competitors;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execute its research and development strategy;</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acquire, maintain, protect and enforce intellectual property;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attract, train and retain effective officers, key employees or directors;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comply with laws and regulations applicable to its business;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stay abreast of modified or new laws and regulations applying to its business;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successfully defend litigation;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issue equity securities in connection with future transactions;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meet future liquidity requirements and, if applicable, comply with restrictive covenants related to long-term indebtedness;</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timely and effectively remediate any material weaknesses in its internal control over financial reporting;</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anticipate rapid technological changes;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maintain the listing of the Symbotic common stock on Nasdaq; and</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effectively respond to general economic and business conditions.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Forward-looking statements also include, but are not limited to, statements with respect to:</w:t>
      </w:r>
    </w:p>
    <w:p>
      <w:pPr>
        <w:spacing w:after="0" w:line="76"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future performance of Symbotic’s business and operations;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expectations regarding revenues, expenses, adjusted EBITDA and anticipated cash needs;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expectations regarding cash flow, liquidity and sources of funding;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53" w:right="299" w:bottom="1440" w:gutter="0" w:footer="0" w:header="0"/>
        </w:sectPr>
      </w:pPr>
    </w:p>
    <w:bookmarkStart w:id="6" w:name="page7"/>
    <w:bookmarkEnd w:id="6"/>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expectations regarding capital expenditures;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anticipated benefits of Symbotic’s leadership structure;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effects of pending and future legislation;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effects of inflation, prevailing price levels, exchange rates, changes in trade agreements and trade protection measures including tariffs and other economic factors;</w:t>
      </w:r>
    </w:p>
    <w:p>
      <w:pPr>
        <w:spacing w:after="0" w:line="66"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direct and indirect effects of geopolitical conditions in the United States and in global economies, including those resulting from acts of war and conflicts and responses to such events;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business disruption;</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disruption to the business due to Symbotic’s dependency on Walmart;</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increasing competition in the warehouse automation industry;</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delays in the design, production or launch of Symbotic’s systems and products;</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failure to meet customers’ requirements under existing or future contracts or customer’s expectations as to price or pricing structure;</w:t>
      </w:r>
    </w:p>
    <w:p>
      <w:pPr>
        <w:spacing w:after="0" w:line="75"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defects in new products or enhancements to existing products;</w:t>
      </w:r>
    </w:p>
    <w:p>
      <w:pPr>
        <w:spacing w:after="0" w:line="66" w:lineRule="exact"/>
        <w:rPr>
          <w:rFonts w:ascii="Arial" w:cs="Arial" w:eastAsia="Arial" w:hAnsi="Arial"/>
          <w:sz w:val="13"/>
          <w:szCs w:val="13"/>
          <w:color w:val="auto"/>
        </w:rPr>
      </w:pPr>
    </w:p>
    <w:p>
      <w:pPr>
        <w:ind w:left="420" w:right="60" w:hanging="212"/>
        <w:spacing w:after="0" w:line="284"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fluctuation of operating results from period to period due to a number of factors, including the pace of customer adoption of Symbotic’s new products and services and any changes in its product mix that shift too far into lower gross margin products; and</w:t>
      </w:r>
    </w:p>
    <w:p>
      <w:pPr>
        <w:spacing w:after="0" w:line="24"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any consequences associated with joint ventures and legislative and regulatory actions and reforms.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Such forward-looking statements involve risks and uncertainties that may cause actual events, results or performance to differ materially from those indicated by such statements. Certain of these risks are identified and discussed in Symbotic’s Annual Report on Form 10-K for the fiscal year ended September 27, 2025, filed with the U.S. Securities and Exchange Commission (the “SEC”) on November 24, 2025. These risk factors will be important to consider in determining future results and should be reviewed in their entirety. These forward-looking statements are expressed in good faith, and Symbotic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its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Symbotic believes that the assumptions and expectations reflected in the forward-looking statements are reasonable based on information currently available to management, there is no assurance that such assumptions and expectations will prove to have been correct. Forward-looking statements speak only as of the date they are made and are based on the beliefs, estimates, expectations and opinions of management on that date. Symbotic is not under any obligation, and expressly disclaims any obligation to update, alter or otherwise revise any forward-looking statement, whether as a result of new information, future events or otherwise, except as required by law. Readers should carefully review the statements set forth in the reports that Symbotic has filed or will file from time to time with the SEC.</w:t>
      </w:r>
    </w:p>
    <w:p>
      <w:pPr>
        <w:spacing w:after="0" w:line="204"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Any financial projections in this press release or discussed in the webcast are forward-looking statements that are based on assumptions that are inherently subject to significant uncertainties and contingencies, many of which are beyond Symbotic’s control. While all projections are necessarily speculative, Symbotic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809" w:right="31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3"/>
          <w:szCs w:val="13"/>
          <w:color w:val="auto"/>
        </w:rPr>
        <w:t>uncertainties that could cause actual results to differ materially from those contained in the projections. The inclusion of projections in this communication should not be regarded as an indication that Symbotic, or its representatives, considered or considers the projections to be a reliable prediction of future events.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Annualized, projected and estimated numbers are not forecasts and may not reflect actual results.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This communication is not intended to be all-inclusive or to contain all the information that a person may desire in considering an investment in Symbotic and is not intended to form the basis of an investment decision in Symbotic.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 CONTACT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Charlie Anderson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Investor Relations &amp; Corporate Development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ir@symbotic.com</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INQUIRIES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mediainquiry@symbotic.com</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60"/>
          </w:cols>
          <w:pgMar w:left="300" w:top="80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Symbotic Inc.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97"/>
        </w:trPr>
        <w:tc>
          <w:tcPr>
            <w:tcW w:w="422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 except share and per share data)</w:t>
            </w:r>
          </w:p>
        </w:tc>
        <w:tc>
          <w:tcPr>
            <w:tcW w:w="180" w:type="dxa"/>
            <w:vAlign w:val="bottom"/>
          </w:tcPr>
          <w:p>
            <w:pPr>
              <w:spacing w:after="0"/>
              <w:rPr>
                <w:sz w:val="8"/>
                <w:szCs w:val="8"/>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8"/>
                <w:szCs w:val="8"/>
                <w:color w:val="auto"/>
              </w:rPr>
            </w:pPr>
          </w:p>
        </w:tc>
        <w:tc>
          <w:tcPr>
            <w:tcW w:w="1320" w:type="dxa"/>
            <w:vAlign w:val="bottom"/>
            <w:gridSpan w:val="2"/>
          </w:tcPr>
          <w:p>
            <w:pPr>
              <w:jc w:val="center"/>
              <w:ind w:right="180"/>
              <w:spacing w:after="0" w:line="97" w:lineRule="exact"/>
              <w:rPr>
                <w:sz w:val="20"/>
                <w:szCs w:val="20"/>
                <w:color w:val="auto"/>
              </w:rPr>
            </w:pPr>
            <w:r>
              <w:rPr>
                <w:rFonts w:ascii="Arial" w:cs="Arial" w:eastAsia="Arial" w:hAnsi="Arial"/>
                <w:sz w:val="11"/>
                <w:szCs w:val="11"/>
                <w:b w:val="1"/>
                <w:bCs w:val="1"/>
                <w:color w:val="auto"/>
                <w:w w:val="97"/>
              </w:rPr>
              <w:t>December 27,</w:t>
            </w:r>
          </w:p>
        </w:tc>
        <w:tc>
          <w:tcPr>
            <w:tcW w:w="180" w:type="dxa"/>
            <w:vAlign w:val="bottom"/>
          </w:tcPr>
          <w:p>
            <w:pPr>
              <w:spacing w:after="0"/>
              <w:rPr>
                <w:sz w:val="8"/>
                <w:szCs w:val="8"/>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8"/>
                <w:szCs w:val="8"/>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8"/>
                <w:szCs w:val="8"/>
                <w:color w:val="auto"/>
              </w:rPr>
            </w:pPr>
          </w:p>
        </w:tc>
        <w:tc>
          <w:tcPr>
            <w:tcW w:w="1180" w:type="dxa"/>
            <w:vAlign w:val="bottom"/>
            <w:vMerge w:val="restart"/>
          </w:tcPr>
          <w:p>
            <w:pPr>
              <w:jc w:val="right"/>
              <w:ind w:right="240"/>
              <w:spacing w:after="0"/>
              <w:rPr>
                <w:sz w:val="20"/>
                <w:szCs w:val="20"/>
                <w:color w:val="auto"/>
              </w:rPr>
            </w:pPr>
            <w:r>
              <w:rPr>
                <w:rFonts w:ascii="Arial" w:cs="Arial" w:eastAsia="Arial" w:hAnsi="Arial"/>
                <w:sz w:val="11"/>
                <w:szCs w:val="11"/>
                <w:b w:val="1"/>
                <w:bCs w:val="1"/>
                <w:color w:val="auto"/>
              </w:rPr>
              <w:t>March 29, 2025</w:t>
            </w:r>
          </w:p>
        </w:tc>
        <w:tc>
          <w:tcPr>
            <w:tcW w:w="0" w:type="dxa"/>
            <w:vAlign w:val="bottom"/>
          </w:tcPr>
          <w:p>
            <w:pPr>
              <w:spacing w:after="0"/>
              <w:rPr>
                <w:sz w:val="1"/>
                <w:szCs w:val="1"/>
                <w:color w:val="auto"/>
              </w:rPr>
            </w:pPr>
          </w:p>
        </w:tc>
      </w:tr>
      <w:tr>
        <w:trPr>
          <w:trHeight w:val="144"/>
        </w:trPr>
        <w:tc>
          <w:tcPr>
            <w:tcW w:w="4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6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i w:val="1"/>
                <w:iCs w:val="1"/>
                <w:color w:val="auto"/>
              </w:rPr>
              <w:t>Revenue:</w:t>
            </w:r>
          </w:p>
        </w:tc>
        <w:tc>
          <w:tcPr>
            <w:tcW w:w="1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300"/>
              <w:spacing w:after="0"/>
              <w:rPr>
                <w:sz w:val="20"/>
                <w:szCs w:val="20"/>
                <w:color w:val="auto"/>
              </w:rPr>
            </w:pPr>
            <w:r>
              <w:rPr>
                <w:rFonts w:ascii="Arial" w:cs="Arial" w:eastAsia="Arial" w:hAnsi="Arial"/>
                <w:sz w:val="12"/>
                <w:szCs w:val="12"/>
                <w:color w:val="auto"/>
              </w:rPr>
              <w:t>Systems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634,496</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590,292</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513,372</w:t>
            </w:r>
          </w:p>
        </w:tc>
        <w:tc>
          <w:tcPr>
            <w:tcW w:w="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1,224,788</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977,431</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Software maintenance and support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12,210</w:t>
            </w:r>
          </w:p>
        </w:tc>
        <w:tc>
          <w:tcPr>
            <w:tcW w:w="0" w:type="dxa"/>
            <w:vAlign w:val="bottom"/>
          </w:tcPr>
          <w:p>
            <w:pPr>
              <w:spacing w:after="0"/>
              <w:rPr>
                <w:sz w:val="1"/>
                <w:szCs w:val="1"/>
                <w:color w:val="auto"/>
              </w:rPr>
            </w:pPr>
          </w:p>
        </w:tc>
      </w:tr>
      <w:tr>
        <w:trPr>
          <w:trHeight w:val="153"/>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Operation services</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29,060</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28,808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29,594</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57,868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46,703</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Total revenue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676,480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629,985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549,651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1,306,465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1,036,344</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i w:val="1"/>
                <w:iCs w:val="1"/>
                <w:color w:val="auto"/>
              </w:rPr>
              <w:t>Cost of revenue: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Systems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495,551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469,873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411,788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965,424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792,778</w:t>
            </w:r>
          </w:p>
        </w:tc>
        <w:tc>
          <w:tcPr>
            <w:tcW w:w="0" w:type="dxa"/>
            <w:vAlign w:val="bottom"/>
          </w:tcPr>
          <w:p>
            <w:pPr>
              <w:spacing w:after="0"/>
              <w:rPr>
                <w:sz w:val="1"/>
                <w:szCs w:val="1"/>
                <w:color w:val="auto"/>
              </w:rPr>
            </w:pPr>
          </w:p>
        </w:tc>
      </w:tr>
      <w:tr>
        <w:trPr>
          <w:trHeight w:val="153"/>
        </w:trPr>
        <w:tc>
          <w:tcPr>
            <w:tcW w:w="4220" w:type="dxa"/>
            <w:vAlign w:val="bottom"/>
          </w:tcPr>
          <w:p>
            <w:pPr>
              <w:ind w:left="300"/>
              <w:spacing w:after="0"/>
              <w:rPr>
                <w:sz w:val="20"/>
                <w:szCs w:val="20"/>
                <w:color w:val="auto"/>
              </w:rPr>
            </w:pPr>
            <w:r>
              <w:rPr>
                <w:rFonts w:ascii="Arial" w:cs="Arial" w:eastAsia="Arial" w:hAnsi="Arial"/>
                <w:sz w:val="12"/>
                <w:szCs w:val="12"/>
                <w:color w:val="auto"/>
              </w:rPr>
              <w:t>Software maintenance and support</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2,954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2,030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6,322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3,888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Operation services</w:t>
            </w: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27,609</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23,734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25,041</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51,343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47,870</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Total cost of revenue</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526,528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496,561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438,859</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1,023,089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844,536</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Gross profit</w:t>
            </w: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149,952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133,424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110,792</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283,376</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191,808</w:t>
            </w:r>
          </w:p>
        </w:tc>
        <w:tc>
          <w:tcPr>
            <w:tcW w:w="0" w:type="dxa"/>
            <w:vAlign w:val="bottom"/>
          </w:tcPr>
          <w:p>
            <w:pPr>
              <w:spacing w:after="0"/>
              <w:rPr>
                <w:sz w:val="1"/>
                <w:szCs w:val="1"/>
                <w:color w:val="auto"/>
              </w:rPr>
            </w:pPr>
          </w:p>
        </w:tc>
      </w:tr>
      <w:tr>
        <w:trPr>
          <w:trHeight w:val="133"/>
        </w:trPr>
        <w:tc>
          <w:tcPr>
            <w:tcW w:w="4220" w:type="dxa"/>
            <w:vAlign w:val="bottom"/>
          </w:tcPr>
          <w:p>
            <w:pPr>
              <w:spacing w:after="0" w:line="133" w:lineRule="exact"/>
              <w:rPr>
                <w:sz w:val="20"/>
                <w:szCs w:val="20"/>
                <w:color w:val="auto"/>
              </w:rPr>
            </w:pPr>
            <w:r>
              <w:rPr>
                <w:rFonts w:ascii="Arial" w:cs="Arial" w:eastAsia="Arial" w:hAnsi="Arial"/>
                <w:sz w:val="12"/>
                <w:szCs w:val="12"/>
                <w:i w:val="1"/>
                <w:iCs w:val="1"/>
                <w:color w:val="auto"/>
              </w:rPr>
              <w:t>Operating expenses:</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Research and development expenses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51,283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57,960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94,289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101,239</w:t>
            </w:r>
          </w:p>
        </w:tc>
        <w:tc>
          <w:tcPr>
            <w:tcW w:w="0" w:type="dxa"/>
            <w:vAlign w:val="bottom"/>
          </w:tcPr>
          <w:p>
            <w:pPr>
              <w:spacing w:after="0"/>
              <w:rPr>
                <w:sz w:val="1"/>
                <w:szCs w:val="1"/>
                <w:color w:val="auto"/>
              </w:rPr>
            </w:pPr>
          </w:p>
        </w:tc>
      </w:tr>
      <w:tr>
        <w:trPr>
          <w:trHeight w:val="153"/>
        </w:trPr>
        <w:tc>
          <w:tcPr>
            <w:tcW w:w="4220" w:type="dxa"/>
            <w:vAlign w:val="bottom"/>
          </w:tcPr>
          <w:p>
            <w:pPr>
              <w:ind w:left="300"/>
              <w:spacing w:after="0"/>
              <w:rPr>
                <w:sz w:val="20"/>
                <w:szCs w:val="20"/>
                <w:color w:val="auto"/>
              </w:rPr>
            </w:pPr>
            <w:r>
              <w:rPr>
                <w:rFonts w:ascii="Arial" w:cs="Arial" w:eastAsia="Arial" w:hAnsi="Arial"/>
                <w:sz w:val="12"/>
                <w:szCs w:val="12"/>
                <w:color w:val="auto"/>
              </w:rPr>
              <w:t>Selling, general, and administrative expenses</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92,566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81,219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73,305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173,785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134,010</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Restructuring charges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Total operating expenses</w:t>
            </w: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143,861</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126,898</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131,265</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270,759</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235,249</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Operating income (loss)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(20,473)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(43,441)</w:t>
            </w:r>
          </w:p>
        </w:tc>
        <w:tc>
          <w:tcPr>
            <w:tcW w:w="0" w:type="dxa"/>
            <w:vAlign w:val="bottom"/>
          </w:tcPr>
          <w:p>
            <w:pPr>
              <w:spacing w:after="0"/>
              <w:rPr>
                <w:sz w:val="1"/>
                <w:szCs w:val="1"/>
                <w:color w:val="auto"/>
              </w:rPr>
            </w:pPr>
          </w:p>
        </w:tc>
      </w:tr>
      <w:tr>
        <w:trPr>
          <w:trHeight w:val="153"/>
        </w:trPr>
        <w:tc>
          <w:tcPr>
            <w:tcW w:w="4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 net</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10,855</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13,246</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11,714</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24,101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19,537</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Income (loss) before income tax and equity method investment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19,772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(23,904)</w:t>
            </w: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Income tax benefit (expense)</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(572)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1,397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1,248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Loss from equity method investment</w:t>
            </w: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(6,945)</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(5,799)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(2,490)</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(4,055)</w:t>
            </w:r>
          </w:p>
        </w:tc>
        <w:tc>
          <w:tcPr>
            <w:tcW w:w="0" w:type="dxa"/>
            <w:vAlign w:val="bottom"/>
          </w:tcPr>
          <w:p>
            <w:pPr>
              <w:spacing w:after="0"/>
              <w:rPr>
                <w:sz w:val="1"/>
                <w:szCs w:val="1"/>
                <w:color w:val="auto"/>
              </w:rPr>
            </w:pPr>
          </w:p>
        </w:tc>
      </w:tr>
      <w:tr>
        <w:trPr>
          <w:trHeight w:val="142"/>
        </w:trPr>
        <w:tc>
          <w:tcPr>
            <w:tcW w:w="4220" w:type="dxa"/>
            <w:vAlign w:val="bottom"/>
          </w:tcPr>
          <w:p>
            <w:pPr>
              <w:ind w:left="30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9,429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13,358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(9,852)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22,787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(26,711)</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10,756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(8,048)</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18,216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(21,732)</w:t>
            </w:r>
          </w:p>
        </w:tc>
        <w:tc>
          <w:tcPr>
            <w:tcW w:w="0" w:type="dxa"/>
            <w:vAlign w:val="bottom"/>
          </w:tcPr>
          <w:p>
            <w:pPr>
              <w:spacing w:after="0"/>
              <w:rPr>
                <w:sz w:val="1"/>
                <w:szCs w:val="1"/>
                <w:color w:val="auto"/>
              </w:rPr>
            </w:pPr>
          </w:p>
        </w:tc>
      </w:tr>
      <w:tr>
        <w:trPr>
          <w:trHeight w:val="158"/>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Net income (loss) attributable to common stockholders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1,969</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(1,804)</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(4,979)</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Income (loss) per share of Class A Common Stock:</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Basic</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53"/>
        </w:trPr>
        <w:tc>
          <w:tcPr>
            <w:tcW w:w="4220" w:type="dxa"/>
            <w:vAlign w:val="bottom"/>
          </w:tcPr>
          <w:p>
            <w:pPr>
              <w:ind w:left="300"/>
              <w:spacing w:after="0"/>
              <w:rPr>
                <w:sz w:val="20"/>
                <w:szCs w:val="20"/>
                <w:color w:val="auto"/>
              </w:rPr>
            </w:pPr>
            <w:r>
              <w:rPr>
                <w:rFonts w:ascii="Arial" w:cs="Arial" w:eastAsia="Arial" w:hAnsi="Arial"/>
                <w:sz w:val="12"/>
                <w:szCs w:val="12"/>
                <w:color w:val="auto"/>
              </w:rPr>
              <w:t>Diluted</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0.01</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0.02</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(0.02)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0.03</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shares of Class A Common Stock outstanding:</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300"/>
              <w:spacing w:after="0"/>
              <w:rPr>
                <w:sz w:val="20"/>
                <w:szCs w:val="20"/>
                <w:color w:val="auto"/>
              </w:rPr>
            </w:pPr>
            <w:r>
              <w:rPr>
                <w:rFonts w:ascii="Arial" w:cs="Arial" w:eastAsia="Arial" w:hAnsi="Arial"/>
                <w:sz w:val="12"/>
                <w:szCs w:val="12"/>
                <w:color w:val="auto"/>
              </w:rPr>
              <w:t>Basic</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125,538,207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115,474,119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107,726,978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120,506,529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106,900,622</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Diluted</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134,364,904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127,870,238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107,726,978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130,869,376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106,900,622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1061"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Symbotic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 of Non-GAAP Financial Measures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GAAP net income (loss) to Adjusted EBITDA: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1"/>
              <w:spacing w:after="0"/>
              <w:rPr>
                <w:sz w:val="20"/>
                <w:szCs w:val="20"/>
                <w:color w:val="auto"/>
              </w:rPr>
            </w:pPr>
            <w:r>
              <w:rPr>
                <w:rFonts w:ascii="Arial" w:cs="Arial" w:eastAsia="Arial" w:hAnsi="Arial"/>
                <w:sz w:val="11"/>
                <w:szCs w:val="11"/>
                <w:b w:val="1"/>
                <w:bCs w:val="1"/>
                <w:color w:val="auto"/>
              </w:rPr>
              <w:t>March 29, 2025</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9,429</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13,358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(9,852)</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(26,711)</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Interest income</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(10,906)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(11,600)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(7,229)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(22,505)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(14,998)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expense (benefit)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(1,248)</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11,322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8,693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11,169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20,015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18,029</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57,188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44,118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36,376</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101,305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63,456</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Business combination transaction expenses</w:t>
            </w: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710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3,298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7,100</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Equity method investment</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2,490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4,055</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Internal control remediation</w:t>
            </w: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1,931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2,415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2,175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4,347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5,251</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Business transformation costs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2,400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Fair value adjustments on strategic investments</w:t>
            </w:r>
          </w:p>
        </w:tc>
        <w:tc>
          <w:tcPr>
            <w:tcW w:w="18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(4,481)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(1,661)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(4,481)</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Restructuring charges</w:t>
            </w: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20"/>
                <w:szCs w:val="20"/>
                <w:color w:val="auto"/>
              </w:rPr>
            </w:pPr>
            <w:r>
              <w:rPr>
                <w:rFonts w:ascii="Arial" w:cs="Arial" w:eastAsia="Arial" w:hAnsi="Arial"/>
                <w:sz w:val="12"/>
                <w:szCs w:val="12"/>
                <w:color w:val="auto"/>
              </w:rPr>
              <w:t>Adjusted EBITDA</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77,753</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66,903</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34,718</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144,656</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52,622</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2"/>
                <w:szCs w:val="12"/>
                <w:color w:val="auto"/>
              </w:rPr>
              <w:t>The following table reconciles GAAP gross profit to Adjusted gross profit:</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1"/>
              <w:spacing w:after="0"/>
              <w:rPr>
                <w:sz w:val="20"/>
                <w:szCs w:val="20"/>
                <w:color w:val="auto"/>
              </w:rPr>
            </w:pPr>
            <w:r>
              <w:rPr>
                <w:rFonts w:ascii="Arial" w:cs="Arial" w:eastAsia="Arial" w:hAnsi="Arial"/>
                <w:sz w:val="11"/>
                <w:szCs w:val="11"/>
                <w:b w:val="1"/>
                <w:bCs w:val="1"/>
                <w:color w:val="auto"/>
              </w:rPr>
              <w:t>March 29, 2025</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Gross profit</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149,952</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133,424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110,792</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283,376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191,808</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1,614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2,949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5,418</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14,208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12,382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8,300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26,879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11,032</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Restructuring charges</w:t>
            </w:r>
          </w:p>
        </w:tc>
        <w:tc>
          <w:tcPr>
            <w:tcW w:w="18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158"/>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gross profit</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165,774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147,247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121,810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313,309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208,027</w:t>
            </w: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0"/>
                <w:szCs w:val="20"/>
                <w:color w:val="auto"/>
              </w:rPr>
            </w:pPr>
            <w:r>
              <w:rPr>
                <w:rFonts w:ascii="Arial" w:cs="Arial" w:eastAsia="Arial" w:hAnsi="Arial"/>
                <w:sz w:val="12"/>
                <w:szCs w:val="12"/>
                <w:color w:val="auto"/>
              </w:rPr>
              <w:t>Gross profit margin</w:t>
            </w:r>
          </w:p>
        </w:tc>
        <w:tc>
          <w:tcPr>
            <w:tcW w:w="180" w:type="dxa"/>
            <w:vAlign w:val="bottom"/>
          </w:tcPr>
          <w:p>
            <w:pPr>
              <w:spacing w:after="0"/>
              <w:rPr>
                <w:sz w:val="24"/>
                <w:szCs w:val="24"/>
                <w:color w:val="auto"/>
              </w:rPr>
            </w:pPr>
          </w:p>
        </w:tc>
        <w:tc>
          <w:tcPr>
            <w:tcW w:w="1180" w:type="dxa"/>
            <w:vAlign w:val="bottom"/>
          </w:tcPr>
          <w:p>
            <w:pPr>
              <w:jc w:val="right"/>
              <w:ind w:right="161"/>
              <w:spacing w:after="0"/>
              <w:rPr>
                <w:sz w:val="20"/>
                <w:szCs w:val="20"/>
                <w:color w:val="auto"/>
              </w:rPr>
            </w:pPr>
            <w:r>
              <w:rPr>
                <w:rFonts w:ascii="Arial" w:cs="Arial" w:eastAsia="Arial" w:hAnsi="Arial"/>
                <w:sz w:val="12"/>
                <w:szCs w:val="12"/>
                <w:color w:val="auto"/>
              </w:rPr>
              <w:t>22.2 %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21"/>
              <w:spacing w:after="0"/>
              <w:rPr>
                <w:sz w:val="20"/>
                <w:szCs w:val="20"/>
                <w:color w:val="auto"/>
              </w:rPr>
            </w:pPr>
            <w:r>
              <w:rPr>
                <w:rFonts w:ascii="Arial" w:cs="Arial" w:eastAsia="Arial" w:hAnsi="Arial"/>
                <w:sz w:val="12"/>
                <w:szCs w:val="12"/>
                <w:color w:val="auto"/>
              </w:rPr>
              <w:t>21.2 %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61"/>
              <w:spacing w:after="0"/>
              <w:rPr>
                <w:sz w:val="20"/>
                <w:szCs w:val="20"/>
                <w:color w:val="auto"/>
              </w:rPr>
            </w:pPr>
            <w:r>
              <w:rPr>
                <w:rFonts w:ascii="Arial" w:cs="Arial" w:eastAsia="Arial" w:hAnsi="Arial"/>
                <w:sz w:val="12"/>
                <w:szCs w:val="12"/>
                <w:color w:val="auto"/>
              </w:rPr>
              <w:t>20.2 %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720"/>
              <w:spacing w:after="0"/>
              <w:rPr>
                <w:sz w:val="20"/>
                <w:szCs w:val="20"/>
                <w:color w:val="auto"/>
              </w:rPr>
            </w:pPr>
            <w:r>
              <w:rPr>
                <w:rFonts w:ascii="Arial" w:cs="Arial" w:eastAsia="Arial" w:hAnsi="Arial"/>
                <w:sz w:val="12"/>
                <w:szCs w:val="12"/>
                <w:color w:val="auto"/>
              </w:rPr>
              <w:t>21.7 %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18.5 %</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Adjusted gross profit margin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24.5 %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23.4 %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22.2 %</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24.0 %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1063"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The following table reconciles GAAP research and development expenses to Adjusted research and development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1"/>
              <w:spacing w:after="0"/>
              <w:rPr>
                <w:sz w:val="20"/>
                <w:szCs w:val="20"/>
                <w:color w:val="auto"/>
              </w:rPr>
            </w:pPr>
            <w:r>
              <w:rPr>
                <w:rFonts w:ascii="Arial" w:cs="Arial" w:eastAsia="Arial" w:hAnsi="Arial"/>
                <w:sz w:val="11"/>
                <w:szCs w:val="11"/>
                <w:b w:val="1"/>
                <w:bCs w:val="1"/>
                <w:color w:val="auto"/>
              </w:rPr>
              <w:t>March 29, 2025</w:t>
            </w:r>
          </w:p>
        </w:tc>
      </w:tr>
      <w:tr>
        <w:trPr>
          <w:trHeight w:val="142"/>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51,283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43,006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57,960</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center"/>
              <w:ind w:left="642"/>
              <w:spacing w:after="0"/>
              <w:rPr>
                <w:sz w:val="20"/>
                <w:szCs w:val="20"/>
                <w:color w:val="auto"/>
              </w:rPr>
            </w:pPr>
            <w:r>
              <w:rPr>
                <w:rFonts w:ascii="Arial" w:cs="Arial" w:eastAsia="Arial" w:hAnsi="Arial"/>
                <w:sz w:val="12"/>
                <w:szCs w:val="12"/>
                <w:color w:val="auto"/>
              </w:rPr>
              <w:t>94,289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101,239</w:t>
            </w: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(4,990)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(5,611)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left="622"/>
              <w:spacing w:after="0"/>
              <w:rPr>
                <w:sz w:val="20"/>
                <w:szCs w:val="20"/>
                <w:color w:val="auto"/>
              </w:rPr>
            </w:pPr>
            <w:r>
              <w:rPr>
                <w:rFonts w:ascii="Arial" w:cs="Arial" w:eastAsia="Arial" w:hAnsi="Arial"/>
                <w:sz w:val="12"/>
                <w:szCs w:val="12"/>
                <w:color w:val="auto"/>
                <w:w w:val="98"/>
              </w:rPr>
              <w:t>(10,151)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(7,911)</w:t>
            </w: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(17,123)</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(8,150)</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(12,028)</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center"/>
              <w:ind w:left="622"/>
              <w:spacing w:after="0"/>
              <w:rPr>
                <w:sz w:val="20"/>
                <w:szCs w:val="20"/>
                <w:color w:val="auto"/>
              </w:rPr>
            </w:pPr>
            <w:r>
              <w:rPr>
                <w:rFonts w:ascii="Arial" w:cs="Arial" w:eastAsia="Arial" w:hAnsi="Arial"/>
                <w:sz w:val="12"/>
                <w:szCs w:val="12"/>
                <w:color w:val="auto"/>
                <w:w w:val="98"/>
              </w:rPr>
              <w:t>(25,044)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(23,966)</w:t>
            </w:r>
          </w:p>
        </w:tc>
      </w:tr>
      <w:tr>
        <w:trPr>
          <w:trHeight w:val="142"/>
        </w:trPr>
        <w:tc>
          <w:tcPr>
            <w:tcW w:w="4220" w:type="dxa"/>
            <w:vAlign w:val="bottom"/>
          </w:tcPr>
          <w:p>
            <w:pPr>
              <w:spacing w:after="0"/>
              <w:rPr>
                <w:sz w:val="20"/>
                <w:szCs w:val="20"/>
                <w:color w:val="auto"/>
              </w:rPr>
            </w:pPr>
            <w:r>
              <w:rPr>
                <w:rFonts w:ascii="Arial" w:cs="Arial" w:eastAsia="Arial" w:hAnsi="Arial"/>
                <w:sz w:val="12"/>
                <w:szCs w:val="12"/>
                <w:color w:val="auto"/>
              </w:rPr>
              <w:t>Adjusted research and development expenses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28,999</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29,866</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40,321</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center"/>
              <w:ind w:left="642"/>
              <w:spacing w:after="0"/>
              <w:rPr>
                <w:sz w:val="20"/>
                <w:szCs w:val="20"/>
                <w:color w:val="auto"/>
              </w:rPr>
            </w:pPr>
            <w:r>
              <w:rPr>
                <w:rFonts w:ascii="Arial" w:cs="Arial" w:eastAsia="Arial" w:hAnsi="Arial"/>
                <w:sz w:val="12"/>
                <w:szCs w:val="12"/>
                <w:color w:val="auto"/>
              </w:rPr>
              <w:t>59,094</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69,362</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GAAP selling, general, and administrative expenses to Adjusted selling, general, and administrative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1"/>
              <w:spacing w:after="0"/>
              <w:rPr>
                <w:sz w:val="20"/>
                <w:szCs w:val="20"/>
                <w:color w:val="auto"/>
              </w:rPr>
            </w:pPr>
            <w:r>
              <w:rPr>
                <w:rFonts w:ascii="Arial" w:cs="Arial" w:eastAsia="Arial" w:hAnsi="Arial"/>
                <w:sz w:val="11"/>
                <w:szCs w:val="11"/>
                <w:b w:val="1"/>
                <w:bCs w:val="1"/>
                <w:color w:val="auto"/>
              </w:rPr>
              <w:t>March 29, 2025</w:t>
            </w:r>
          </w:p>
        </w:tc>
      </w:tr>
      <w:tr>
        <w:trPr>
          <w:trHeight w:val="142"/>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92,566</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81,219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73,305</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173,785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134,010</w:t>
            </w: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(4,547)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(2,609)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(6,762)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(4,699)</w:t>
            </w: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(25,857)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(16,049)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(49,383)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(28,460)</w:t>
            </w: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Business combination transaction expenses</w:t>
            </w: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(710)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(3,298)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(7,099)</w:t>
            </w: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Internal control remediation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(5,251)</w:t>
            </w:r>
          </w:p>
        </w:tc>
      </w:tr>
      <w:tr>
        <w:trPr>
          <w:trHeight w:val="153"/>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Business transformation costs</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(2,400)</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(2,400)</w:t>
            </w:r>
          </w:p>
        </w:tc>
      </w:tr>
      <w:tr>
        <w:trPr>
          <w:trHeight w:val="158"/>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selling, general, and administrative expenses</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58,971</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50,463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46,774</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109,493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86,101</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GAAP net cash provided by operating activities to free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20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2"/>
              <w:spacing w:after="0"/>
              <w:rPr>
                <w:sz w:val="20"/>
                <w:szCs w:val="20"/>
                <w:color w:val="auto"/>
              </w:rPr>
            </w:pPr>
            <w:r>
              <w:rPr>
                <w:rFonts w:ascii="Arial" w:cs="Arial" w:eastAsia="Arial" w:hAnsi="Arial"/>
                <w:sz w:val="11"/>
                <w:szCs w:val="11"/>
                <w:b w:val="1"/>
                <w:bCs w:val="1"/>
                <w:color w:val="auto"/>
              </w:rPr>
              <w:t>March 29, 2025</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261,341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191,540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269,575</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452,881</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474,602</w:t>
            </w:r>
          </w:p>
        </w:tc>
        <w:tc>
          <w:tcPr>
            <w:tcW w:w="0" w:type="dxa"/>
            <w:vAlign w:val="bottom"/>
          </w:tcPr>
          <w:p>
            <w:pPr>
              <w:spacing w:after="0"/>
              <w:rPr>
                <w:sz w:val="1"/>
                <w:szCs w:val="1"/>
                <w:color w:val="auto"/>
              </w:rPr>
            </w:pPr>
          </w:p>
        </w:tc>
      </w:tr>
      <w:tr>
        <w:trPr>
          <w:trHeight w:val="122"/>
        </w:trPr>
        <w:tc>
          <w:tcPr>
            <w:tcW w:w="4220" w:type="dxa"/>
            <w:vAlign w:val="bottom"/>
          </w:tcPr>
          <w:p>
            <w:pPr>
              <w:ind w:left="140"/>
              <w:spacing w:after="0" w:line="122" w:lineRule="exact"/>
              <w:rPr>
                <w:sz w:val="20"/>
                <w:szCs w:val="20"/>
                <w:color w:val="auto"/>
              </w:rPr>
            </w:pPr>
            <w:r>
              <w:rPr>
                <w:rFonts w:ascii="Arial" w:cs="Arial" w:eastAsia="Arial" w:hAnsi="Arial"/>
                <w:sz w:val="12"/>
                <w:szCs w:val="12"/>
                <w:color w:val="auto"/>
              </w:rPr>
              <w:t>Purchases of property and equipment and capitalization of internal use</w:t>
            </w: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(43,368)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color w:val="auto"/>
              </w:rPr>
              <w:t>(2,052)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(20,560)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color w:val="auto"/>
              </w:rPr>
              <w:t>(45,420)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(27,917)</w:t>
            </w:r>
          </w:p>
        </w:tc>
        <w:tc>
          <w:tcPr>
            <w:tcW w:w="0" w:type="dxa"/>
            <w:vAlign w:val="bottom"/>
          </w:tcPr>
          <w:p>
            <w:pPr>
              <w:spacing w:after="0"/>
              <w:rPr>
                <w:sz w:val="1"/>
                <w:szCs w:val="1"/>
                <w:color w:val="auto"/>
              </w:rPr>
            </w:pPr>
          </w:p>
        </w:tc>
      </w:tr>
      <w:tr>
        <w:trPr>
          <w:trHeight w:val="157"/>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software development costs</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Free cash flow</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217,973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189,488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249,015</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407,461</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446,685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1207"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Symbotic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Supplemental Common Share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Total Common Shares issued and outstanding: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60" w:type="dxa"/>
            <w:vAlign w:val="bottom"/>
          </w:tcPr>
          <w:p>
            <w:pPr>
              <w:spacing w:after="0"/>
              <w:rPr>
                <w:sz w:val="12"/>
                <w:szCs w:val="12"/>
                <w:color w:val="auto"/>
              </w:rPr>
            </w:pPr>
          </w:p>
        </w:tc>
        <w:tc>
          <w:tcPr>
            <w:tcW w:w="1960" w:type="dxa"/>
            <w:vAlign w:val="bottom"/>
            <w:gridSpan w:val="2"/>
          </w:tcPr>
          <w:p>
            <w:pPr>
              <w:ind w:left="560"/>
              <w:spacing w:after="0"/>
              <w:rPr>
                <w:sz w:val="20"/>
                <w:szCs w:val="20"/>
                <w:color w:val="auto"/>
              </w:rPr>
            </w:pPr>
            <w:r>
              <w:rPr>
                <w:rFonts w:ascii="Arial" w:cs="Arial" w:eastAsia="Arial" w:hAnsi="Arial"/>
                <w:sz w:val="11"/>
                <w:szCs w:val="11"/>
                <w:b w:val="1"/>
                <w:bCs w:val="1"/>
                <w:color w:val="auto"/>
              </w:rPr>
              <w:t>March 28, 2026</w:t>
            </w:r>
          </w:p>
        </w:tc>
        <w:tc>
          <w:tcPr>
            <w:tcW w:w="1880" w:type="dxa"/>
            <w:vAlign w:val="bottom"/>
          </w:tcPr>
          <w:p>
            <w:pPr>
              <w:jc w:val="right"/>
              <w:ind w:right="381"/>
              <w:spacing w:after="0"/>
              <w:rPr>
                <w:sz w:val="20"/>
                <w:szCs w:val="20"/>
                <w:color w:val="auto"/>
              </w:rPr>
            </w:pPr>
            <w:r>
              <w:rPr>
                <w:rFonts w:ascii="Arial" w:cs="Arial" w:eastAsia="Arial" w:hAnsi="Arial"/>
                <w:sz w:val="11"/>
                <w:szCs w:val="11"/>
                <w:b w:val="1"/>
                <w:bCs w:val="1"/>
                <w:color w:val="auto"/>
              </w:rPr>
              <w:t>September 27, 2025</w:t>
            </w:r>
          </w:p>
        </w:tc>
      </w:tr>
      <w:tr>
        <w:trPr>
          <w:trHeight w:val="142"/>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Class A Common Shares issued and outstanding</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127,015,993</w:t>
            </w:r>
          </w:p>
        </w:tc>
        <w:tc>
          <w:tcPr>
            <w:tcW w:w="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112,635,932</w:t>
            </w:r>
          </w:p>
        </w:tc>
      </w:tr>
      <w:tr>
        <w:trPr>
          <w:trHeight w:val="153"/>
        </w:trPr>
        <w:tc>
          <w:tcPr>
            <w:tcW w:w="7460" w:type="dxa"/>
            <w:vAlign w:val="bottom"/>
          </w:tcPr>
          <w:p>
            <w:pPr>
              <w:spacing w:after="0"/>
              <w:rPr>
                <w:sz w:val="20"/>
                <w:szCs w:val="20"/>
                <w:color w:val="auto"/>
              </w:rPr>
            </w:pPr>
            <w:r>
              <w:rPr>
                <w:rFonts w:ascii="Arial" w:cs="Arial" w:eastAsia="Arial" w:hAnsi="Arial"/>
                <w:sz w:val="12"/>
                <w:szCs w:val="12"/>
                <w:color w:val="auto"/>
              </w:rPr>
              <w:t>Class V-1 Common Shares issued and outstanding</w:t>
            </w:r>
          </w:p>
        </w:tc>
        <w:tc>
          <w:tcPr>
            <w:tcW w:w="1880" w:type="dxa"/>
            <w:vAlign w:val="bottom"/>
          </w:tcPr>
          <w:p>
            <w:pPr>
              <w:jc w:val="right"/>
              <w:spacing w:after="0"/>
              <w:rPr>
                <w:sz w:val="20"/>
                <w:szCs w:val="20"/>
                <w:color w:val="auto"/>
              </w:rPr>
            </w:pPr>
            <w:r>
              <w:rPr>
                <w:rFonts w:ascii="Arial" w:cs="Arial" w:eastAsia="Arial" w:hAnsi="Arial"/>
                <w:sz w:val="12"/>
                <w:szCs w:val="12"/>
                <w:color w:val="auto"/>
              </w:rPr>
              <w:t>71,940,208</w:t>
            </w:r>
          </w:p>
        </w:tc>
        <w:tc>
          <w:tcPr>
            <w:tcW w:w="80" w:type="dxa"/>
            <w:vAlign w:val="bottom"/>
          </w:tcPr>
          <w:p>
            <w:pPr>
              <w:spacing w:after="0"/>
              <w:rPr>
                <w:sz w:val="13"/>
                <w:szCs w:val="13"/>
                <w:color w:val="auto"/>
              </w:rPr>
            </w:pPr>
          </w:p>
        </w:tc>
        <w:tc>
          <w:tcPr>
            <w:tcW w:w="1880" w:type="dxa"/>
            <w:vAlign w:val="bottom"/>
          </w:tcPr>
          <w:p>
            <w:pPr>
              <w:jc w:val="right"/>
              <w:ind w:right="1"/>
              <w:spacing w:after="0"/>
              <w:rPr>
                <w:sz w:val="20"/>
                <w:szCs w:val="20"/>
                <w:color w:val="auto"/>
              </w:rPr>
            </w:pPr>
            <w:r>
              <w:rPr>
                <w:rFonts w:ascii="Arial" w:cs="Arial" w:eastAsia="Arial" w:hAnsi="Arial"/>
                <w:sz w:val="12"/>
                <w:szCs w:val="12"/>
                <w:color w:val="auto"/>
              </w:rPr>
              <w:t>74,693,311</w:t>
            </w:r>
          </w:p>
        </w:tc>
      </w:tr>
      <w:tr>
        <w:trPr>
          <w:trHeight w:val="153"/>
        </w:trPr>
        <w:tc>
          <w:tcPr>
            <w:tcW w:w="7460" w:type="dxa"/>
            <w:vAlign w:val="bottom"/>
            <w:shd w:val="clear" w:color="auto" w:fill="CCEEFF"/>
          </w:tcPr>
          <w:p>
            <w:pPr>
              <w:spacing w:after="0"/>
              <w:rPr>
                <w:sz w:val="20"/>
                <w:szCs w:val="20"/>
                <w:color w:val="auto"/>
              </w:rPr>
            </w:pPr>
            <w:r>
              <w:rPr>
                <w:rFonts w:ascii="Arial" w:cs="Arial" w:eastAsia="Arial" w:hAnsi="Arial"/>
                <w:sz w:val="12"/>
                <w:szCs w:val="12"/>
                <w:color w:val="auto"/>
              </w:rPr>
              <w:t>Class V-3 Common Shares issued and outstanding</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403,559,196</w:t>
            </w:r>
          </w:p>
        </w:tc>
        <w:tc>
          <w:tcPr>
            <w:tcW w:w="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403,559,196</w:t>
            </w:r>
          </w:p>
        </w:tc>
      </w:tr>
      <w:tr>
        <w:trPr>
          <w:trHeight w:val="142"/>
        </w:trPr>
        <w:tc>
          <w:tcPr>
            <w:tcW w:w="7460" w:type="dxa"/>
            <w:vAlign w:val="bottom"/>
          </w:tcPr>
          <w:p>
            <w:pPr>
              <w:spacing w:after="0"/>
              <w:rPr>
                <w:sz w:val="12"/>
                <w:szCs w:val="1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602,515,397</w:t>
            </w:r>
          </w:p>
        </w:tc>
        <w:tc>
          <w:tcPr>
            <w:tcW w:w="80" w:type="dxa"/>
            <w:vAlign w:val="bottom"/>
          </w:tcPr>
          <w:p>
            <w:pPr>
              <w:spacing w:after="0"/>
              <w:rPr>
                <w:sz w:val="12"/>
                <w:szCs w:val="12"/>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590,888,439</w:t>
            </w:r>
          </w:p>
        </w:tc>
      </w:tr>
      <w:tr>
        <w:trPr>
          <w:trHeight w:val="20"/>
        </w:trPr>
        <w:tc>
          <w:tcPr>
            <w:tcW w:w="74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1063" w:right="2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3"/>
          <w:szCs w:val="13"/>
          <w:b w:val="1"/>
          <w:bCs w:val="1"/>
          <w:color w:val="auto"/>
        </w:rPr>
        <w:t>Symbotic Inc. and Subsidiaries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860" w:type="dxa"/>
            <w:vAlign w:val="bottom"/>
          </w:tcPr>
          <w:p>
            <w:pPr>
              <w:spacing w:after="0"/>
              <w:rPr>
                <w:sz w:val="20"/>
                <w:szCs w:val="20"/>
                <w:color w:val="auto"/>
              </w:rPr>
            </w:pPr>
            <w:r>
              <w:rPr>
                <w:rFonts w:ascii="Arial" w:cs="Arial" w:eastAsia="Arial" w:hAnsi="Arial"/>
                <w:sz w:val="11"/>
                <w:szCs w:val="11"/>
                <w:i w:val="1"/>
                <w:iCs w:val="1"/>
                <w:color w:val="auto"/>
              </w:rPr>
              <w:t>(in thousands, except share data)</w:t>
            </w:r>
          </w:p>
        </w:tc>
        <w:tc>
          <w:tcPr>
            <w:tcW w:w="320" w:type="dxa"/>
            <w:vAlign w:val="bottom"/>
          </w:tcPr>
          <w:p>
            <w:pPr>
              <w:spacing w:after="0"/>
              <w:rPr>
                <w:sz w:val="12"/>
                <w:szCs w:val="12"/>
                <w:color w:val="auto"/>
              </w:rPr>
            </w:pPr>
          </w:p>
        </w:tc>
        <w:tc>
          <w:tcPr>
            <w:tcW w:w="1640" w:type="dxa"/>
            <w:vAlign w:val="bottom"/>
            <w:gridSpan w:val="2"/>
          </w:tcPr>
          <w:p>
            <w:pPr>
              <w:ind w:left="240"/>
              <w:spacing w:after="0"/>
              <w:rPr>
                <w:sz w:val="20"/>
                <w:szCs w:val="20"/>
                <w:color w:val="auto"/>
              </w:rPr>
            </w:pPr>
            <w:r>
              <w:rPr>
                <w:rFonts w:ascii="Arial" w:cs="Arial" w:eastAsia="Arial" w:hAnsi="Arial"/>
                <w:sz w:val="11"/>
                <w:szCs w:val="11"/>
                <w:b w:val="1"/>
                <w:bCs w:val="1"/>
                <w:color w:val="auto"/>
              </w:rPr>
              <w:t>March 28, 2026</w:t>
            </w:r>
          </w:p>
        </w:tc>
        <w:tc>
          <w:tcPr>
            <w:tcW w:w="260" w:type="dxa"/>
            <w:vAlign w:val="bottom"/>
          </w:tcPr>
          <w:p>
            <w:pPr>
              <w:spacing w:after="0"/>
              <w:rPr>
                <w:sz w:val="12"/>
                <w:szCs w:val="12"/>
                <w:color w:val="auto"/>
              </w:rPr>
            </w:pPr>
          </w:p>
        </w:tc>
        <w:tc>
          <w:tcPr>
            <w:tcW w:w="1620" w:type="dxa"/>
            <w:vAlign w:val="bottom"/>
          </w:tcPr>
          <w:p>
            <w:pPr>
              <w:jc w:val="right"/>
              <w:ind w:right="380"/>
              <w:spacing w:after="0"/>
              <w:rPr>
                <w:sz w:val="20"/>
                <w:szCs w:val="20"/>
                <w:color w:val="auto"/>
              </w:rPr>
            </w:pPr>
            <w:r>
              <w:rPr>
                <w:rFonts w:ascii="Arial" w:cs="Arial" w:eastAsia="Arial" w:hAnsi="Arial"/>
                <w:sz w:val="11"/>
                <w:szCs w:val="11"/>
                <w:b w:val="1"/>
                <w:bCs w:val="1"/>
                <w:color w:val="auto"/>
              </w:rPr>
              <w:t>September 27, 2025</w:t>
            </w:r>
          </w:p>
        </w:tc>
        <w:tc>
          <w:tcPr>
            <w:tcW w:w="0" w:type="dxa"/>
            <w:vAlign w:val="bottom"/>
          </w:tcPr>
          <w:p>
            <w:pPr>
              <w:spacing w:after="0"/>
              <w:rPr>
                <w:sz w:val="1"/>
                <w:szCs w:val="1"/>
                <w:color w:val="auto"/>
              </w:rPr>
            </w:pPr>
          </w:p>
        </w:tc>
      </w:tr>
      <w:tr>
        <w:trPr>
          <w:trHeight w:val="133"/>
        </w:trPr>
        <w:tc>
          <w:tcPr>
            <w:tcW w:w="6860" w:type="dxa"/>
            <w:vAlign w:val="bottom"/>
          </w:tcPr>
          <w:p>
            <w:pPr>
              <w:ind w:left="5100"/>
              <w:spacing w:after="0" w:line="133" w:lineRule="exact"/>
              <w:rPr>
                <w:sz w:val="20"/>
                <w:szCs w:val="20"/>
                <w:color w:val="auto"/>
              </w:rPr>
            </w:pPr>
            <w:r>
              <w:rPr>
                <w:rFonts w:ascii="Arial" w:cs="Arial" w:eastAsia="Arial" w:hAnsi="Arial"/>
                <w:sz w:val="12"/>
                <w:szCs w:val="12"/>
                <w:b w:val="1"/>
                <w:bCs w:val="1"/>
                <w:color w:val="auto"/>
              </w:rPr>
              <w:t>ASSETS</w:t>
            </w:r>
          </w:p>
        </w:tc>
        <w:tc>
          <w:tcPr>
            <w:tcW w:w="3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Cash and cash equivalents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2,009,435</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1,244,993</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receivable</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132,623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186,705</w:t>
            </w:r>
          </w:p>
        </w:tc>
        <w:tc>
          <w:tcPr>
            <w:tcW w:w="0" w:type="dxa"/>
            <w:vAlign w:val="bottom"/>
          </w:tcPr>
          <w:p>
            <w:pPr>
              <w:spacing w:after="0"/>
              <w:rPr>
                <w:sz w:val="1"/>
                <w:szCs w:val="1"/>
                <w:color w:val="auto"/>
              </w:rPr>
            </w:pP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Unbilled accounts receivable</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452,995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181,658</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Inventories</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201,243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164,390</w:t>
            </w:r>
          </w:p>
        </w:tc>
        <w:tc>
          <w:tcPr>
            <w:tcW w:w="0" w:type="dxa"/>
            <w:vAlign w:val="bottom"/>
          </w:tcPr>
          <w:p>
            <w:pPr>
              <w:spacing w:after="0"/>
              <w:rPr>
                <w:sz w:val="1"/>
                <w:szCs w:val="1"/>
                <w:color w:val="auto"/>
              </w:rPr>
            </w:pP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Deferred expenses</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43,538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20,532</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Prepaid expenses and other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82,433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86,582</w:t>
            </w:r>
          </w:p>
        </w:tc>
        <w:tc>
          <w:tcPr>
            <w:tcW w:w="0" w:type="dxa"/>
            <w:vAlign w:val="bottom"/>
          </w:tcPr>
          <w:p>
            <w:pPr>
              <w:spacing w:after="0"/>
              <w:rPr>
                <w:sz w:val="1"/>
                <w:szCs w:val="1"/>
                <w:color w:val="auto"/>
              </w:rPr>
            </w:pPr>
          </w:p>
        </w:tc>
      </w:tr>
      <w:tr>
        <w:trPr>
          <w:trHeight w:val="142"/>
        </w:trPr>
        <w:tc>
          <w:tcPr>
            <w:tcW w:w="6860" w:type="dxa"/>
            <w:vAlign w:val="bottom"/>
          </w:tcPr>
          <w:p>
            <w:pPr>
              <w:ind w:left="440"/>
              <w:spacing w:after="0"/>
              <w:rPr>
                <w:sz w:val="20"/>
                <w:szCs w:val="20"/>
                <w:color w:val="auto"/>
              </w:rPr>
            </w:pPr>
            <w:r>
              <w:rPr>
                <w:rFonts w:ascii="Arial" w:cs="Arial" w:eastAsia="Arial" w:hAnsi="Arial"/>
                <w:sz w:val="12"/>
                <w:szCs w:val="12"/>
                <w:color w:val="auto"/>
              </w:rPr>
              <w:t>Total current assets</w:t>
            </w: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2,922,267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1,884,860</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146,458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117,649</w:t>
            </w:r>
          </w:p>
        </w:tc>
        <w:tc>
          <w:tcPr>
            <w:tcW w:w="0" w:type="dxa"/>
            <w:vAlign w:val="bottom"/>
          </w:tcPr>
          <w:p>
            <w:pPr>
              <w:spacing w:after="0"/>
              <w:rPr>
                <w:sz w:val="1"/>
                <w:szCs w:val="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Intangible assets, net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87,209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79,149</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59,871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59,871</w:t>
            </w:r>
          </w:p>
        </w:tc>
        <w:tc>
          <w:tcPr>
            <w:tcW w:w="0" w:type="dxa"/>
            <w:vAlign w:val="bottom"/>
          </w:tcPr>
          <w:p>
            <w:pPr>
              <w:spacing w:after="0"/>
              <w:rPr>
                <w:sz w:val="1"/>
                <w:szCs w:val="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Equity method investment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135,675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123,034</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143,975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131,166</w:t>
            </w:r>
          </w:p>
        </w:tc>
        <w:tc>
          <w:tcPr>
            <w:tcW w:w="0" w:type="dxa"/>
            <w:vAlign w:val="bottom"/>
          </w:tcPr>
          <w:p>
            <w:pPr>
              <w:spacing w:after="0"/>
              <w:rPr>
                <w:sz w:val="1"/>
                <w:szCs w:val="1"/>
                <w:color w:val="auto"/>
              </w:rPr>
            </w:pPr>
          </w:p>
        </w:tc>
      </w:tr>
      <w:tr>
        <w:trPr>
          <w:trHeight w:val="158"/>
        </w:trPr>
        <w:tc>
          <w:tcPr>
            <w:tcW w:w="68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3,495,455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2,395,729</w:t>
            </w:r>
          </w:p>
        </w:tc>
        <w:tc>
          <w:tcPr>
            <w:tcW w:w="0" w:type="dxa"/>
            <w:vAlign w:val="bottom"/>
          </w:tcPr>
          <w:p>
            <w:pPr>
              <w:spacing w:after="0"/>
              <w:rPr>
                <w:sz w:val="1"/>
                <w:szCs w:val="1"/>
                <w:color w:val="auto"/>
              </w:rPr>
            </w:pPr>
          </w:p>
        </w:tc>
      </w:tr>
      <w:tr>
        <w:trPr>
          <w:trHeight w:val="135"/>
        </w:trPr>
        <w:tc>
          <w:tcPr>
            <w:tcW w:w="6860" w:type="dxa"/>
            <w:vAlign w:val="bottom"/>
            <w:shd w:val="clear" w:color="auto" w:fill="CCEEFF"/>
          </w:tcPr>
          <w:p>
            <w:pPr>
              <w:ind w:left="4620"/>
              <w:spacing w:after="0" w:line="135" w:lineRule="exact"/>
              <w:rPr>
                <w:sz w:val="20"/>
                <w:szCs w:val="20"/>
                <w:color w:val="auto"/>
              </w:rPr>
            </w:pPr>
            <w:r>
              <w:rPr>
                <w:rFonts w:ascii="Arial" w:cs="Arial" w:eastAsia="Arial" w:hAnsi="Arial"/>
                <w:sz w:val="12"/>
                <w:szCs w:val="12"/>
                <w:b w:val="1"/>
                <w:bCs w:val="1"/>
                <w:color w:val="auto"/>
              </w:rPr>
              <w:t>LIABILITIES AND EQUITY</w:t>
            </w:r>
          </w:p>
        </w:tc>
        <w:tc>
          <w:tcPr>
            <w:tcW w:w="3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payable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293,675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286,669</w:t>
            </w:r>
          </w:p>
        </w:tc>
        <w:tc>
          <w:tcPr>
            <w:tcW w:w="0" w:type="dxa"/>
            <w:vAlign w:val="bottom"/>
          </w:tcPr>
          <w:p>
            <w:pPr>
              <w:spacing w:after="0"/>
              <w:rPr>
                <w:sz w:val="1"/>
                <w:szCs w:val="1"/>
                <w:color w:val="auto"/>
              </w:rPr>
            </w:pP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Accrued expenses and other current liabilities</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251,481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200,442</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revenue</w:t>
            </w: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1,476,382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1,242,312</w:t>
            </w:r>
          </w:p>
        </w:tc>
        <w:tc>
          <w:tcPr>
            <w:tcW w:w="0" w:type="dxa"/>
            <w:vAlign w:val="bottom"/>
          </w:tcPr>
          <w:p>
            <w:pPr>
              <w:spacing w:after="0"/>
              <w:rPr>
                <w:sz w:val="1"/>
                <w:szCs w:val="1"/>
                <w:color w:val="auto"/>
              </w:rPr>
            </w:pPr>
          </w:p>
        </w:tc>
      </w:tr>
      <w:tr>
        <w:trPr>
          <w:trHeight w:val="142"/>
        </w:trPr>
        <w:tc>
          <w:tcPr>
            <w:tcW w:w="6860" w:type="dxa"/>
            <w:vAlign w:val="bottom"/>
          </w:tcPr>
          <w:p>
            <w:pPr>
              <w:ind w:left="440"/>
              <w:spacing w:after="0"/>
              <w:rPr>
                <w:sz w:val="20"/>
                <w:szCs w:val="20"/>
                <w:color w:val="auto"/>
              </w:rPr>
            </w:pPr>
            <w:r>
              <w:rPr>
                <w:rFonts w:ascii="Arial" w:cs="Arial" w:eastAsia="Arial" w:hAnsi="Arial"/>
                <w:sz w:val="12"/>
                <w:szCs w:val="12"/>
                <w:color w:val="auto"/>
              </w:rPr>
              <w:t>Total current liabilities</w:t>
            </w: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2,021,538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1,729,423</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384,025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124,932</w:t>
            </w:r>
          </w:p>
        </w:tc>
        <w:tc>
          <w:tcPr>
            <w:tcW w:w="0" w:type="dxa"/>
            <w:vAlign w:val="bottom"/>
          </w:tcPr>
          <w:p>
            <w:pPr>
              <w:spacing w:after="0"/>
              <w:rPr>
                <w:sz w:val="1"/>
                <w:szCs w:val="1"/>
                <w:color w:val="auto"/>
              </w:rPr>
            </w:pP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62,227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63,629</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liabilities</w:t>
            </w:r>
          </w:p>
        </w:tc>
        <w:tc>
          <w:tcPr>
            <w:tcW w:w="3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2,467,790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1,917,984</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Equity:</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860" w:type="dxa"/>
            <w:vAlign w:val="bottom"/>
          </w:tcPr>
          <w:p>
            <w:pPr>
              <w:ind w:left="300"/>
              <w:spacing w:after="0" w:line="122" w:lineRule="exact"/>
              <w:rPr>
                <w:sz w:val="20"/>
                <w:szCs w:val="20"/>
                <w:color w:val="auto"/>
              </w:rPr>
            </w:pPr>
            <w:r>
              <w:rPr>
                <w:rFonts w:ascii="Arial" w:cs="Arial" w:eastAsia="Arial" w:hAnsi="Arial"/>
                <w:sz w:val="12"/>
                <w:szCs w:val="12"/>
                <w:color w:val="auto"/>
                <w:w w:val="99"/>
              </w:rPr>
              <w:t>Class A Common Stock, 3,000,000,000 shares authorized, 127,015,993 and 112,635,932 shares issued and outstanding at</w:t>
            </w:r>
          </w:p>
        </w:tc>
        <w:tc>
          <w:tcPr>
            <w:tcW w:w="320" w:type="dxa"/>
            <w:vAlign w:val="bottom"/>
          </w:tcPr>
          <w:p>
            <w:pPr>
              <w:spacing w:after="0"/>
              <w:rPr>
                <w:sz w:val="10"/>
                <w:szCs w:val="10"/>
                <w:color w:val="auto"/>
              </w:rPr>
            </w:pPr>
          </w:p>
        </w:tc>
        <w:tc>
          <w:tcPr>
            <w:tcW w:w="156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7"/>
        </w:trPr>
        <w:tc>
          <w:tcPr>
            <w:tcW w:w="6860" w:type="dxa"/>
            <w:vAlign w:val="bottom"/>
          </w:tcPr>
          <w:p>
            <w:pPr>
              <w:ind w:left="300"/>
              <w:spacing w:after="0"/>
              <w:rPr>
                <w:sz w:val="20"/>
                <w:szCs w:val="20"/>
                <w:color w:val="auto"/>
              </w:rPr>
            </w:pPr>
            <w:r>
              <w:rPr>
                <w:rFonts w:ascii="Arial" w:cs="Arial" w:eastAsia="Arial" w:hAnsi="Arial"/>
                <w:sz w:val="12"/>
                <w:szCs w:val="12"/>
                <w:color w:val="auto"/>
              </w:rPr>
              <w:t>March 28, 2026 and September 27, 2025, respectively</w:t>
            </w:r>
          </w:p>
        </w:tc>
        <w:tc>
          <w:tcPr>
            <w:tcW w:w="3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860" w:type="dxa"/>
            <w:vAlign w:val="bottom"/>
            <w:shd w:val="clear" w:color="auto" w:fill="CCEEFF"/>
          </w:tcPr>
          <w:p>
            <w:pPr>
              <w:ind w:left="300"/>
              <w:spacing w:after="0" w:line="122" w:lineRule="exact"/>
              <w:rPr>
                <w:sz w:val="20"/>
                <w:szCs w:val="20"/>
                <w:color w:val="auto"/>
              </w:rPr>
            </w:pPr>
            <w:r>
              <w:rPr>
                <w:rFonts w:ascii="Arial" w:cs="Arial" w:eastAsia="Arial" w:hAnsi="Arial"/>
                <w:sz w:val="12"/>
                <w:szCs w:val="12"/>
                <w:color w:val="auto"/>
              </w:rPr>
              <w:t>Class V-1 Common Stock, 1,000,000,000 shares authorized, 71,940,208 and 74,693,311 shares issued and outstanding at</w:t>
            </w:r>
          </w:p>
        </w:tc>
        <w:tc>
          <w:tcPr>
            <w:tcW w:w="320" w:type="dxa"/>
            <w:vAlign w:val="bottom"/>
            <w:shd w:val="clear" w:color="auto" w:fill="CCEEFF"/>
          </w:tcPr>
          <w:p>
            <w:pPr>
              <w:spacing w:after="0"/>
              <w:rPr>
                <w:sz w:val="10"/>
                <w:szCs w:val="10"/>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7"/>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March 28, 2026 and September 27, 2025, respectively</w:t>
            </w:r>
          </w:p>
        </w:tc>
        <w:tc>
          <w:tcPr>
            <w:tcW w:w="320" w:type="dxa"/>
            <w:vAlign w:val="bottom"/>
            <w:shd w:val="clear" w:color="auto" w:fill="CCEEFF"/>
          </w:tcPr>
          <w:p>
            <w:pPr>
              <w:spacing w:after="0"/>
              <w:rPr>
                <w:sz w:val="13"/>
                <w:szCs w:val="13"/>
                <w:color w:val="auto"/>
              </w:rPr>
            </w:pPr>
          </w:p>
        </w:tc>
        <w:tc>
          <w:tcPr>
            <w:tcW w:w="1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860" w:type="dxa"/>
            <w:vAlign w:val="bottom"/>
          </w:tcPr>
          <w:p>
            <w:pPr>
              <w:ind w:left="300"/>
              <w:spacing w:after="0" w:line="122" w:lineRule="exact"/>
              <w:rPr>
                <w:sz w:val="20"/>
                <w:szCs w:val="20"/>
                <w:color w:val="auto"/>
              </w:rPr>
            </w:pPr>
            <w:r>
              <w:rPr>
                <w:rFonts w:ascii="Arial" w:cs="Arial" w:eastAsia="Arial" w:hAnsi="Arial"/>
                <w:sz w:val="12"/>
                <w:szCs w:val="12"/>
                <w:color w:val="auto"/>
              </w:rPr>
              <w:t>Class V-3 Common Stock, 450,000,000 shares authorized, 403,559,196 shares issued and outstanding at March 28, 2026</w:t>
            </w:r>
          </w:p>
        </w:tc>
        <w:tc>
          <w:tcPr>
            <w:tcW w:w="320" w:type="dxa"/>
            <w:vAlign w:val="bottom"/>
          </w:tcPr>
          <w:p>
            <w:pPr>
              <w:spacing w:after="0"/>
              <w:rPr>
                <w:sz w:val="10"/>
                <w:szCs w:val="10"/>
                <w:color w:val="auto"/>
              </w:rPr>
            </w:pPr>
          </w:p>
        </w:tc>
        <w:tc>
          <w:tcPr>
            <w:tcW w:w="1560" w:type="dxa"/>
            <w:vAlign w:val="bottom"/>
            <w:vMerge w:val="restart"/>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restart"/>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7"/>
        </w:trPr>
        <w:tc>
          <w:tcPr>
            <w:tcW w:w="6860" w:type="dxa"/>
            <w:vAlign w:val="bottom"/>
          </w:tcPr>
          <w:p>
            <w:pPr>
              <w:ind w:left="300"/>
              <w:spacing w:after="0"/>
              <w:rPr>
                <w:sz w:val="20"/>
                <w:szCs w:val="20"/>
                <w:color w:val="auto"/>
              </w:rPr>
            </w:pPr>
            <w:r>
              <w:rPr>
                <w:rFonts w:ascii="Arial" w:cs="Arial" w:eastAsia="Arial" w:hAnsi="Arial"/>
                <w:sz w:val="12"/>
                <w:szCs w:val="12"/>
                <w:color w:val="auto"/>
              </w:rPr>
              <w:t>and September 27, 2025</w:t>
            </w:r>
          </w:p>
        </w:tc>
        <w:tc>
          <w:tcPr>
            <w:tcW w:w="3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Additional paid-in capital</w:t>
            </w:r>
          </w:p>
        </w:tc>
        <w:tc>
          <w:tcPr>
            <w:tcW w:w="3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2,018,008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1,556,611</w:t>
            </w:r>
          </w:p>
        </w:tc>
        <w:tc>
          <w:tcPr>
            <w:tcW w:w="0" w:type="dxa"/>
            <w:vAlign w:val="bottom"/>
          </w:tcPr>
          <w:p>
            <w:pPr>
              <w:spacing w:after="0"/>
              <w:rPr>
                <w:sz w:val="1"/>
                <w:szCs w:val="1"/>
                <w:color w:val="auto"/>
              </w:rPr>
            </w:pP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Accumulated deficit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(1,329,212)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(1,333,783)</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Accumulated other comprehensive loss</w:t>
            </w: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(2,695)</w:t>
            </w:r>
          </w:p>
        </w:tc>
        <w:tc>
          <w:tcPr>
            <w:tcW w:w="0" w:type="dxa"/>
            <w:vAlign w:val="bottom"/>
          </w:tcPr>
          <w:p>
            <w:pPr>
              <w:spacing w:after="0"/>
              <w:rPr>
                <w:sz w:val="1"/>
                <w:szCs w:val="1"/>
                <w:color w:val="auto"/>
              </w:rPr>
            </w:pPr>
          </w:p>
        </w:tc>
      </w:tr>
      <w:tr>
        <w:trPr>
          <w:trHeight w:val="142"/>
        </w:trPr>
        <w:tc>
          <w:tcPr>
            <w:tcW w:w="6860" w:type="dxa"/>
            <w:vAlign w:val="bottom"/>
          </w:tcPr>
          <w:p>
            <w:pPr>
              <w:ind w:left="440"/>
              <w:spacing w:after="0"/>
              <w:rPr>
                <w:sz w:val="20"/>
                <w:szCs w:val="20"/>
                <w:color w:val="auto"/>
              </w:rPr>
            </w:pPr>
            <w:r>
              <w:rPr>
                <w:rFonts w:ascii="Arial" w:cs="Arial" w:eastAsia="Arial" w:hAnsi="Arial"/>
                <w:sz w:val="12"/>
                <w:szCs w:val="12"/>
                <w:color w:val="auto"/>
              </w:rPr>
              <w:t>Total stockholders' equity</w:t>
            </w: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686,144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220,193</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Noncontrolling interest</w:t>
            </w:r>
          </w:p>
        </w:tc>
        <w:tc>
          <w:tcPr>
            <w:tcW w:w="3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341,521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257,552</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equity</w:t>
            </w: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1,027,665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477,745</w:t>
            </w:r>
          </w:p>
        </w:tc>
        <w:tc>
          <w:tcPr>
            <w:tcW w:w="0" w:type="dxa"/>
            <w:vAlign w:val="bottom"/>
          </w:tcPr>
          <w:p>
            <w:pPr>
              <w:spacing w:after="0"/>
              <w:rPr>
                <w:sz w:val="1"/>
                <w:szCs w:val="1"/>
                <w:color w:val="auto"/>
              </w:rPr>
            </w:pPr>
          </w:p>
        </w:tc>
      </w:tr>
      <w:tr>
        <w:trPr>
          <w:trHeight w:val="15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equity</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3,495,455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2,395,729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700"/>
          </w:cols>
          <w:pgMar w:left="600" w:top="1061" w:right="5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t>Symbotic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180" w:type="dxa"/>
            <w:vAlign w:val="bottom"/>
          </w:tcPr>
          <w:p>
            <w:pPr>
              <w:spacing w:after="0"/>
              <w:rPr>
                <w:sz w:val="11"/>
                <w:szCs w:val="11"/>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6"/>
              <w:spacing w:after="0"/>
              <w:rPr>
                <w:sz w:val="20"/>
                <w:szCs w:val="20"/>
                <w:color w:val="auto"/>
              </w:rPr>
            </w:pPr>
            <w:r>
              <w:rPr>
                <w:rFonts w:ascii="Arial" w:cs="Arial" w:eastAsia="Arial" w:hAnsi="Arial"/>
                <w:sz w:val="11"/>
                <w:szCs w:val="11"/>
                <w:b w:val="1"/>
                <w:bCs w:val="1"/>
                <w:color w:val="auto"/>
              </w:rPr>
              <w:t>March 29, 2025</w:t>
            </w:r>
          </w:p>
        </w:tc>
        <w:tc>
          <w:tcPr>
            <w:tcW w:w="0" w:type="dxa"/>
            <w:vAlign w:val="bottom"/>
          </w:tcPr>
          <w:p>
            <w:pPr>
              <w:spacing w:after="0"/>
              <w:rPr>
                <w:sz w:val="1"/>
                <w:szCs w:val="1"/>
                <w:color w:val="auto"/>
              </w:rPr>
            </w:pPr>
          </w:p>
        </w:tc>
      </w:tr>
      <w:tr>
        <w:trPr>
          <w:trHeight w:val="124"/>
        </w:trPr>
        <w:tc>
          <w:tcPr>
            <w:tcW w:w="422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Cash flows from operating activities:</w:t>
            </w: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140"/>
              <w:spacing w:after="0"/>
              <w:rPr>
                <w:sz w:val="20"/>
                <w:szCs w:val="20"/>
                <w:color w:val="auto"/>
              </w:rPr>
            </w:pPr>
            <w:r>
              <w:rPr>
                <w:rFonts w:ascii="Arial" w:cs="Arial" w:eastAsia="Arial" w:hAnsi="Arial"/>
                <w:sz w:val="11"/>
                <w:szCs w:val="11"/>
                <w:color w:val="auto"/>
              </w:rPr>
              <w:t>Net income (loss)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9,429</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13,358</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(9,852)</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22,787</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(26,711)</w:t>
            </w:r>
          </w:p>
        </w:tc>
        <w:tc>
          <w:tcPr>
            <w:tcW w:w="0" w:type="dxa"/>
            <w:vAlign w:val="bottom"/>
          </w:tcPr>
          <w:p>
            <w:pPr>
              <w:spacing w:after="0"/>
              <w:rPr>
                <w:sz w:val="1"/>
                <w:szCs w:val="1"/>
                <w:color w:val="auto"/>
              </w:rPr>
            </w:pPr>
          </w:p>
        </w:tc>
      </w:tr>
      <w:tr>
        <w:trPr>
          <w:trHeight w:val="109"/>
        </w:trPr>
        <w:tc>
          <w:tcPr>
            <w:tcW w:w="4220" w:type="dxa"/>
            <w:vAlign w:val="bottom"/>
            <w:shd w:val="clear" w:color="auto" w:fill="CCEEFF"/>
          </w:tcPr>
          <w:p>
            <w:pPr>
              <w:ind w:left="140"/>
              <w:spacing w:after="0" w:line="110" w:lineRule="exact"/>
              <w:rPr>
                <w:sz w:val="20"/>
                <w:szCs w:val="20"/>
                <w:color w:val="auto"/>
              </w:rPr>
            </w:pPr>
            <w:r>
              <w:rPr>
                <w:rFonts w:ascii="Arial" w:cs="Arial" w:eastAsia="Arial" w:hAnsi="Arial"/>
                <w:sz w:val="11"/>
                <w:szCs w:val="11"/>
                <w:color w:val="auto"/>
              </w:rPr>
              <w:t>Adjustments to reconcile net income (loss) to net cash provided by operating</w:t>
            </w: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activities: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11,323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8,704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11,153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20,027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18,013</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Amortization of leases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2,536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1,126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1,911</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Restructuring of leases</w:t>
            </w:r>
          </w:p>
        </w:tc>
        <w:tc>
          <w:tcPr>
            <w:tcW w:w="18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Loss from equity method investment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6,945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2,491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4,055</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Foreign currency losses (gains)</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Loss on disposal of assets</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Provision for excess and obsolete inventory</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4,753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4,832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292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9,585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980</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Deferred taxes, net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48,549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45,941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30,919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94,490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55,522</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Gain from strategic investment fair value adjustment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(4,481)</w:t>
            </w:r>
          </w:p>
        </w:tc>
        <w:tc>
          <w:tcPr>
            <w:tcW w:w="0" w:type="dxa"/>
            <w:vAlign w:val="bottom"/>
          </w:tcPr>
          <w:p>
            <w:pPr>
              <w:spacing w:after="0"/>
              <w:rPr>
                <w:sz w:val="1"/>
                <w:szCs w:val="1"/>
                <w:color w:val="auto"/>
              </w:rPr>
            </w:pPr>
          </w:p>
        </w:tc>
      </w:tr>
      <w:tr>
        <w:trPr>
          <w:trHeight w:val="143"/>
        </w:trPr>
        <w:tc>
          <w:tcPr>
            <w:tcW w:w="422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Accounts receivable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64,181</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Inventories</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(23,184)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(24,122)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(23,232)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(47,306)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(33,657)</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(209,544)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90,341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(261,270)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101,167</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Deferred expenses</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(15,731)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(7,275)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(1,757)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(23,006)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(3,921)</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assets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7,288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(7,479)</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Accounts payable</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41,661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(23,857)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13,806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17,804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44,951</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41,334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(65,685)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50,052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(20,145)</w:t>
            </w: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Deferred revenue</w:t>
            </w: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360,362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132,244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230,283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492,606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288,619</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Acquisition-related consideration paid to customer</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422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Other liabilities</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2,182</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(8,592)</w:t>
            </w:r>
          </w:p>
        </w:tc>
        <w:tc>
          <w:tcPr>
            <w:tcW w:w="0" w:type="dxa"/>
            <w:vAlign w:val="bottom"/>
          </w:tcPr>
          <w:p>
            <w:pPr>
              <w:spacing w:after="0"/>
              <w:rPr>
                <w:sz w:val="1"/>
                <w:szCs w:val="1"/>
                <w:color w:val="auto"/>
              </w:rPr>
            </w:pPr>
          </w:p>
        </w:tc>
      </w:tr>
      <w:tr>
        <w:trPr>
          <w:trHeight w:val="134"/>
        </w:trPr>
        <w:tc>
          <w:tcPr>
            <w:tcW w:w="42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Net cash provided by operating activities</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261,341</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191,540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269,575</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452,881</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474,602</w:t>
            </w:r>
          </w:p>
        </w:tc>
        <w:tc>
          <w:tcPr>
            <w:tcW w:w="0" w:type="dxa"/>
            <w:vAlign w:val="bottom"/>
          </w:tcPr>
          <w:p>
            <w:pPr>
              <w:spacing w:after="0"/>
              <w:rPr>
                <w:sz w:val="1"/>
                <w:szCs w:val="1"/>
                <w:color w:val="auto"/>
              </w:rPr>
            </w:pPr>
          </w:p>
        </w:tc>
      </w:tr>
      <w:tr>
        <w:trPr>
          <w:trHeight w:val="123"/>
        </w:trPr>
        <w:tc>
          <w:tcPr>
            <w:tcW w:w="4220" w:type="dxa"/>
            <w:vAlign w:val="bottom"/>
          </w:tcPr>
          <w:p>
            <w:pPr>
              <w:spacing w:after="0" w:line="122" w:lineRule="exact"/>
              <w:rPr>
                <w:sz w:val="20"/>
                <w:szCs w:val="20"/>
                <w:color w:val="auto"/>
              </w:rPr>
            </w:pPr>
            <w:r>
              <w:rPr>
                <w:rFonts w:ascii="Arial" w:cs="Arial" w:eastAsia="Arial" w:hAnsi="Arial"/>
                <w:sz w:val="11"/>
                <w:szCs w:val="11"/>
                <w:color w:val="auto"/>
              </w:rPr>
              <w:t>Cash flows from investing activities:</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20" w:type="dxa"/>
            <w:vAlign w:val="bottom"/>
            <w:shd w:val="clear" w:color="auto" w:fill="CCEEFF"/>
          </w:tcPr>
          <w:p>
            <w:pPr>
              <w:ind w:left="300"/>
              <w:spacing w:after="0" w:line="110" w:lineRule="exact"/>
              <w:rPr>
                <w:sz w:val="20"/>
                <w:szCs w:val="20"/>
                <w:color w:val="auto"/>
              </w:rPr>
            </w:pPr>
            <w:r>
              <w:rPr>
                <w:rFonts w:ascii="Arial" w:cs="Arial" w:eastAsia="Arial" w:hAnsi="Arial"/>
                <w:sz w:val="11"/>
                <w:szCs w:val="11"/>
                <w:color w:val="auto"/>
              </w:rPr>
              <w:t>Purchases of property and equipment and capitalization of internal use software</w:t>
            </w: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(43,368)</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(2,052)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(20,560)</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(45,420)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(27,917)</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development costs</w:t>
            </w: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20" w:type="dxa"/>
            <w:vAlign w:val="bottom"/>
          </w:tcPr>
          <w:p>
            <w:pPr>
              <w:ind w:left="300"/>
              <w:spacing w:after="0"/>
              <w:rPr>
                <w:sz w:val="20"/>
                <w:szCs w:val="20"/>
                <w:color w:val="auto"/>
              </w:rPr>
            </w:pPr>
            <w:r>
              <w:rPr>
                <w:rFonts w:ascii="Arial" w:cs="Arial" w:eastAsia="Arial" w:hAnsi="Arial"/>
                <w:sz w:val="11"/>
                <w:szCs w:val="11"/>
                <w:color w:val="auto"/>
              </w:rPr>
              <w:t>Acquisitions of strategic investments</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(31,456)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(38,528)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(69,984)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(17,992)</w:t>
            </w:r>
          </w:p>
        </w:tc>
        <w:tc>
          <w:tcPr>
            <w:tcW w:w="0" w:type="dxa"/>
            <w:vAlign w:val="bottom"/>
          </w:tcPr>
          <w:p>
            <w:pPr>
              <w:spacing w:after="0"/>
              <w:rPr>
                <w:sz w:val="1"/>
                <w:szCs w:val="1"/>
                <w:color w:val="auto"/>
              </w:rPr>
            </w:pPr>
          </w:p>
        </w:tc>
      </w:tr>
      <w:tr>
        <w:trPr>
          <w:trHeight w:val="145"/>
        </w:trPr>
        <w:tc>
          <w:tcPr>
            <w:tcW w:w="42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Cash paid for business acquisitions</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c>
          <w:tcPr>
            <w:tcW w:w="0" w:type="dxa"/>
            <w:vAlign w:val="bottom"/>
          </w:tcPr>
          <w:p>
            <w:pPr>
              <w:spacing w:after="0"/>
              <w:rPr>
                <w:sz w:val="1"/>
                <w:szCs w:val="1"/>
                <w:color w:val="auto"/>
              </w:rPr>
            </w:pPr>
          </w:p>
        </w:tc>
      </w:tr>
      <w:tr>
        <w:trPr>
          <w:trHeight w:val="132"/>
        </w:trPr>
        <w:tc>
          <w:tcPr>
            <w:tcW w:w="422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Net cash used in investing activities</w:t>
            </w: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(74,824)</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(40,580)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(220,560)</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(115,404)</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(245,909)</w:t>
            </w:r>
          </w:p>
        </w:tc>
        <w:tc>
          <w:tcPr>
            <w:tcW w:w="0" w:type="dxa"/>
            <w:vAlign w:val="bottom"/>
          </w:tcPr>
          <w:p>
            <w:pPr>
              <w:spacing w:after="0"/>
              <w:rPr>
                <w:sz w:val="1"/>
                <w:szCs w:val="1"/>
                <w:color w:val="auto"/>
              </w:rPr>
            </w:pPr>
          </w:p>
        </w:tc>
      </w:tr>
      <w:tr>
        <w:trPr>
          <w:trHeight w:val="125"/>
        </w:trPr>
        <w:tc>
          <w:tcPr>
            <w:tcW w:w="4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Cash flows from financing activities:</w:t>
            </w: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tcPr>
          <w:p>
            <w:pPr>
              <w:ind w:left="440"/>
              <w:spacing w:after="0" w:line="109" w:lineRule="exact"/>
              <w:rPr>
                <w:sz w:val="20"/>
                <w:szCs w:val="20"/>
                <w:color w:val="auto"/>
              </w:rPr>
            </w:pPr>
            <w:r>
              <w:rPr>
                <w:rFonts w:ascii="Arial" w:cs="Arial" w:eastAsia="Arial" w:hAnsi="Arial"/>
                <w:sz w:val="11"/>
                <w:szCs w:val="11"/>
                <w:color w:val="auto"/>
              </w:rPr>
              <w:t>Payment for taxes related to net share settlement of stock-based</w:t>
            </w:r>
          </w:p>
        </w:tc>
        <w:tc>
          <w:tcPr>
            <w:tcW w:w="180" w:type="dxa"/>
            <w:vAlign w:val="bottom"/>
          </w:tcPr>
          <w:p>
            <w:pPr>
              <w:spacing w:after="0"/>
              <w:rPr>
                <w:sz w:val="9"/>
                <w:szCs w:val="9"/>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1"/>
                <w:szCs w:val="11"/>
                <w:color w:val="auto"/>
              </w:rPr>
              <w:t>(3,012)</w:t>
            </w:r>
          </w:p>
        </w:tc>
        <w:tc>
          <w:tcPr>
            <w:tcW w:w="0" w:type="dxa"/>
            <w:vAlign w:val="bottom"/>
          </w:tcPr>
          <w:p>
            <w:pPr>
              <w:spacing w:after="0"/>
              <w:rPr>
                <w:sz w:val="1"/>
                <w:szCs w:val="1"/>
                <w:color w:val="auto"/>
              </w:rPr>
            </w:pPr>
          </w:p>
        </w:tc>
      </w:tr>
      <w:tr>
        <w:trPr>
          <w:trHeight w:val="143"/>
        </w:trPr>
        <w:tc>
          <w:tcPr>
            <w:tcW w:w="4220" w:type="dxa"/>
            <w:vAlign w:val="bottom"/>
          </w:tcPr>
          <w:p>
            <w:pPr>
              <w:ind w:left="440"/>
              <w:spacing w:after="0"/>
              <w:rPr>
                <w:sz w:val="20"/>
                <w:szCs w:val="20"/>
                <w:color w:val="auto"/>
              </w:rPr>
            </w:pPr>
            <w:r>
              <w:rPr>
                <w:rFonts w:ascii="Arial" w:cs="Arial" w:eastAsia="Arial" w:hAnsi="Arial"/>
                <w:sz w:val="11"/>
                <w:szCs w:val="11"/>
                <w:color w:val="auto"/>
              </w:rPr>
              <w:t>compensation awards</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20" w:type="dxa"/>
            <w:vAlign w:val="bottom"/>
            <w:shd w:val="clear" w:color="auto" w:fill="CCEEFF"/>
          </w:tcPr>
          <w:p>
            <w:pPr>
              <w:ind w:left="440"/>
              <w:spacing w:after="0" w:line="110" w:lineRule="exact"/>
              <w:rPr>
                <w:sz w:val="20"/>
                <w:szCs w:val="20"/>
                <w:color w:val="auto"/>
              </w:rPr>
            </w:pPr>
            <w:r>
              <w:rPr>
                <w:rFonts w:ascii="Arial" w:cs="Arial" w:eastAsia="Arial" w:hAnsi="Arial"/>
                <w:sz w:val="11"/>
                <w:szCs w:val="11"/>
                <w:color w:val="auto"/>
                <w:w w:val="98"/>
              </w:rPr>
              <w:t>Net proceeds from issuance of common stock under employee stock purchase</w:t>
            </w: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3,898</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3,233</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3,898</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3,233</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plan</w:t>
            </w: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1063"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3"/>
        </w:trPr>
        <w:tc>
          <w:tcPr>
            <w:tcW w:w="4220" w:type="dxa"/>
            <w:vAlign w:val="bottom"/>
          </w:tcPr>
          <w:p>
            <w:pPr>
              <w:ind w:left="440"/>
              <w:spacing w:after="0"/>
              <w:rPr>
                <w:sz w:val="20"/>
                <w:szCs w:val="20"/>
                <w:color w:val="auto"/>
              </w:rPr>
            </w:pPr>
            <w:r>
              <w:rPr>
                <w:rFonts w:ascii="Arial" w:cs="Arial" w:eastAsia="Arial" w:hAnsi="Arial"/>
                <w:sz w:val="11"/>
                <w:szCs w:val="11"/>
                <w:color w:val="auto"/>
              </w:rPr>
              <w:t>Distributions to or on behalf of Symbotic Holdings LLC partners</w:t>
            </w:r>
          </w:p>
        </w:tc>
        <w:tc>
          <w:tcPr>
            <w:tcW w:w="18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(382)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(1,232)</w:t>
            </w:r>
          </w:p>
        </w:tc>
      </w:tr>
      <w:tr>
        <w:trPr>
          <w:trHeight w:val="145"/>
        </w:trPr>
        <w:tc>
          <w:tcPr>
            <w:tcW w:w="422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issuance of Class A common stock</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424,368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424,307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32"/>
        </w:trPr>
        <w:tc>
          <w:tcPr>
            <w:tcW w:w="422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Net cash provided by (used in) financing activities</w:t>
            </w: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3,837</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423,146</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2,851</w:t>
            </w:r>
          </w:p>
        </w:tc>
        <w:tc>
          <w:tcPr>
            <w:tcW w:w="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426,983</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(1,011)</w:t>
            </w:r>
          </w:p>
        </w:tc>
      </w:tr>
      <w:tr>
        <w:trPr>
          <w:trHeight w:val="134"/>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32"/>
        </w:trPr>
        <w:tc>
          <w:tcPr>
            <w:tcW w:w="4220" w:type="dxa"/>
            <w:vAlign w:val="bottom"/>
          </w:tcPr>
          <w:p>
            <w:pPr>
              <w:spacing w:after="0"/>
              <w:rPr>
                <w:sz w:val="20"/>
                <w:szCs w:val="20"/>
                <w:color w:val="auto"/>
              </w:rPr>
            </w:pPr>
            <w:r>
              <w:rPr>
                <w:rFonts w:ascii="Arial" w:cs="Arial" w:eastAsia="Arial" w:hAnsi="Arial"/>
                <w:sz w:val="11"/>
                <w:szCs w:val="11"/>
                <w:color w:val="auto"/>
              </w:rPr>
              <w:t>Net increase in cash, cash equivalents, and restricted cash</w:t>
            </w:r>
          </w:p>
        </w:tc>
        <w:tc>
          <w:tcPr>
            <w:tcW w:w="180" w:type="dxa"/>
            <w:vAlign w:val="bottom"/>
          </w:tcPr>
          <w:p>
            <w:pPr>
              <w:spacing w:after="0"/>
              <w:rPr>
                <w:sz w:val="11"/>
                <w:szCs w:val="11"/>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190,338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574,114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51,916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764,452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227,648</w:t>
            </w: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1,821,307</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1,247,193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906,086</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1,247,193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730,354</w:t>
            </w:r>
          </w:p>
        </w:tc>
      </w:tr>
      <w:tr>
        <w:trPr>
          <w:trHeight w:val="134"/>
        </w:trPr>
        <w:tc>
          <w:tcPr>
            <w:tcW w:w="4220" w:type="dxa"/>
            <w:vAlign w:val="bottom"/>
          </w:tcPr>
          <w:p>
            <w:pPr>
              <w:spacing w:after="0"/>
              <w:rPr>
                <w:sz w:val="20"/>
                <w:szCs w:val="20"/>
                <w:color w:val="auto"/>
              </w:rPr>
            </w:pPr>
            <w:r>
              <w:rPr>
                <w:rFonts w:ascii="Arial" w:cs="Arial" w:eastAsia="Arial" w:hAnsi="Arial"/>
                <w:sz w:val="11"/>
                <w:szCs w:val="11"/>
                <w:color w:val="auto"/>
              </w:rPr>
              <w:t>Cash, cash equivalents, and restricted cash - end of period</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2,011,645</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1,821,307</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958,002</w:t>
            </w:r>
          </w:p>
        </w:tc>
        <w:tc>
          <w:tcPr>
            <w:tcW w:w="6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2,011,645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958,002</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62"/>
        </w:trPr>
        <w:tc>
          <w:tcPr>
            <w:tcW w:w="4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Six Months Ended</w:t>
            </w:r>
          </w:p>
        </w:tc>
      </w:tr>
      <w:tr>
        <w:trPr>
          <w:trHeight w:val="133"/>
        </w:trPr>
        <w:tc>
          <w:tcPr>
            <w:tcW w:w="422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1"/>
                <w:szCs w:val="11"/>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28, 2026</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December 27, 2025</w:t>
            </w:r>
          </w:p>
        </w:tc>
        <w:tc>
          <w:tcPr>
            <w:tcW w:w="180" w:type="dxa"/>
            <w:vAlign w:val="bottom"/>
          </w:tcPr>
          <w:p>
            <w:pPr>
              <w:spacing w:after="0"/>
              <w:rPr>
                <w:sz w:val="11"/>
                <w:szCs w:val="11"/>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29, 2025</w:t>
            </w:r>
          </w:p>
        </w:tc>
        <w:tc>
          <w:tcPr>
            <w:tcW w:w="180" w:type="dxa"/>
            <w:vAlign w:val="bottom"/>
          </w:tcPr>
          <w:p>
            <w:pPr>
              <w:spacing w:after="0"/>
              <w:rPr>
                <w:sz w:val="11"/>
                <w:szCs w:val="11"/>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28, 2026</w:t>
            </w:r>
          </w:p>
        </w:tc>
        <w:tc>
          <w:tcPr>
            <w:tcW w:w="180" w:type="dxa"/>
            <w:vAlign w:val="bottom"/>
          </w:tcPr>
          <w:p>
            <w:pPr>
              <w:spacing w:after="0"/>
              <w:rPr>
                <w:sz w:val="11"/>
                <w:szCs w:val="11"/>
                <w:color w:val="auto"/>
              </w:rPr>
            </w:pPr>
          </w:p>
        </w:tc>
        <w:tc>
          <w:tcPr>
            <w:tcW w:w="1180" w:type="dxa"/>
            <w:vAlign w:val="bottom"/>
          </w:tcPr>
          <w:p>
            <w:pPr>
              <w:jc w:val="right"/>
              <w:ind w:right="246"/>
              <w:spacing w:after="0"/>
              <w:rPr>
                <w:sz w:val="20"/>
                <w:szCs w:val="20"/>
                <w:color w:val="auto"/>
              </w:rPr>
            </w:pPr>
            <w:r>
              <w:rPr>
                <w:rFonts w:ascii="Arial" w:cs="Arial" w:eastAsia="Arial" w:hAnsi="Arial"/>
                <w:sz w:val="11"/>
                <w:szCs w:val="11"/>
                <w:b w:val="1"/>
                <w:bCs w:val="1"/>
                <w:color w:val="auto"/>
              </w:rPr>
              <w:t>March 29, 2025</w:t>
            </w:r>
          </w:p>
        </w:tc>
      </w:tr>
      <w:tr>
        <w:trPr>
          <w:trHeight w:val="124"/>
        </w:trPr>
        <w:tc>
          <w:tcPr>
            <w:tcW w:w="422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Reconciliation of cash, cash equivalents, and restricted cash:</w:t>
            </w: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r>
      <w:tr>
        <w:trPr>
          <w:trHeight w:val="143"/>
        </w:trPr>
        <w:tc>
          <w:tcPr>
            <w:tcW w:w="4220" w:type="dxa"/>
            <w:vAlign w:val="bottom"/>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2,009,435</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1,819,102</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954,944</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2,009,435</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954,944</w:t>
            </w:r>
          </w:p>
        </w:tc>
      </w:tr>
      <w:tr>
        <w:trPr>
          <w:trHeight w:val="144"/>
        </w:trPr>
        <w:tc>
          <w:tcPr>
            <w:tcW w:w="42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2,210</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3,058</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3,058</w:t>
            </w:r>
          </w:p>
        </w:tc>
      </w:tr>
      <w:tr>
        <w:trPr>
          <w:trHeight w:val="134"/>
        </w:trPr>
        <w:tc>
          <w:tcPr>
            <w:tcW w:w="4220" w:type="dxa"/>
            <w:vAlign w:val="bottom"/>
          </w:tcPr>
          <w:p>
            <w:pPr>
              <w:ind w:left="300"/>
              <w:spacing w:after="0"/>
              <w:rPr>
                <w:sz w:val="20"/>
                <w:szCs w:val="20"/>
                <w:color w:val="auto"/>
              </w:rPr>
            </w:pPr>
            <w:r>
              <w:rPr>
                <w:rFonts w:ascii="Arial" w:cs="Arial" w:eastAsia="Arial" w:hAnsi="Arial"/>
                <w:sz w:val="11"/>
                <w:szCs w:val="11"/>
                <w:color w:val="auto"/>
              </w:rPr>
              <w:t>Cash, cash equivalents, and restricted cash</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2,011,645</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1,821,307</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958,002</w:t>
            </w:r>
          </w:p>
        </w:tc>
        <w:tc>
          <w:tcPr>
            <w:tcW w:w="6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2,011,645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958,002</w:t>
            </w: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1166" w:right="29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271780</wp:posOffset>
            </wp:positionV>
            <wp:extent cx="7127240" cy="10332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375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75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7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67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1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61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1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61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0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6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374650</wp:posOffset>
            </wp:positionV>
            <wp:extent cx="7127240" cy="10229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22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12724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272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7130415" cy="3466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66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2026-05-06T15:14:59Z</dcterms:created>
  <dcterms:modified xsi:type="dcterms:W3CDTF">2026-05-06T15:14:59Z</dcterms:modified>
</cp:coreProperties>
</file>