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Symbotic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Joseph M. Ruschell</w:t>
              <w:br/>
              <w:t xml:space="preserve">1 Customer Drive, </w:t>
              <w:br/>
              <w:t>Bentonville, AR, 72716</w:t>
              <w:br/>
              <w:t>479-273-4000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Walmart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76,350,823.00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76,350,823.00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76,350,823.00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9, and 11. Includes (i) 15,000,000 shares of Class A Common Stock, par value $0.0001 per share ("Class A Common Stock") owned by the Reporting Person and (ii) 61,350,823 shares of Class A Common Stock that may be acquired by the Reporting Person upon the exchange of 61,350,823 common units ("OpCo Units") in Symbotic Holdings LLC, a wholly-owned subsidiary of the Issuer. Incident to its ownership of OpCo Units, the Reporting Person also owns 61,350,823 shares of the Issuer's Class V-1 common stock, par value $0.0001 ("Class V-1 Common Stock"), which carry one vote per share but confer no economic interest in the Issuer. Upon an exchange of OpCo Units for Class A Common Stock, an equal number of shares of Class V-1 Common Stock would be cancelled. Row 13. The percentage used herein and in the rest of this Schedule 13D is calculated based upon 129,873,381 shares of the Issuer's Class A Common Stock outstanding as of August 3, 2026, as disclosed in the Issuer's Quarterly Report on Form 10-Q filed with the Securities and Exchange Commission on August 5, 2026, and after giving effect to the exchange of all 61,350,823 OpCo Units held by the Reporting Person into an equal number of shares of Class A Common Stock. On a fully diluted basis (including all of the outstanding shares of the Issuer's Class A Common Stock, the 71,369,131 outstanding shares of Class V-1 Common Stock and the 403,559,196 outstanding shares of the Issuer's Class V-3 common stock, par value $0.0001 per share), the Reporting Person beneficially owns approximately 12.6% of the Issuer's total common stock outstanding, and approximately 5.4% of the aggregate voting power of the Issuer's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1"/>
        <w:gridCol w:w="8878"/>
        <w:gridCol w:w="166"/>
      </w:tblGrid>
      <w:tr>
        <w:trPr/>
        <w:tc>
          <w:tcPr>
            <w:tcW w:w="1161"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Security and Issuer</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Symbotic Inc.</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RESEARCH DRIVE, WILMINGTON, MASSACHUSETTS , 01887.</w:t>
            </w:r>
          </w:p>
        </w:tc>
        <w:tc>
          <w:tcPr>
            <w:tcW w:w="16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(this "Amendment") amends and supplements the information in the Schedule 13D relating to the Class A common stock, $0.0001 par value per share (the "Class A Common Stock"), of Symbotic Inc., a Delaware corporation (the "Issuer"), filed by the Reporting Person on June 21, 2022, as amended by Amendment No. 1 to Schedule 13D filed by the Reporting Person on July 21, 2022, Amendment No. 2 to Schedule 13D filed by the Reporting Person on December 14, 2023 and Amendment No. 3 to the Schedule 13D filed by the Reporting Person on January 17, 2025 (collectively, the "Schedule 13D"). Unless otherwise indicated, each capitalized term used but not defined in this Amendment shall have the meaning assigned to such term in the Schedule 13D. The Reporting Person's equity holdings in the Issuer have not changed since the Amendment No. 2 to Schedule 13D filed on December 14, 2023, but this Amendment is being filed to reflect certain updates to Items 2, 5 and 7 of the Schedule 13D and to reflect changes in the percentage of the Class A Common Stock owned by the Reporting Person as a result of changes in the amount of Class A Common Stock outstanding.</w:t>
            </w:r>
          </w:p>
        </w:tc>
      </w:tr>
      <w:tr>
        <w:trPr/>
        <w:tc>
          <w:tcPr>
            <w:tcW w:w="1161" w:type="dxa"/>
            <w:tcBorders/>
            <w:vAlign w:val="center"/>
          </w:tcPr>
          <w:p>
            <w:pPr>
              <w:pStyle w:val="TableContents"/>
              <w:bidi w:val="0"/>
              <w:spacing w:before="0" w:after="283"/>
              <w:jc w:val="left"/>
              <w:rPr/>
            </w:pPr>
            <w:r>
              <w:rPr/>
              <w:t>Item 2.</w:t>
            </w:r>
          </w:p>
        </w:tc>
        <w:tc>
          <w:tcPr>
            <w:tcW w:w="8878" w:type="dxa"/>
            <w:tcBorders/>
            <w:vAlign w:val="center"/>
          </w:tcPr>
          <w:p>
            <w:pPr>
              <w:pStyle w:val="TableContents"/>
              <w:bidi w:val="0"/>
              <w:spacing w:before="0" w:after="283"/>
              <w:jc w:val="left"/>
              <w:rPr/>
            </w:pPr>
            <w:r>
              <w:rPr/>
              <w:t>Identity and Background</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The second and third paragraphs of Item 2 of the Schedule 13D are hereby amended and restated as follows: Schedule I attached hereto lists the executive officers and directors of the Reporting Person (the "Related Parties") and their respective principal occupation, address and citizenship. See Exhibit 99.1.</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0"/>
              <w:jc w:val="left"/>
              <w:rPr/>
            </w:pPr>
            <w:r>
              <w:rPr/>
              <w:t>The second and third paragraphs of Item 2 of the Schedule 13D are hereby amended and restated as follows: Schedule I attached hereto lists the executive officers and directors of the Reporting Person (the "Related Parties") and their respective principal occupation, address and citizenship. See Exhibit 99.1.</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0"/>
              <w:jc w:val="left"/>
              <w:rPr/>
            </w:pPr>
            <w:r>
              <w:rPr/>
              <w:t>The second and third paragraphs of Item 2 of the Schedule 13D are hereby amended and restated as follows: Schedule I attached hereto lists the executive officers and directors of the Reporting Person (the "Related Parties") and their respective principal occupation, address and citizenship. See Exhibit 99.1.</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0"/>
              <w:jc w:val="left"/>
              <w:rPr/>
            </w:pPr>
            <w:r>
              <w:rPr/>
              <w:t>During the last five years, the Reporting Person has not, and, to the Reporting Person's knowledge, none of the Related Parties has, (i) been convicted in a criminal proceeding of the type specified in Item 2(d) of Schedule 13D,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0"/>
              <w:jc w:val="left"/>
              <w:rPr/>
            </w:pPr>
            <w:r>
              <w:rPr/>
              <w:t>During the last five years, the Reporting Person has not, and, to the Reporting Person's knowledge, none of the Related Parties has, (i) been convicted in a criminal proceeding of the type specified in Item 2(d) of Schedule 13D,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78" w:type="dxa"/>
            <w:tcBorders/>
            <w:vAlign w:val="center"/>
          </w:tcPr>
          <w:p>
            <w:pPr>
              <w:pStyle w:val="TableContents"/>
              <w:bidi w:val="0"/>
              <w:spacing w:before="0" w:after="0"/>
              <w:jc w:val="left"/>
              <w:rPr/>
            </w:pPr>
            <w:r>
              <w:rPr/>
              <w:t>The response set forth in Item 2(f) of the Schedule 13D is hereby amended and restated by deleting Schedule I in its entirety and replacing it with the information listed on Schedule I attached hereto.</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Interest in Securities of the Issuer</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The information set forth on the cover page of this Schedule 13D is incorporated herein.</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0"/>
              <w:jc w:val="left"/>
              <w:rPr/>
            </w:pPr>
            <w:r>
              <w:rPr/>
              <w:t>The information set forth on the cover page of this Schedule 13D is incorporated herein.</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0"/>
              <w:jc w:val="left"/>
              <w:rPr/>
            </w:pPr>
            <w:r>
              <w:rPr/>
              <w:t>The Reporting Persons have not effected any transactions in the Class A Common Stock during the past 60 days.</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0"/>
              <w:jc w:val="left"/>
              <w:rPr/>
            </w:pPr>
            <w:r>
              <w:rPr/>
              <w:t>None.</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0"/>
              <w:jc w:val="left"/>
              <w:rPr/>
            </w:pPr>
            <w:r>
              <w:rPr/>
              <w:t>Not applicable.</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Material to be Filed as Exhibits.</w:t>
            </w:r>
          </w:p>
        </w:tc>
        <w:tc>
          <w:tcPr>
            <w:tcW w:w="166"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99.1 Schedule I to Schedule 13D</w:t>
            </w:r>
          </w:p>
        </w:tc>
        <w:tc>
          <w:tcPr>
            <w:tcW w:w="16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Walmart Inc.</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Joseph M. Ruschell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Joseph M. Ruschell, Senior Vice President and Chief Counsel, Office of the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bookmarkStart w:id="14" w:name="exhibit99.htm"/>
      <w:bookmarkStart w:id="15" w:name="ksexhibit99"/>
      <w:bookmarkEnd w:id="14"/>
      <w:bookmarkEnd w:id="15"/>
      <w:r>
        <w:rPr>
          <w:rFonts w:ascii="Arial" w:hAnsi="Arial"/>
          <w:b/>
          <w:color w:val="000000"/>
          <w:sz w:val="20"/>
        </w:rPr>
        <w:t>Exhibit 99.1</w:t>
      </w:r>
      <w:r>
        <w:rPr/>
        <w:t xml:space="preserve"> </w:t>
      </w:r>
      <w:r>
        <w:br w:type="page"/>
      </w:r>
    </w:p>
    <w:p>
      <w:pPr>
        <w:pStyle w:val="TextBody"/>
        <w:bidi w:val="0"/>
        <w:spacing w:before="0" w:after="0"/>
        <w:jc w:val="center"/>
        <w:rPr/>
      </w:pPr>
      <w:r>
        <w:rPr>
          <w:rFonts w:ascii="Arial" w:hAnsi="Arial"/>
          <w:b/>
          <w:color w:val="000000"/>
          <w:sz w:val="20"/>
        </w:rPr>
        <w:t>Schedule I</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sz w:val="20"/>
        </w:rPr>
        <w:t>The name, present principal occupation or employment and citizenship of each of the executive officers and directors of Walmart Inc. are set forth below. The business address of each individual is c/o Walmart Inc., 1 Customer Drive, Bentonville, AR 72716.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927"/>
        <w:gridCol w:w="6864"/>
        <w:gridCol w:w="1414"/>
      </w:tblGrid>
      <w:tr>
        <w:trPr/>
        <w:tc>
          <w:tcPr>
            <w:tcW w:w="1927" w:type="dxa"/>
            <w:tcBorders/>
            <w:vAlign w:val="center"/>
          </w:tcPr>
          <w:p>
            <w:pPr>
              <w:pStyle w:val="TableContents"/>
              <w:bidi w:val="0"/>
              <w:spacing w:lineRule="atLeast" w:line="240" w:before="0" w:after="60"/>
              <w:jc w:val="left"/>
              <w:rPr/>
            </w:pPr>
            <w:r>
              <w:rPr>
                <w:rFonts w:ascii="Arial" w:hAnsi="Arial"/>
                <w:b/>
                <w:sz w:val="20"/>
                <w:u w:val="single"/>
              </w:rPr>
              <w:t>Name of Executive Officer</w:t>
            </w:r>
            <w:r>
              <w:rPr/>
              <w:t xml:space="preserve"> </w:t>
            </w:r>
          </w:p>
        </w:tc>
        <w:tc>
          <w:tcPr>
            <w:tcW w:w="6864" w:type="dxa"/>
            <w:tcBorders/>
            <w:vAlign w:val="center"/>
          </w:tcPr>
          <w:p>
            <w:pPr>
              <w:pStyle w:val="TableContents"/>
              <w:bidi w:val="0"/>
              <w:spacing w:lineRule="atLeast" w:line="240" w:before="0" w:after="60"/>
              <w:jc w:val="left"/>
              <w:rPr/>
            </w:pPr>
            <w:r>
              <w:rPr>
                <w:rFonts w:ascii="Arial" w:hAnsi="Arial"/>
                <w:b/>
                <w:sz w:val="20"/>
                <w:u w:val="single"/>
              </w:rPr>
              <w:t>Principal Occupation or Employment</w:t>
            </w:r>
            <w:r>
              <w:rPr/>
              <w:t xml:space="preserve"> </w:t>
            </w:r>
          </w:p>
        </w:tc>
        <w:tc>
          <w:tcPr>
            <w:tcW w:w="1414" w:type="dxa"/>
            <w:tcBorders/>
            <w:vAlign w:val="center"/>
          </w:tcPr>
          <w:p>
            <w:pPr>
              <w:pStyle w:val="TableContents"/>
              <w:bidi w:val="0"/>
              <w:spacing w:lineRule="atLeast" w:line="240" w:before="0" w:after="60"/>
              <w:jc w:val="left"/>
              <w:rPr/>
            </w:pPr>
            <w:r>
              <w:rPr>
                <w:rFonts w:ascii="Arial" w:hAnsi="Arial"/>
                <w:b/>
                <w:sz w:val="20"/>
                <w:u w:val="single"/>
              </w:rPr>
              <w:t>Citizenship</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Daniel J. Bartlett</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Corporate Affairs</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Erin Nealy Cox</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Global Governance, Chief Legal Officer and Corporate Secretary</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Seth Dallaire</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and Chief Growth Officer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Daniel Danker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AI Acceleration, Product &amp; Design</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John Furner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President and Chief Executive Officer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David Guggina</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President and Chief Executive Officer, Walmart U.S.</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Suresh Kumar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Global Chief Technology Officer and Chief Development Officer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Dwayne Milum</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Senior Vice President and Controller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Donna Morris</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Chief People Officer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Chris Nicholas</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President and Chief Executive Officer, Walmart International</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Kingdom</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John David Rainey</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and Chief Financial Officer</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Latriece Watkins</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Executive Vice President, President, and Chief Executive Officer, Sam's Club U.S.</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t xml:space="preserve">  </w:t>
            </w:r>
          </w:p>
        </w:tc>
        <w:tc>
          <w:tcPr>
            <w:tcW w:w="6864" w:type="dxa"/>
            <w:tcBorders/>
            <w:vAlign w:val="center"/>
          </w:tcPr>
          <w:p>
            <w:pPr>
              <w:pStyle w:val="TableContents"/>
              <w:bidi w:val="0"/>
              <w:spacing w:lineRule="atLeast" w:line="240" w:before="0" w:after="60"/>
              <w:jc w:val="left"/>
              <w:rPr/>
            </w:pPr>
            <w:r>
              <w:rPr/>
              <w:t xml:space="preserve">  </w:t>
            </w:r>
          </w:p>
        </w:tc>
        <w:tc>
          <w:tcPr>
            <w:tcW w:w="1414" w:type="dxa"/>
            <w:tcBorders/>
            <w:vAlign w:val="center"/>
          </w:tcPr>
          <w:p>
            <w:pPr>
              <w:pStyle w:val="TableContents"/>
              <w:bidi w:val="0"/>
              <w:spacing w:lineRule="atLeast" w:line="240" w:before="0" w:after="60"/>
              <w:jc w:val="left"/>
              <w:rPr/>
            </w:pP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b/>
                <w:sz w:val="20"/>
                <w:u w:val="single"/>
              </w:rPr>
              <w:t>Name of Director</w:t>
            </w:r>
            <w:r>
              <w:rPr/>
              <w:t xml:space="preserve"> </w:t>
            </w:r>
          </w:p>
        </w:tc>
        <w:tc>
          <w:tcPr>
            <w:tcW w:w="6864" w:type="dxa"/>
            <w:tcBorders/>
            <w:vAlign w:val="center"/>
          </w:tcPr>
          <w:p>
            <w:pPr>
              <w:pStyle w:val="TableContents"/>
              <w:bidi w:val="0"/>
              <w:spacing w:lineRule="atLeast" w:line="240" w:before="0" w:after="60"/>
              <w:jc w:val="left"/>
              <w:rPr/>
            </w:pPr>
            <w:r>
              <w:rPr/>
              <w:t xml:space="preserve">  </w:t>
            </w:r>
          </w:p>
        </w:tc>
        <w:tc>
          <w:tcPr>
            <w:tcW w:w="1414" w:type="dxa"/>
            <w:tcBorders/>
            <w:vAlign w:val="center"/>
          </w:tcPr>
          <w:p>
            <w:pPr>
              <w:pStyle w:val="TableContents"/>
              <w:bidi w:val="0"/>
              <w:spacing w:lineRule="atLeast" w:line="240" w:before="0" w:after="60"/>
              <w:jc w:val="left"/>
              <w:rPr/>
            </w:pP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Cesar Conde</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Chairman of NBCUniversal News Group</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Sarah Friar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Chief Financial Officer of OpenAI</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John Furner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President and Chief Executive Officer, Walmart Inc.</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Carla Harris</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Senior Client Advisor, Morgan Stanley</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Tom Horton</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Senior Advisor, Global Infrastructure Partners, and retired Chairman, American Airlines</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Marissa Mayer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Founder and CEO, Dazzle AI, Inc.</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Shishir Mehrotra</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CEO and Director, Superhuman Labs, Inc.</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Bob Moritz</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Former Global Chair of PricewaterhouseCoopers</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Greg Penner</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General Partner, Madrone Capital Partners, CEO and an owner of the Denver Broncos (Chairman of the Board of Walmart)</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Randall Stephenson</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Retired Executive Chair and CEO, AT&amp;T</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r>
        <w:trPr/>
        <w:tc>
          <w:tcPr>
            <w:tcW w:w="1927" w:type="dxa"/>
            <w:tcBorders/>
            <w:vAlign w:val="center"/>
          </w:tcPr>
          <w:p>
            <w:pPr>
              <w:pStyle w:val="TableContents"/>
              <w:bidi w:val="0"/>
              <w:spacing w:lineRule="atLeast" w:line="240" w:before="0" w:after="60"/>
              <w:jc w:val="left"/>
              <w:rPr/>
            </w:pPr>
            <w:r>
              <w:rPr>
                <w:rFonts w:ascii="Arial" w:hAnsi="Arial"/>
                <w:sz w:val="20"/>
              </w:rPr>
              <w:t>Steuart Walton</w:t>
            </w:r>
            <w:r>
              <w:rPr/>
              <w:t xml:space="preserve"> </w:t>
            </w:r>
          </w:p>
        </w:tc>
        <w:tc>
          <w:tcPr>
            <w:tcW w:w="6864" w:type="dxa"/>
            <w:tcBorders/>
            <w:vAlign w:val="center"/>
          </w:tcPr>
          <w:p>
            <w:pPr>
              <w:pStyle w:val="TableContents"/>
              <w:bidi w:val="0"/>
              <w:spacing w:lineRule="atLeast" w:line="240" w:before="0" w:after="60"/>
              <w:jc w:val="left"/>
              <w:rPr/>
            </w:pPr>
            <w:r>
              <w:rPr>
                <w:rFonts w:ascii="Arial" w:hAnsi="Arial"/>
                <w:sz w:val="20"/>
              </w:rPr>
              <w:t>Co-Founder, Runway Group, LLC and Co-Founder and Chair, Game Aerospace, LLC</w:t>
            </w:r>
            <w:r>
              <w:rPr/>
              <w:t xml:space="preserve"> </w:t>
            </w:r>
          </w:p>
        </w:tc>
        <w:tc>
          <w:tcPr>
            <w:tcW w:w="1414" w:type="dxa"/>
            <w:tcBorders/>
            <w:vAlign w:val="center"/>
          </w:tcPr>
          <w:p>
            <w:pPr>
              <w:pStyle w:val="TableContents"/>
              <w:bidi w:val="0"/>
              <w:spacing w:lineRule="atLeast" w:line="240" w:before="0" w:after="60"/>
              <w:jc w:val="left"/>
              <w:rPr/>
            </w:pPr>
            <w:r>
              <w:rPr>
                <w:rFonts w:ascii="Arial" w:hAnsi="Arial"/>
                <w:sz w:val="20"/>
              </w:rPr>
              <w:t>United States</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1692</Words>
  <Characters>8913</Characters>
  <CharactersWithSpaces>10568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