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540"/>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SVF INVESTMENT CORP. 3</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001-40175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98-1572401</w:t>
      </w:r>
    </w:p>
    <w:p>
      <w:pPr>
        <w:spacing w:after="0" w:line="31" w:lineRule="exact"/>
        <w:rPr>
          <w:sz w:val="24"/>
          <w:szCs w:val="24"/>
          <w:color w:val="auto"/>
        </w:rPr>
      </w:pPr>
    </w:p>
    <w:p>
      <w:pPr>
        <w:sectPr>
          <w:pgSz w:w="11900" w:h="16838" w:orient="portrait"/>
          <w:cols w:equalWidth="0" w:num="3">
            <w:col w:w="4620" w:space="720"/>
            <w:col w:w="2880" w:space="720"/>
            <w:col w:w="2200"/>
          </w:cols>
          <w:pgMar w:left="320" w:top="230" w:right="439" w:bottom="184" w:gutter="0" w:footer="0" w:header="0"/>
          <w:type w:val="continuous"/>
        </w:sectPr>
      </w:pPr>
    </w:p>
    <w:p>
      <w:pPr>
        <w:spacing w:after="0" w:line="12"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760" w:space="720"/>
            <w:col w:w="2340"/>
          </w:cols>
          <w:pgMar w:left="320" w:top="230" w:right="439" w:bottom="184" w:gutter="0" w:footer="0" w:header="0"/>
          <w:type w:val="continuous"/>
        </w:sectPr>
      </w:pPr>
    </w:p>
    <w:p>
      <w:pPr>
        <w:spacing w:after="0" w:line="44"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1 Circle Star Way</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San Carlos, California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94070</w:t>
      </w:r>
    </w:p>
    <w:p>
      <w:pPr>
        <w:spacing w:after="0" w:line="62" w:lineRule="exact"/>
        <w:rPr>
          <w:sz w:val="24"/>
          <w:szCs w:val="24"/>
          <w:color w:val="auto"/>
        </w:rPr>
      </w:pPr>
    </w:p>
    <w:p>
      <w:pPr>
        <w:sectPr>
          <w:pgSz w:w="11900" w:h="16838" w:orient="portrait"/>
          <w:cols w:equalWidth="0" w:num="2">
            <w:col w:w="7520" w:space="720"/>
            <w:col w:w="2900"/>
          </w:cols>
          <w:pgMar w:left="320" w:top="230" w:right="439" w:bottom="184"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00" w:space="720"/>
            <w:col w:w="3020"/>
          </w:cols>
          <w:pgMar w:left="320" w:top="230" w:right="439" w:bottom="184"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(650) 562 - 8100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SVF Investment III Corp.</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4320" w:type="dxa"/>
            <w:vAlign w:val="bottom"/>
            <w:gridSpan w:val="2"/>
            <w:vMerge w:val="continue"/>
          </w:tcPr>
          <w:p>
            <w:pPr>
              <w:spacing w:after="0"/>
              <w:rPr>
                <w:sz w:val="16"/>
                <w:szCs w:val="16"/>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ordinary shares, par value $0.0001 per share</w:t>
            </w:r>
          </w:p>
        </w:tc>
        <w:tc>
          <w:tcPr>
            <w:tcW w:w="120" w:type="dxa"/>
            <w:vAlign w:val="bottom"/>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SVFC</w:t>
            </w:r>
          </w:p>
        </w:tc>
        <w:tc>
          <w:tcPr>
            <w:tcW w:w="120" w:type="dxa"/>
            <w:vAlign w:val="bottom"/>
          </w:tcPr>
          <w:p>
            <w:pPr>
              <w:spacing w:after="0"/>
              <w:rPr>
                <w:sz w:val="19"/>
                <w:szCs w:val="19"/>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184" w:gutter="0" w:footer="0" w:header="0"/>
          <w:type w:val="continuous"/>
        </w:sectPr>
      </w:pPr>
    </w:p>
    <w:bookmarkStart w:id="1" w:name="page2"/>
    <w:bookmarkEnd w:id="1"/>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November 9, 2021, 33,040,000 Class A ordinary shares, par value $0.0001 per share, and 8,000,000 Class B ordinary shares, par value $0.0001 per share, were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0"/>
          </w:cols>
          <w:pgMar w:left="440" w:top="125" w:right="6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i w:val="1"/>
          <w:iCs w:val="1"/>
          <w:color w:val="auto"/>
        </w:rPr>
        <w:t>References throughout this Amendment No. 1 to the Quarterly Report on Form 10-Q to “we,” “us,” the “Company” or “our company” are to SVF Investment Corp. 3, formerly known as SVF Investment III Corp., unless the context otherwise indicates.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This Amendment No. 1 (“Amendment No. 1”) to the Quarterly Report on Form 10-Q/A amends the Quarterly Report on Form 10-Q of SVF Investment Corp. 3 (the “Company”) as of and for the period ended September 30, 2021, as filed with the Securities and Exchange Commission (“SEC”) on November 9, 2021 (the “First Amended Filing”).</w:t>
      </w:r>
    </w:p>
    <w:p>
      <w:pPr>
        <w:spacing w:after="0" w:line="18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Following the filing of the quarterly report for the period ended September 30, 2021, filed with the SEC on November 9, 2021, the Company, having performed further assessment, concluded that, effective with its financial statements for quarterly period ended September 30, 2021, it should restate its prior filed financial information for the period ended March 31, 2021, to classify all Class A ordinary shares subject to possible redemption in temporary equity and to recognize the accretion from the initial book value to the redemption value, and it should restate its prior filed financial information for the period ended June 30, 2021, to correct the recognition of the accretion from the initial book value to redemption value. In accordance with guidance on redeemable equity instruments in ASC 480-10-S99, redemption provisions not solely within the control of the Company require ordinary shares subject to redemption to be classified outside of permanent equity. Previously, the Company had revised its financial information to classify all Class A ordinary shares subject to possible redemption in temporary equity. In addition, effective with its financial statements for quarterly period ended September 30, 2021, the Company determined it should restate its earnings per share calculation to allocate income and loss shared pro rata between Class A ordinary shares subject to possible redemption and non-redeemable ordinary shares for the Affected Periods (as defined below).</w:t>
      </w:r>
    </w:p>
    <w:p>
      <w:pPr>
        <w:spacing w:after="0" w:line="16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Therefore, on November 30, 2021, the Company’s management and the audit committee of the Company’s board of directors (the “Audit Committee”) concluded that the Company’s previously issued (i) unaudited interim financial information included in the Company’s Quarterly Report on Form 10-Q for the quarterly period ended March 31, 2021, filed with the SEC on May 13, 2021; (ii) unaudited interim financial information included in the Company’s Quarterly Report on Form 10-Q for the quarterly period ended June 30, 2021, filed with the SEC on August 11, 2021; and (iii) unaudited interim financial information included in the Company’s Quarterly Report on Form 10-Q for the quarterly period ended September 30, 2021, filed with the SEC on November 9, 2021 (collectively, the “Affected Periods”), should be restated to classify all Class A ordinary shares subject to possible redemption in temporary equity and, where applicable, to restate its earnings per share calculation to allocate income and loss shared pro rata between Class A ordinary shares subject to possible redemption and non-redeemable ordinary shares. and should no longer be relied upon. As such, the Company will restate its financial information for the Affected Periods. The unaudited condensed financial information for the periods ended March 31, 2021, June 30, 2021 and September 30, 2021 will be amended in the Company’s Quarterly Report on Form 10-Q/A for the quarterly periods ended March 31, 2021, June 30, 2021 and September 30, 2021 (collectively, the “Forms 10-Q/A”). Considering such restatement, such financial information as well as the relevant portions of any communication which describes or are based on such financial information, should no longer be relied upon.</w:t>
      </w:r>
    </w:p>
    <w:p>
      <w:pPr>
        <w:spacing w:after="0" w:line="16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restatement does not have an impact on the Company’s cash position and cash held in the trust account established in connection with the IPO (the “Trust Account”).</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Company’s management has concluded that a material weakness exists in the Company’s internal control over accounting for complex financial instruments and that the Company’s disclosure controls and procedures were not effective during the Affected Periods. The Company’s remediation plan with respect to such material weakness will be described in more detail in Item 4 of Part 1 to the Forms 10-Q/A.</w:t>
      </w:r>
    </w:p>
    <w:p>
      <w:pPr>
        <w:sectPr>
          <w:pgSz w:w="11900" w:h="16838" w:orient="portrait"/>
          <w:cols w:equalWidth="0" w:num="1">
            <w:col w:w="11120"/>
          </w:cols>
          <w:pgMar w:left="320" w:top="486" w:right="459" w:bottom="1440" w:gutter="0" w:footer="0" w:header="0"/>
        </w:sectPr>
      </w:pPr>
    </w:p>
    <w:bookmarkStart w:id="3" w:name="page4"/>
    <w:bookmarkEnd w:id="3"/>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10440" w:type="dxa"/>
            <w:vAlign w:val="bottom"/>
            <w:gridSpan w:val="2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0440" w:type="dxa"/>
            <w:vAlign w:val="bottom"/>
            <w:gridSpan w:val="20"/>
            <w:vMerge w:val="continue"/>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5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Financial Statements</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as of September 30, 2021 (Unaudited) and December 31, 2020</w:t>
              </w:r>
            </w:hyperlink>
          </w:p>
        </w:tc>
        <w:tc>
          <w:tcPr>
            <w:tcW w:w="3080" w:type="dxa"/>
            <w:vAlign w:val="bottom"/>
            <w:gridSpan w:val="4"/>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Condensed Statements of Operations for the Three and Nine Months Ended September 30, 2021 (as Restated)</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Statements of Changes in Shareholders’ Equity (Deficit) for the Three and Nine Months Ended September 30,</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0000EE"/>
            </w:tcBorders>
          </w:tcPr>
          <w:p>
            <w:pPr>
              <w:jc w:val="right"/>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2021</w:t>
              </w:r>
            </w:hyperlink>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Statement of Cash Flows for the Nine Months Ended September 30, 2021</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Unaudited Condensed Financial Statements (as Restated)</w:t>
              </w:r>
            </w:hyperlink>
          </w:p>
        </w:tc>
        <w:tc>
          <w:tcPr>
            <w:tcW w:w="2160" w:type="dxa"/>
            <w:vAlign w:val="bottom"/>
            <w:tcBorders>
              <w:top w:val="single" w:sz="8" w:color="0000EE"/>
            </w:tcBorders>
            <w:gridSpan w:val="3"/>
          </w:tcPr>
          <w:p>
            <w:pPr>
              <w:spacing w:after="0"/>
              <w:rPr>
                <w:sz w:val="17"/>
                <w:szCs w:val="17"/>
                <w:color w:val="auto"/>
              </w:rPr>
            </w:pPr>
          </w:p>
        </w:tc>
        <w:tc>
          <w:tcPr>
            <w:tcW w:w="2640" w:type="dxa"/>
            <w:vAlign w:val="bottom"/>
            <w:gridSpan w:val="3"/>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 (as Restated)</w:t>
              </w:r>
            </w:hyperlink>
          </w:p>
        </w:tc>
        <w:tc>
          <w:tcPr>
            <w:tcW w:w="2140" w:type="dxa"/>
            <w:vAlign w:val="bottom"/>
            <w:gridSpan w:val="2"/>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220" w:type="dxa"/>
            <w:vAlign w:val="bottom"/>
            <w:gridSpan w:val="7"/>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 (as Restated)</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40" w:type="dxa"/>
            <w:vAlign w:val="bottom"/>
            <w:gridSpan w:val="2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60" w:type="dxa"/>
            <w:vAlign w:val="bottom"/>
            <w:tcBorders>
              <w:top w:val="single" w:sz="8" w:color="0000EE"/>
            </w:tcBorders>
            <w:gridSpan w:val="2"/>
          </w:tcPr>
          <w:p>
            <w:pPr>
              <w:spacing w:after="0"/>
              <w:rPr>
                <w:sz w:val="17"/>
                <w:szCs w:val="17"/>
                <w:color w:val="auto"/>
              </w:rPr>
            </w:pPr>
          </w:p>
        </w:tc>
        <w:tc>
          <w:tcPr>
            <w:tcW w:w="7680" w:type="dxa"/>
            <w:vAlign w:val="bottom"/>
            <w:gridSpan w:val="11"/>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 from Registered Securities</w:t>
              </w:r>
            </w:hyperlink>
          </w:p>
        </w:tc>
        <w:tc>
          <w:tcPr>
            <w:tcW w:w="3260" w:type="dxa"/>
            <w:vAlign w:val="bottom"/>
            <w:gridSpan w:val="5"/>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5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240" w:type="dxa"/>
            <w:vAlign w:val="bottom"/>
            <w:gridSpan w:val="9"/>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820" w:type="dxa"/>
            <w:vAlign w:val="bottom"/>
            <w:gridSpan w:val="12"/>
          </w:tcPr>
          <w:p>
            <w:pPr>
              <w:spacing w:after="0"/>
              <w:rPr>
                <w:sz w:val="17"/>
                <w:szCs w:val="17"/>
                <w:color w:val="auto"/>
              </w:rPr>
            </w:pPr>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8"/>
        </w:trPr>
        <w:tc>
          <w:tcPr>
            <w:tcW w:w="1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80" w:type="dxa"/>
            <w:vAlign w:val="bottom"/>
            <w:tcBorders>
              <w:top w:val="single" w:sz="8" w:color="0000EE"/>
              <w:bottom w:val="single" w:sz="8" w:color="9A9A9A"/>
            </w:tcBorders>
          </w:tcPr>
          <w:p>
            <w:pPr>
              <w:spacing w:after="0"/>
              <w:rPr>
                <w:sz w:val="11"/>
                <w:szCs w:val="11"/>
                <w:color w:val="auto"/>
              </w:rPr>
            </w:pPr>
          </w:p>
        </w:tc>
        <w:tc>
          <w:tcPr>
            <w:tcW w:w="360" w:type="dxa"/>
            <w:vAlign w:val="bottom"/>
            <w:tcBorders>
              <w:top w:val="single" w:sz="8" w:color="0000EE"/>
              <w:bottom w:val="single" w:sz="8" w:color="9A9A9A"/>
            </w:tcBorders>
          </w:tcPr>
          <w:p>
            <w:pPr>
              <w:spacing w:after="0"/>
              <w:rPr>
                <w:sz w:val="11"/>
                <w:szCs w:val="11"/>
                <w:color w:val="auto"/>
              </w:rPr>
            </w:pPr>
          </w:p>
        </w:tc>
        <w:tc>
          <w:tcPr>
            <w:tcW w:w="60" w:type="dxa"/>
            <w:vAlign w:val="bottom"/>
            <w:tcBorders>
              <w:top w:val="single" w:sz="8" w:color="0000EE"/>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0" w:type="dxa"/>
            <w:vAlign w:val="bottom"/>
            <w:tcBorders>
              <w:bottom w:val="single" w:sz="8" w:color="EEEEEE"/>
            </w:tcBorders>
          </w:tcPr>
          <w:p>
            <w:pPr>
              <w:spacing w:after="0"/>
              <w:rPr>
                <w:sz w:val="2"/>
                <w:szCs w:val="2"/>
                <w:color w:val="auto"/>
              </w:rPr>
            </w:pPr>
          </w:p>
        </w:tc>
        <w:tc>
          <w:tcPr>
            <w:tcW w:w="860" w:type="dxa"/>
            <w:vAlign w:val="bottom"/>
            <w:tcBorders>
              <w:bottom w:val="single" w:sz="8" w:color="EEEEEE"/>
            </w:tcBorders>
          </w:tcPr>
          <w:p>
            <w:pPr>
              <w:spacing w:after="0"/>
              <w:rPr>
                <w:sz w:val="2"/>
                <w:szCs w:val="2"/>
                <w:color w:val="auto"/>
              </w:rPr>
            </w:pPr>
          </w:p>
        </w:tc>
        <w:tc>
          <w:tcPr>
            <w:tcW w:w="18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60" w:type="dxa"/>
            <w:vAlign w:val="bottom"/>
            <w:tcBorders>
              <w:bottom w:val="single" w:sz="8" w:color="EEEEEE"/>
            </w:tcBorders>
          </w:tcPr>
          <w:p>
            <w:pPr>
              <w:spacing w:after="0"/>
              <w:rPr>
                <w:sz w:val="2"/>
                <w:szCs w:val="2"/>
                <w:color w:val="auto"/>
              </w:rPr>
            </w:pPr>
          </w:p>
        </w:tc>
        <w:tc>
          <w:tcPr>
            <w:tcW w:w="300" w:type="dxa"/>
            <w:vAlign w:val="bottom"/>
            <w:tcBorders>
              <w:bottom w:val="single" w:sz="8" w:color="EEEEEE"/>
            </w:tcBorders>
          </w:tcPr>
          <w:p>
            <w:pPr>
              <w:spacing w:after="0"/>
              <w:rPr>
                <w:sz w:val="2"/>
                <w:szCs w:val="2"/>
                <w:color w:val="auto"/>
              </w:rPr>
            </w:pPr>
          </w:p>
        </w:tc>
        <w:tc>
          <w:tcPr>
            <w:tcW w:w="420" w:type="dxa"/>
            <w:vAlign w:val="bottom"/>
            <w:tcBorders>
              <w:bottom w:val="single" w:sz="8" w:color="EEEEEE"/>
            </w:tcBorders>
          </w:tcPr>
          <w:p>
            <w:pPr>
              <w:spacing w:after="0"/>
              <w:rPr>
                <w:sz w:val="2"/>
                <w:szCs w:val="2"/>
                <w:color w:val="auto"/>
              </w:rPr>
            </w:pPr>
          </w:p>
        </w:tc>
        <w:tc>
          <w:tcPr>
            <w:tcW w:w="20" w:type="dxa"/>
            <w:vAlign w:val="bottom"/>
            <w:tcBorders>
              <w:bottom w:val="single" w:sz="8" w:color="EEEEEE"/>
            </w:tcBorders>
          </w:tcPr>
          <w:p>
            <w:pPr>
              <w:spacing w:after="0"/>
              <w:rPr>
                <w:sz w:val="2"/>
                <w:szCs w:val="2"/>
                <w:color w:val="auto"/>
              </w:rPr>
            </w:pPr>
          </w:p>
        </w:tc>
        <w:tc>
          <w:tcPr>
            <w:tcW w:w="42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30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400" w:type="dxa"/>
            <w:vAlign w:val="bottom"/>
            <w:tcBorders>
              <w:bottom w:val="single" w:sz="8" w:color="EEEEEE"/>
            </w:tcBorders>
          </w:tcPr>
          <w:p>
            <w:pPr>
              <w:spacing w:after="0"/>
              <w:rPr>
                <w:sz w:val="2"/>
                <w:szCs w:val="2"/>
                <w:color w:val="auto"/>
              </w:rPr>
            </w:pPr>
          </w:p>
        </w:tc>
        <w:tc>
          <w:tcPr>
            <w:tcW w:w="1620" w:type="dxa"/>
            <w:vAlign w:val="bottom"/>
            <w:tcBorders>
              <w:bottom w:val="single" w:sz="8" w:color="EEEEEE"/>
            </w:tcBorders>
          </w:tcPr>
          <w:p>
            <w:pPr>
              <w:spacing w:after="0"/>
              <w:rPr>
                <w:sz w:val="2"/>
                <w:szCs w:val="2"/>
                <w:color w:val="auto"/>
              </w:rPr>
            </w:pPr>
          </w:p>
        </w:tc>
        <w:tc>
          <w:tcPr>
            <w:tcW w:w="420" w:type="dxa"/>
            <w:vAlign w:val="bottom"/>
            <w:tcBorders>
              <w:bottom w:val="single" w:sz="8" w:color="EEEEEE"/>
            </w:tcBorders>
          </w:tcPr>
          <w:p>
            <w:pPr>
              <w:spacing w:after="0"/>
              <w:rPr>
                <w:sz w:val="2"/>
                <w:szCs w:val="2"/>
                <w:color w:val="auto"/>
              </w:rPr>
            </w:pPr>
          </w:p>
        </w:tc>
        <w:tc>
          <w:tcPr>
            <w:tcW w:w="1540" w:type="dxa"/>
            <w:vAlign w:val="bottom"/>
            <w:tcBorders>
              <w:bottom w:val="single" w:sz="8" w:color="EEEEEE"/>
            </w:tcBorders>
          </w:tcPr>
          <w:p>
            <w:pPr>
              <w:spacing w:after="0"/>
              <w:rPr>
                <w:sz w:val="2"/>
                <w:szCs w:val="2"/>
                <w:color w:val="auto"/>
              </w:rPr>
            </w:pPr>
          </w:p>
        </w:tc>
        <w:tc>
          <w:tcPr>
            <w:tcW w:w="180" w:type="dxa"/>
            <w:vAlign w:val="bottom"/>
            <w:tcBorders>
              <w:bottom w:val="single" w:sz="8" w:color="EEEEEE"/>
            </w:tcBorders>
          </w:tcPr>
          <w:p>
            <w:pPr>
              <w:spacing w:after="0"/>
              <w:rPr>
                <w:sz w:val="2"/>
                <w:szCs w:val="2"/>
                <w:color w:val="auto"/>
              </w:rPr>
            </w:pPr>
          </w:p>
        </w:tc>
        <w:tc>
          <w:tcPr>
            <w:tcW w:w="440" w:type="dxa"/>
            <w:vAlign w:val="bottom"/>
            <w:tcBorders>
              <w:bottom w:val="single" w:sz="8" w:color="EEEEEE"/>
            </w:tcBorders>
          </w:tcPr>
          <w:p>
            <w:pPr>
              <w:spacing w:after="0"/>
              <w:rPr>
                <w:sz w:val="2"/>
                <w:szCs w:val="2"/>
                <w:color w:val="auto"/>
              </w:rPr>
            </w:pPr>
          </w:p>
        </w:tc>
        <w:tc>
          <w:tcPr>
            <w:tcW w:w="500" w:type="dxa"/>
            <w:vAlign w:val="bottom"/>
            <w:tcBorders>
              <w:bottom w:val="single" w:sz="8" w:color="EEEEEE"/>
            </w:tcBorders>
          </w:tcPr>
          <w:p>
            <w:pPr>
              <w:spacing w:after="0"/>
              <w:rPr>
                <w:sz w:val="2"/>
                <w:szCs w:val="2"/>
                <w:color w:val="auto"/>
              </w:rPr>
            </w:pPr>
          </w:p>
        </w:tc>
        <w:tc>
          <w:tcPr>
            <w:tcW w:w="1260" w:type="dxa"/>
            <w:vAlign w:val="bottom"/>
            <w:tcBorders>
              <w:bottom w:val="single" w:sz="8" w:color="EEEEEE"/>
            </w:tcBorders>
          </w:tcPr>
          <w:p>
            <w:pPr>
              <w:spacing w:after="0"/>
              <w:rPr>
                <w:sz w:val="2"/>
                <w:szCs w:val="2"/>
                <w:color w:val="auto"/>
              </w:rPr>
            </w:pPr>
          </w:p>
        </w:tc>
        <w:tc>
          <w:tcPr>
            <w:tcW w:w="880" w:type="dxa"/>
            <w:vAlign w:val="bottom"/>
            <w:tcBorders>
              <w:bottom w:val="single" w:sz="8" w:color="EEEEEE"/>
            </w:tcBorders>
          </w:tcPr>
          <w:p>
            <w:pPr>
              <w:spacing w:after="0"/>
              <w:rPr>
                <w:sz w:val="2"/>
                <w:szCs w:val="2"/>
                <w:color w:val="auto"/>
              </w:rPr>
            </w:pPr>
          </w:p>
        </w:tc>
        <w:tc>
          <w:tcPr>
            <w:tcW w:w="70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-55245</wp:posOffset>
            </wp:positionV>
            <wp:extent cx="3365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3429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000" w:type="dxa"/>
            <w:vAlign w:val="bottom"/>
          </w:tcPr>
          <w:p>
            <w:pPr>
              <w:jc w:val="center"/>
              <w:ind w:left="20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Condensed Financial Statements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0"/>
        </w:trPr>
        <w:tc>
          <w:tcPr>
            <w:tcW w:w="940" w:type="dxa"/>
            <w:vAlign w:val="bottom"/>
          </w:tcPr>
          <w:p>
            <w:pPr>
              <w:spacing w:after="0"/>
              <w:rPr>
                <w:sz w:val="24"/>
                <w:szCs w:val="24"/>
                <w:color w:val="auto"/>
              </w:rPr>
            </w:pPr>
          </w:p>
        </w:tc>
        <w:tc>
          <w:tcPr>
            <w:tcW w:w="700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SVF INVESTMENT CORP. 3</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7000" w:type="dxa"/>
            <w:vAlign w:val="bottom"/>
          </w:tcPr>
          <w:p>
            <w:pPr>
              <w:jc w:val="center"/>
              <w:ind w:left="2030"/>
              <w:spacing w:after="0"/>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9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r>
      <w:tr>
        <w:trPr>
          <w:trHeight w:val="142"/>
        </w:trPr>
        <w:tc>
          <w:tcPr>
            <w:tcW w:w="94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2,707,252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1,083,200</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6,154</w:t>
            </w:r>
          </w:p>
        </w:tc>
      </w:tr>
      <w:tr>
        <w:trPr>
          <w:trHeight w:val="27"/>
        </w:trPr>
        <w:tc>
          <w:tcPr>
            <w:tcW w:w="9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3,790,452</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320,010,848</w:t>
            </w: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 associated with the initial public offering</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126,750</w:t>
            </w:r>
          </w:p>
        </w:tc>
      </w:tr>
      <w:tr>
        <w:trPr>
          <w:trHeight w:val="223"/>
        </w:trPr>
        <w:tc>
          <w:tcPr>
            <w:tcW w:w="940" w:type="dxa"/>
            <w:vAlign w:val="bottom"/>
          </w:tcPr>
          <w:p>
            <w:pPr>
              <w:spacing w:after="0"/>
              <w:rPr>
                <w:sz w:val="20"/>
                <w:szCs w:val="20"/>
                <w:color w:val="auto"/>
              </w:rPr>
            </w:pPr>
            <w:r>
              <w:rPr>
                <w:rFonts w:ascii="Arial" w:cs="Arial" w:eastAsia="Arial" w:hAnsi="Arial"/>
                <w:sz w:val="18"/>
                <w:szCs w:val="18"/>
                <w:b w:val="1"/>
                <w:bCs w:val="1"/>
                <w:color w:val="auto"/>
                <w:w w:val="85"/>
              </w:rPr>
              <w:t>Total Assets</w:t>
            </w:r>
          </w:p>
        </w:tc>
        <w:tc>
          <w:tcPr>
            <w:tcW w:w="70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323,801,300</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132,904</w:t>
            </w:r>
          </w:p>
        </w:tc>
        <w:tc>
          <w:tcPr>
            <w:tcW w:w="12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79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8"/>
              </w:rPr>
              <w:t>Liabilities, Class A Ordinary Shares Subject to Possible Redemption and Shareholders’ Equity</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7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1,768,257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w:t>
            </w: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2,205,570</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to related party</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675,123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Note payable - related party</w:t>
            </w:r>
          </w:p>
        </w:tc>
        <w:tc>
          <w:tcPr>
            <w:tcW w:w="1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17,750</w:t>
            </w:r>
          </w:p>
        </w:tc>
      </w:tr>
      <w:tr>
        <w:trPr>
          <w:trHeight w:val="27"/>
        </w:trPr>
        <w:tc>
          <w:tcPr>
            <w:tcW w:w="9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4,648,950</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126,750</w:t>
            </w: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11,200,000</w:t>
            </w:r>
          </w:p>
        </w:tc>
        <w:tc>
          <w:tcPr>
            <w:tcW w:w="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15,848,950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126,750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Class A ordinary shares subject to possible redemption, $0.0001 par value; 32,000,000 and -0- shares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at $10.00 per share as of September 30, 2021 and December 31, 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320,000,000</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 (Deficit)</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79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10"/>
        </w:trPr>
        <w:tc>
          <w:tcPr>
            <w:tcW w:w="7940" w:type="dxa"/>
            <w:vAlign w:val="bottom"/>
            <w:gridSpan w:val="2"/>
          </w:tcPr>
          <w:p>
            <w:pPr>
              <w:spacing w:after="0"/>
              <w:rPr>
                <w:sz w:val="20"/>
                <w:szCs w:val="20"/>
                <w:color w:val="auto"/>
              </w:rPr>
            </w:pPr>
            <w:r>
              <w:rPr>
                <w:rFonts w:ascii="Arial" w:cs="Arial" w:eastAsia="Arial" w:hAnsi="Arial"/>
                <w:sz w:val="18"/>
                <w:szCs w:val="18"/>
                <w:color w:val="auto"/>
                <w:w w:val="97"/>
              </w:rPr>
              <w:t>Class A ordinary shares, $0.0001 par value; 200,000,000 shares authorized; 1,040,000 and -0- shares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w w:val="97"/>
              </w:rPr>
              <w:t>issued and outstanding as of September 30, 2021 (excluding 32,000,000 shares subject to possible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redemption) and December 31, 2020, respectively</w:t>
            </w:r>
          </w:p>
        </w:tc>
        <w:tc>
          <w:tcPr>
            <w:tcW w:w="16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B ordinary shares, $0.0001 par value; 20,000,000 shares authorized; 8,000,000 shares issued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as of September 30, 2021 and December 31, 2020</w:t>
            </w: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24,200</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(12,048,554)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(18,846)</w:t>
            </w:r>
          </w:p>
        </w:tc>
      </w:tr>
      <w:tr>
        <w:trPr>
          <w:trHeight w:val="20"/>
        </w:trPr>
        <w:tc>
          <w:tcPr>
            <w:tcW w:w="9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78" w:orient="portrait"/>
          <w:cols w:equalWidth="0" w:num="1">
            <w:col w:w="11260"/>
          </w:cols>
          <w:pgMar w:left="320" w:top="486" w:right="31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800" w:type="dxa"/>
            <w:vAlign w:val="bottom"/>
            <w:gridSpan w:val="2"/>
          </w:tcPr>
          <w:p>
            <w:pPr>
              <w:jc w:val="right"/>
              <w:ind w:right="540"/>
              <w:spacing w:after="0"/>
              <w:rPr>
                <w:sz w:val="20"/>
                <w:szCs w:val="20"/>
                <w:color w:val="auto"/>
              </w:rPr>
            </w:pPr>
            <w:r>
              <w:rPr>
                <w:rFonts w:ascii="Arial" w:cs="Arial" w:eastAsia="Arial" w:hAnsi="Arial"/>
                <w:sz w:val="18"/>
                <w:szCs w:val="18"/>
                <w:color w:val="auto"/>
              </w:rPr>
              <w:t>(12,047,650)</w:t>
            </w:r>
          </w:p>
        </w:tc>
        <w:tc>
          <w:tcPr>
            <w:tcW w:w="3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6,154</w:t>
            </w:r>
          </w:p>
        </w:tc>
      </w:tr>
      <w:tr>
        <w:trPr>
          <w:trHeight w:val="198"/>
        </w:trPr>
        <w:tc>
          <w:tcPr>
            <w:tcW w:w="7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Liabilities, Class A Ordinary Shares Subject to Possible Redemption and Shareholders’</w:t>
            </w:r>
          </w:p>
        </w:tc>
        <w:tc>
          <w:tcPr>
            <w:tcW w:w="12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 (Deficit)</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8"/>
              </w:rPr>
              <w:t>$  323,801,300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132,904</w:t>
            </w:r>
          </w:p>
        </w:tc>
      </w:tr>
      <w:tr>
        <w:trPr>
          <w:trHeight w:val="20"/>
        </w:trPr>
        <w:tc>
          <w:tcPr>
            <w:tcW w:w="7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35"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 (Restated)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 the Three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1,921,010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4,923,011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General and administrative expenses - related party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(1,951,010)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(4,993,011)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investments held in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(1,946,094)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Basic and diluted weighted average shares outstanding of Class A ordinary shares subject to</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possible redemption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32,000,000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23,912,088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 Class A ordinary shares subject to possible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redemption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Basic and diluted weighted average shares outstanding of non-redeemable ordinary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8,524,396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 non-redeemable ordinary shares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142"/>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5"/>
              </w:rPr>
              <w:t>Class A</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w w:val="96"/>
              </w:rPr>
              <w:t>Shareholders’</w:t>
            </w:r>
          </w:p>
        </w:tc>
      </w:tr>
      <w:tr>
        <w:trPr>
          <w:trHeight w:val="142"/>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7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Deficit</w:t>
            </w:r>
          </w:p>
        </w:tc>
        <w:tc>
          <w:tcPr>
            <w:tcW w:w="300" w:type="dxa"/>
            <w:vAlign w:val="bottom"/>
            <w:gridSpan w:val="2"/>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6,154</w:t>
            </w:r>
          </w:p>
        </w:tc>
      </w:tr>
      <w:tr>
        <w:trPr>
          <w:trHeight w:val="202"/>
        </w:trPr>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rPr>
              <w:t>Sale of private placement shares to Sponsor in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private placement, net of offering costs</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1,040,000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104</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10,383,779</w:t>
            </w:r>
          </w:p>
        </w:tc>
        <w:tc>
          <w:tcPr>
            <w:tcW w:w="100" w:type="dxa"/>
            <w:vAlign w:val="bottom"/>
          </w:tcPr>
          <w:p>
            <w:pPr>
              <w:spacing w:after="0"/>
              <w:rPr>
                <w:sz w:val="20"/>
                <w:szCs w:val="20"/>
                <w:color w:val="auto"/>
              </w:rPr>
            </w:pP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w w:val="95"/>
              </w:rPr>
              <w:t>10,383,883</w:t>
            </w:r>
          </w:p>
        </w:tc>
      </w:tr>
      <w:tr>
        <w:trPr>
          <w:trHeight w:val="202"/>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Accretion of Class A ordinary shares subject to</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(10,407,979)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(7,047,545)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(17,455,524)</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(523,923)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(523,923)</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1,040,000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104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8,000,000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(7,590,314</w:t>
            </w: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(7,589,410</w:t>
            </w:r>
            <w:r>
              <w:rPr>
                <w:rFonts w:ascii="Arial" w:cs="Arial" w:eastAsia="Arial" w:hAnsi="Arial"/>
                <w:sz w:val="18"/>
                <w:szCs w:val="18"/>
                <w:color w:val="auto"/>
                <w:w w:val="99"/>
              </w:rPr>
              <w:t>)</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(2,512,146)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(2,512,146)</w:t>
            </w: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1,040,000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104</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8,000,000</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rPr>
              <w:t>800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(10,102,460)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(10,101,556)</w:t>
            </w:r>
          </w:p>
        </w:tc>
        <w:tc>
          <w:tcPr>
            <w:tcW w:w="180" w:type="dxa"/>
            <w:vAlign w:val="bottom"/>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(1,946,094)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(1,946,094)</w:t>
            </w:r>
          </w:p>
        </w:tc>
      </w:t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2021 (unaudited)</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shd w:val="clear" w:color="auto" w:fill="CCEEFF"/>
              </w:rPr>
              <w:t>1,040,000</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104</w:t>
            </w:r>
          </w:p>
        </w:tc>
        <w:tc>
          <w:tcPr>
            <w:tcW w:w="2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8,000,000</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w:t>
            </w:r>
          </w:p>
        </w:tc>
        <w:tc>
          <w:tcPr>
            <w:tcW w:w="3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shd w:val="clear" w:color="auto" w:fill="CCEEFF"/>
              </w:rPr>
              <w:t>800</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(12,048,554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shd w:val="clear" w:color="auto" w:fill="CCEEFF"/>
              </w:rPr>
              <w:t>)</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(12,047,650</w:t>
            </w:r>
          </w:p>
        </w:tc>
        <w:tc>
          <w:tcPr>
            <w:tcW w:w="1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003"/>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left="2003"/>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9" w:lineRule="exact"/>
        <w:rPr>
          <w:sz w:val="20"/>
          <w:szCs w:val="20"/>
          <w:color w:val="auto"/>
        </w:rPr>
      </w:pPr>
    </w:p>
    <w:p>
      <w:pPr>
        <w:jc w:val="center"/>
        <w:ind w:left="2003"/>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Income from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General and administrative expenses paid by related party under note payable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Due to related party</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received from initial public offering, gross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accounts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Offering costs paid by related party under note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due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Reversal of offering costs included in accrued expenses in prior year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paid by related party through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Outstanding accounts payable balance paid by related party under note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underwriting commissions</w:t>
      </w:r>
    </w:p>
    <w:p>
      <w:pPr>
        <w:spacing w:after="0" w:line="200" w:lineRule="exact"/>
        <w:rPr>
          <w:sz w:val="20"/>
          <w:szCs w:val="20"/>
          <w:color w:val="auto"/>
        </w:rPr>
      </w:pPr>
    </w:p>
    <w:p>
      <w:pPr>
        <w:spacing w:after="0" w:line="227" w:lineRule="exact"/>
        <w:rPr>
          <w:sz w:val="20"/>
          <w:szCs w:val="20"/>
          <w:color w:val="auto"/>
        </w:rPr>
      </w:pPr>
    </w:p>
    <w:p>
      <w:pPr>
        <w:jc w:val="center"/>
        <w:ind w:left="2003"/>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81" w:lineRule="exact"/>
        <w:rPr>
          <w:sz w:val="20"/>
          <w:szCs w:val="20"/>
          <w:color w:val="auto"/>
        </w:rPr>
      </w:pPr>
    </w:p>
    <w:p>
      <w:pPr>
        <w:jc w:val="center"/>
        <w:ind w:left="200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3" w:hanging="283"/>
        <w:spacing w:after="0"/>
        <w:tabs>
          <w:tab w:leader="none" w:pos="283" w:val="left"/>
        </w:tabs>
        <w:numPr>
          <w:ilvl w:val="0"/>
          <w:numId w:val="3"/>
        </w:numPr>
        <w:rPr>
          <w:rFonts w:ascii="Arial" w:cs="Arial" w:eastAsia="Arial" w:hAnsi="Arial"/>
          <w:sz w:val="16"/>
          <w:szCs w:val="16"/>
          <w:color w:val="auto"/>
        </w:rPr>
      </w:pPr>
      <w:r>
        <w:rPr>
          <w:rFonts w:ascii="Arial" w:cs="Arial" w:eastAsia="Arial" w:hAnsi="Arial"/>
          <w:sz w:val="16"/>
          <w:szCs w:val="16"/>
          <w:color w:val="auto"/>
        </w:rPr>
        <w:t>(4,982,163)</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(10,848)</w:t>
      </w:r>
    </w:p>
    <w:p>
      <w:pPr>
        <w:spacing w:after="0" w:line="23" w:lineRule="exact"/>
        <w:rPr>
          <w:sz w:val="20"/>
          <w:szCs w:val="20"/>
          <w:color w:val="auto"/>
        </w:rPr>
      </w:pPr>
    </w:p>
    <w:p>
      <w:pPr>
        <w:ind w:left="563"/>
        <w:spacing w:after="0"/>
        <w:rPr>
          <w:sz w:val="20"/>
          <w:szCs w:val="20"/>
          <w:color w:val="auto"/>
        </w:rPr>
      </w:pPr>
      <w:r>
        <w:rPr>
          <w:rFonts w:ascii="Arial" w:cs="Arial" w:eastAsia="Arial" w:hAnsi="Arial"/>
          <w:sz w:val="18"/>
          <w:szCs w:val="18"/>
          <w:color w:val="auto"/>
        </w:rPr>
        <w:t>44,617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(1,057,446)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1,761,778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2,132,003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623,623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775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(1,488,436)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77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32" w:lineRule="exact"/>
        <w:rPr>
          <w:sz w:val="20"/>
          <w:szCs w:val="20"/>
          <w:color w:val="auto"/>
        </w:rPr>
      </w:pPr>
    </w:p>
    <w:p>
      <w:pPr>
        <w:ind w:left="103"/>
        <w:spacing w:after="0"/>
        <w:rPr>
          <w:sz w:val="20"/>
          <w:szCs w:val="20"/>
          <w:color w:val="auto"/>
        </w:rPr>
      </w:pPr>
      <w:r>
        <w:rPr>
          <w:rFonts w:ascii="Arial" w:cs="Arial" w:eastAsia="Arial" w:hAnsi="Arial"/>
          <w:sz w:val="16"/>
          <w:szCs w:val="16"/>
          <w:u w:val="single" w:color="auto"/>
          <w:color w:val="auto"/>
        </w:rPr>
        <w:t>(320,000,000</w:t>
      </w:r>
      <w:r>
        <w:rPr>
          <w:rFonts w:ascii="Arial" w:cs="Arial" w:eastAsia="Arial" w:hAnsi="Arial"/>
          <w:sz w:val="16"/>
          <w:szCs w:val="16"/>
          <w:color w:val="auto"/>
        </w:rPr>
        <w:t>)</w:t>
      </w:r>
    </w:p>
    <w:p>
      <w:pPr>
        <w:spacing w:after="0" w:line="59" w:lineRule="exact"/>
        <w:rPr>
          <w:sz w:val="20"/>
          <w:szCs w:val="20"/>
          <w:color w:val="auto"/>
        </w:rPr>
      </w:pPr>
    </w:p>
    <w:p>
      <w:pPr>
        <w:ind w:left="103"/>
        <w:spacing w:after="0"/>
        <w:rPr>
          <w:sz w:val="20"/>
          <w:szCs w:val="20"/>
          <w:color w:val="auto"/>
        </w:rPr>
      </w:pPr>
      <w:r>
        <w:rPr>
          <w:rFonts w:ascii="Arial" w:cs="Arial" w:eastAsia="Arial" w:hAnsi="Arial"/>
          <w:sz w:val="16"/>
          <w:szCs w:val="16"/>
          <w:u w:val="single" w:color="auto"/>
          <w:color w:val="auto"/>
        </w:rPr>
        <w:t>(320,000,000</w:t>
      </w:r>
      <w:r>
        <w:rPr>
          <w:rFonts w:ascii="Arial" w:cs="Arial" w:eastAsia="Arial" w:hAnsi="Arial"/>
          <w:sz w:val="16"/>
          <w:szCs w:val="16"/>
          <w:color w:val="auto"/>
        </w:rPr>
        <w: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(413,562)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320,000,000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10,400,000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(5,790,750)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77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324,195,688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775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2,707,252</w:t>
      </w:r>
    </w:p>
    <w:p>
      <w:pPr>
        <w:spacing w:after="0" w:line="117" w:lineRule="exact"/>
        <w:rPr>
          <w:sz w:val="20"/>
          <w:szCs w:val="20"/>
          <w:color w:val="auto"/>
        </w:rPr>
      </w:pPr>
    </w:p>
    <w:p>
      <w:pPr>
        <w:ind w:left="80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775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2" w:lineRule="exact"/>
        <w:rPr>
          <w:sz w:val="20"/>
          <w:szCs w:val="20"/>
          <w:color w:val="auto"/>
        </w:rPr>
      </w:pPr>
    </w:p>
    <w:p>
      <w:pPr>
        <w:ind w:left="343" w:hanging="343"/>
        <w:spacing w:after="0"/>
        <w:tabs>
          <w:tab w:leader="none" w:pos="343"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2,707,252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77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75" w:lineRule="exact"/>
        <w:rPr>
          <w:sz w:val="20"/>
          <w:szCs w:val="20"/>
          <w:color w:val="auto"/>
        </w:rPr>
      </w:pPr>
    </w:p>
    <w:p>
      <w:pPr>
        <w:ind w:left="663" w:hanging="663"/>
        <w:spacing w:after="0"/>
        <w:tabs>
          <w:tab w:leader="none" w:pos="663" w:val="left"/>
        </w:tabs>
        <w:numPr>
          <w:ilvl w:val="0"/>
          <w:numId w:val="5"/>
        </w:numPr>
        <w:rPr>
          <w:rFonts w:ascii="Arial" w:cs="Arial" w:eastAsia="Arial" w:hAnsi="Arial"/>
          <w:sz w:val="18"/>
          <w:szCs w:val="18"/>
          <w:color w:val="auto"/>
        </w:rPr>
      </w:pPr>
      <w:r>
        <w:rPr>
          <w:rFonts w:ascii="Arial" w:cs="Arial" w:eastAsia="Arial" w:hAnsi="Arial"/>
          <w:sz w:val="18"/>
          <w:szCs w:val="18"/>
          <w:color w:val="auto"/>
        </w:rPr>
        <w:t>6,479</w:t>
      </w:r>
    </w:p>
    <w:p>
      <w:pPr>
        <w:spacing w:after="0" w:line="23" w:lineRule="exact"/>
        <w:rPr>
          <w:sz w:val="20"/>
          <w:szCs w:val="20"/>
          <w:color w:val="auto"/>
        </w:rPr>
      </w:pPr>
    </w:p>
    <w:p>
      <w:pPr>
        <w:ind w:left="563" w:hanging="563"/>
        <w:spacing w:after="0"/>
        <w:tabs>
          <w:tab w:leader="none" w:pos="563" w:val="left"/>
        </w:tabs>
        <w:numPr>
          <w:ilvl w:val="0"/>
          <w:numId w:val="6"/>
        </w:numPr>
        <w:rPr>
          <w:rFonts w:ascii="Arial" w:cs="Arial" w:eastAsia="Arial" w:hAnsi="Arial"/>
          <w:sz w:val="18"/>
          <w:szCs w:val="18"/>
          <w:color w:val="auto"/>
        </w:rPr>
      </w:pPr>
      <w:r>
        <w:rPr>
          <w:rFonts w:ascii="Arial" w:cs="Arial" w:eastAsia="Arial" w:hAnsi="Arial"/>
          <w:sz w:val="18"/>
          <w:szCs w:val="18"/>
          <w:color w:val="auto"/>
        </w:rPr>
        <w:t>73,567</w:t>
      </w:r>
    </w:p>
    <w:p>
      <w:pPr>
        <w:spacing w:after="0" w:line="9" w:lineRule="exact"/>
        <w:rPr>
          <w:sz w:val="20"/>
          <w:szCs w:val="20"/>
          <w:color w:val="auto"/>
        </w:rPr>
      </w:pPr>
    </w:p>
    <w:p>
      <w:pPr>
        <w:ind w:left="483" w:hanging="483"/>
        <w:spacing w:after="0"/>
        <w:tabs>
          <w:tab w:leader="none" w:pos="483" w:val="left"/>
        </w:tabs>
        <w:numPr>
          <w:ilvl w:val="0"/>
          <w:numId w:val="7"/>
        </w:numPr>
        <w:rPr>
          <w:rFonts w:ascii="Arial" w:cs="Arial" w:eastAsia="Arial" w:hAnsi="Arial"/>
          <w:sz w:val="17"/>
          <w:szCs w:val="17"/>
          <w:color w:val="auto"/>
        </w:rPr>
      </w:pPr>
      <w:r>
        <w:rPr>
          <w:rFonts w:ascii="Arial" w:cs="Arial" w:eastAsia="Arial" w:hAnsi="Arial"/>
          <w:sz w:val="17"/>
          <w:szCs w:val="17"/>
          <w:color w:val="auto"/>
        </w:rPr>
        <w:t>322,595</w:t>
      </w:r>
    </w:p>
    <w:p>
      <w:pPr>
        <w:spacing w:after="0" w:line="21" w:lineRule="exact"/>
        <w:rPr>
          <w:sz w:val="20"/>
          <w:szCs w:val="20"/>
          <w:color w:val="auto"/>
        </w:rPr>
      </w:pPr>
    </w:p>
    <w:p>
      <w:pPr>
        <w:ind w:left="563" w:hanging="563"/>
        <w:spacing w:after="0"/>
        <w:tabs>
          <w:tab w:leader="none" w:pos="563" w:val="left"/>
        </w:tabs>
        <w:numPr>
          <w:ilvl w:val="0"/>
          <w:numId w:val="8"/>
        </w:numPr>
        <w:rPr>
          <w:rFonts w:ascii="Arial" w:cs="Arial" w:eastAsia="Arial" w:hAnsi="Arial"/>
          <w:sz w:val="18"/>
          <w:szCs w:val="18"/>
          <w:color w:val="auto"/>
        </w:rPr>
      </w:pPr>
      <w:r>
        <w:rPr>
          <w:rFonts w:ascii="Arial" w:cs="Arial" w:eastAsia="Arial" w:hAnsi="Arial"/>
          <w:sz w:val="18"/>
          <w:szCs w:val="18"/>
          <w:color w:val="auto"/>
        </w:rPr>
        <w:t>51,500</w:t>
      </w:r>
    </w:p>
    <w:p>
      <w:pPr>
        <w:spacing w:after="0" w:line="9" w:lineRule="exact"/>
        <w:rPr>
          <w:sz w:val="20"/>
          <w:szCs w:val="20"/>
          <w:color w:val="auto"/>
        </w:rPr>
      </w:pPr>
    </w:p>
    <w:p>
      <w:pPr>
        <w:ind w:left="483" w:hanging="483"/>
        <w:spacing w:after="0"/>
        <w:tabs>
          <w:tab w:leader="none" w:pos="483" w:val="left"/>
        </w:tabs>
        <w:numPr>
          <w:ilvl w:val="0"/>
          <w:numId w:val="9"/>
        </w:numPr>
        <w:rPr>
          <w:rFonts w:ascii="Arial" w:cs="Arial" w:eastAsia="Arial" w:hAnsi="Arial"/>
          <w:sz w:val="17"/>
          <w:szCs w:val="17"/>
          <w:color w:val="auto"/>
        </w:rPr>
      </w:pPr>
      <w:r>
        <w:rPr>
          <w:rFonts w:ascii="Arial" w:cs="Arial" w:eastAsia="Arial" w:hAnsi="Arial"/>
          <w:sz w:val="17"/>
          <w:szCs w:val="17"/>
          <w:color w:val="auto"/>
        </w:rPr>
        <w:t>100,000</w:t>
      </w:r>
    </w:p>
    <w:p>
      <w:pPr>
        <w:spacing w:after="0" w:line="21" w:lineRule="exact"/>
        <w:rPr>
          <w:sz w:val="20"/>
          <w:szCs w:val="20"/>
          <w:color w:val="auto"/>
        </w:rPr>
      </w:pPr>
    </w:p>
    <w:p>
      <w:pPr>
        <w:ind w:left="563" w:hanging="563"/>
        <w:spacing w:after="0"/>
        <w:tabs>
          <w:tab w:leader="none" w:pos="5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19,600</w:t>
      </w:r>
    </w:p>
    <w:p>
      <w:pPr>
        <w:spacing w:after="0" w:line="9" w:lineRule="exact"/>
        <w:rPr>
          <w:sz w:val="20"/>
          <w:szCs w:val="20"/>
          <w:color w:val="auto"/>
        </w:rPr>
      </w:pPr>
    </w:p>
    <w:p>
      <w:pPr>
        <w:ind w:left="663" w:hanging="663"/>
        <w:spacing w:after="0"/>
        <w:tabs>
          <w:tab w:leader="none" w:pos="6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9,000</w:t>
      </w:r>
    </w:p>
    <w:p>
      <w:pPr>
        <w:spacing w:after="0" w:line="9" w:lineRule="exact"/>
        <w:rPr>
          <w:rFonts w:ascii="Arial" w:cs="Arial" w:eastAsia="Arial" w:hAnsi="Arial"/>
          <w:sz w:val="18"/>
          <w:szCs w:val="18"/>
          <w:color w:val="auto"/>
        </w:rPr>
      </w:pPr>
    </w:p>
    <w:p>
      <w:pPr>
        <w:ind w:left="263" w:hanging="263"/>
        <w:spacing w:after="0"/>
        <w:tabs>
          <w:tab w:leader="none" w:pos="2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11,200,000</w:t>
      </w:r>
    </w:p>
    <w:p>
      <w:pPr>
        <w:sectPr>
          <w:pgSz w:w="11900" w:h="16838" w:orient="portrait"/>
          <w:cols w:equalWidth="0" w:num="2">
            <w:col w:w="9237" w:space="720"/>
            <w:col w:w="1123"/>
          </w:cols>
          <w:pgMar w:left="320" w:top="48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SVF Investment Corp. 3, formerly known as SVF Investment III Corp., (the “Company”) is a blank check company incorporated as a Cayman Islands exempted company on December 11, 2020.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As of September 30, 2021, the Company had not yet commenced operations. All activity for the period from December 11, 2020 (inception) through September 30, 2021 relates to the Company’s formation and the initial public offering (the “Initial Public Offering”),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6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Company’s sponsor is SVF Sponsor III (DE) LLC, a Delaware limited liability company (“Sponsor”). The registration statement for the Company’s Initial Public Offering was declared effective on March 8, 2021. On March 11, 2021, the Company consummated its Initial Public Offering of 32,000,000 Class A ordinary shares (the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(see Note 5). On April 22, 2021, the underwriters made a payment to the Company in an amount of $640,000 to reimburse certain of the expenses in connection with its Initial Public Offering.</w:t>
      </w:r>
    </w:p>
    <w:p>
      <w:pPr>
        <w:spacing w:after="0" w:line="1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1,040,000 Class A ordinary shares (the “Private Placement Shares”), at a price of $10.00 per Private Placement Share to the Sponsor, generating gross proceeds of $10.4 million (see Note 4).</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Upon the closing of the Initial Public Offering, management agreed that an amount equal to at least $10.00 per Public Share sold in the Initial Public Offering, including the proceeds of the Private Placement Shares, will be held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Company provides its holders of the Public Shares (the “Public Shareholders”) with the opportunity to redeem all or a portion of their Public Shares upon the completion of a Business Combination either (i) in connection with a shareholder meeting called to approve the Business Combination or</w:t>
      </w:r>
    </w:p>
    <w:p>
      <w:pPr>
        <w:ind w:left="120" w:right="40" w:hanging="4"/>
        <w:spacing w:after="0" w:line="253" w:lineRule="auto"/>
        <w:tabs>
          <w:tab w:leader="none" w:pos="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(at $10.00 per share, plus any pro rata interest earned on the funds held in the Trust Account and not previously released to the Company to pay its tax obligations). The per-share amount to be distributed to Public Shareholders who redeem their Public Shares will not be reduced by the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4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deferred underwriting commissions the Company will pay to the underwriters (as discussed in Note 7). These Public Shares are recorded at a redemption value and classified as temporary equity, in accordance with Financial Accounting Standards Board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9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Company’s Sponsor, executive officers, directors and director nominees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11,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4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43"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September 30, 2021, the Company had approximately $2.7 million in its operating bank account and working capital deficit of approximately $858,000.</w:t>
      </w:r>
    </w:p>
    <w:p>
      <w:pPr>
        <w:spacing w:after="0" w:line="170"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Prior to the completion of the Initial Public Offering, the Company’s liquidity needs were satisfied through the payment by the Company’s Sponsor of $25,000 for certain offering costs on the Company’s behalf in exchange for the issuance of the Founder Shares, and borrowings under the Company’s promissory note with its Sponsor of $300,000 as well as additional advances of approximately $114,000. Subsequent to the consummation of the Initial Public Offering and Private Placement, the Company’s liquidity needs will be satisfied with a portion of the proceeds of $10.4 million from the consummation of the Private Placement not held in the Trust Account. In addition, in order to finance transaction costs in connection with a Business Combination, the Sponsor may, but is not obligated to, provide the Company Working Capital Loans (see Note 4). As of September 30, 2021 and December 31, 2020, there were no amounts outstanding under any Working Capital Loans. On August 10, 2021 the Sponsor agreed to loan the Company $2.0 million as the Working Capital Loan. On November 9, 2021 the Sponsor and the Company agreed to amend this loan to increase the commitment by $1.0 million.</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 funds held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 The financial statement does not include any adjustments that might result from the outcome of this uncertainty.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39" w:lineRule="exact"/>
        <w:rPr>
          <w:sz w:val="20"/>
          <w:szCs w:val="20"/>
          <w:color w:val="auto"/>
        </w:rPr>
      </w:pPr>
    </w:p>
    <w:p>
      <w:pPr>
        <w:ind w:left="120" w:right="4880"/>
        <w:spacing w:after="0" w:line="377"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normal recurring adjustments necessary for the fair statement of the balances and results for the periods presented. Operating results for the three and nine months ended September 30, 2021 are not necessarily indicative of the results that may be expected through December 31, 2021 or any future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held outside the Trust Account as of September 30, 2021 and December 31,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and investments held in the Trust Account. As of September 30, 2021 and December 31, 2020, the Company had not experienced losses on these accounts and management believes the Company is not exposed to significant risks on such accounts.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unaudited condensed statements of operations. The estimated fair values of investments held in the Trust Account are determined using available market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200"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43"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As of September 30, 2021 and December 31, 2020, the carrying values of cash, accounts receivable, prepaid expense, due from related party, accounts payable, accrued expenses, due to related party and note payable to related party approximate their fair values due to the short-term nature of the instruments. The fair value of investments held in Trust Account is determined using quoted prices in active markets.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Offering costs consist of legal, accounting, underwriting and other costs incurred that were directly related to the Initial Public Offering. Offering costs were allocated between the Private Placement Shares and the Public Shares based on a relative fair value basis, compared to total proceeds received. Additionally, at the Initial Public Offering, offering costs allocated to the Public Shares were charged against temporary equity and offering costs allocated to the Private Placement Shares were charged against shareholders’ equity (deficit). Deferred underwriting commissions are classified as non-current liabilities as their liquidation is not reasonably expected to require the use of current assets or require the creation of current liabilities.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(deficit). The Company’s Class A ordinary shares feature certain redemption rights that are considered to be outside of the Company’s control and subject to the occurrence of uncertain future events. Accordingly, at the Initial Public Offering and as of September 30, 2021, 32,000,000 Class A ordinary shares subject to possible redemption are presented as temporary equity, outside of the shareholders’ equity (deficit) section of the Company’s condensed balance sheets.</w:t>
      </w:r>
    </w:p>
    <w:p>
      <w:pPr>
        <w:spacing w:after="0" w:line="178"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the Company recognized the accretion from initial book value to redemption amount value. The change in the carrying value of redeemable shares of Class A ordinary shares resulted in charges against additional paid-in capital and accumulated deficit.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September 30,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Income and losses are shared pro rata between Class A ordinary shares subject to possible redemption and non-redeemable ordinary shares. Net loss per ordinary share is calculated by dividing the net loss by the weighted-average number of ordinary shares outstanding for the respective period. Non-redeemable ordinary shares include Founder Shares and Private Placement Shares as these shares do not have any redemption features.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Accretion associated with the redeemable Class A ordinary shares is excluded from earnings per share as the redemption value approximates fair value.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below presents a reconciliation of the numerator and denominator used to compute basic and diluted net loss per of ordinary share:</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6"/>
              </w:rPr>
              <w:t>Class A</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6"/>
              </w:rPr>
              <w:t>Class A</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ordinary shares</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Non-redeemable</w:t>
            </w:r>
          </w:p>
        </w:tc>
        <w:tc>
          <w:tcPr>
            <w:tcW w:w="220" w:type="dxa"/>
            <w:vAlign w:val="bottom"/>
          </w:tcPr>
          <w:p>
            <w:pPr>
              <w:spacing w:after="0"/>
              <w:rPr>
                <w:sz w:val="12"/>
                <w:szCs w:val="12"/>
                <w:color w:val="auto"/>
              </w:rPr>
            </w:pPr>
          </w:p>
        </w:tc>
        <w:tc>
          <w:tcPr>
            <w:tcW w:w="16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ordinary shares</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Non-redeemable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subject to possible</w:t>
            </w: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subject to possible</w:t>
            </w: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redemption</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ordinary 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redemption</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(1,517,422)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(428,672)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(3,672,837)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(1,309,326)</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Basic and diluted weighted average ordinary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 outstanding</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32,000,000</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9,040,000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23,912,088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8,524,396</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On March 11, 2021, the Company consummated its Initial Public Offering of 32,000,000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On April 22, 2021, the underwriters made a payment to the Company in an amount of $640,000 to reimburse certain of the expenses in connection with its Initial Public Offering.</w:t>
      </w:r>
    </w:p>
    <w:p>
      <w:pPr>
        <w:spacing w:after="0" w:line="18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Of the 32,000,000 Public Shares, an aggregate of 112,500 Public Shares was purchased by certain of the Company’s directors and officers (the “Affiliated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December 14, 2020, the Company issued 2,875,000 Class B ordinary shares to the Sponsor (the “Founder Shares”) in exchange for the payment of $25,000 from the Sponsor to cover for certain expenses on behalf of the Company. On January 29, 2021, the Company effected a share dividend of 12,125,000 Class B ordinary shares and on February 3 and February 26, 2021, the Sponsor surrendered 5,000,000 and 2,000,000 Class B ordinary shares for no consideration, respectively. The share dividend and share surrender resulted in an aggregate of 8,000,000 Class B</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211" w:lineRule="exact"/>
        <w:rPr>
          <w:sz w:val="20"/>
          <w:szCs w:val="20"/>
          <w:color w:val="auto"/>
        </w:rPr>
      </w:pPr>
    </w:p>
    <w:p>
      <w:pPr>
        <w:ind w:left="60" w:right="100"/>
        <w:spacing w:after="0" w:line="296" w:lineRule="auto"/>
        <w:rPr>
          <w:sz w:val="20"/>
          <w:szCs w:val="20"/>
          <w:color w:val="auto"/>
        </w:rPr>
      </w:pPr>
      <w:r>
        <w:rPr>
          <w:rFonts w:ascii="Arial" w:cs="Arial" w:eastAsia="Arial" w:hAnsi="Arial"/>
          <w:sz w:val="16"/>
          <w:szCs w:val="16"/>
          <w:color w:val="auto"/>
        </w:rPr>
        <w:t>ordinary shares outstanding. All shares and associated amounts have been retroactively restated to reflect the share capitalization as of December 11, 2020 (inception). The holders of the Founder Shares agreed to forfeit up to an aggregate of 1,000,000 Founder Shares, on a pro rata basis, to the extent that the option to purchase additional shares was not exercised in full by the underwriters, so that the Founder Shares would represent 20% of the Company’s issued and outstanding shares after the Initial Public Offering (excluding the Private Placement Shares and the Forward Purchase Shares). The underwriters fully exercised the over-allotment option on March 11, 2021; thus, these 1,000,000 Founder Shares are no longer subject to forfeiture.</w:t>
      </w:r>
    </w:p>
    <w:p>
      <w:pPr>
        <w:spacing w:after="0" w:line="161" w:lineRule="exact"/>
        <w:rPr>
          <w:sz w:val="20"/>
          <w:szCs w:val="20"/>
          <w:color w:val="auto"/>
        </w:rPr>
      </w:pPr>
    </w:p>
    <w:p>
      <w:pPr>
        <w:ind w:left="60" w:right="460"/>
        <w:spacing w:after="0" w:line="291" w:lineRule="auto"/>
        <w:rPr>
          <w:sz w:val="20"/>
          <w:szCs w:val="20"/>
          <w:color w:val="auto"/>
        </w:rPr>
      </w:pPr>
      <w:r>
        <w:rPr>
          <w:rFonts w:ascii="Arial" w:cs="Arial" w:eastAsia="Arial" w:hAnsi="Arial"/>
          <w:sz w:val="16"/>
          <w:szCs w:val="16"/>
          <w:color w:val="auto"/>
        </w:rPr>
        <w:t xml:space="preserve">The Initial Shareholders agreed not to transfer, assign or sell any of their Founder Shares and the Forward Purchase Investor agreed not to transfer, assign or sell any of its Forward purchase until the earlier to occur of (A) </w:t>
      </w:r>
      <w:r>
        <w:rPr>
          <w:rFonts w:ascii="Arial" w:cs="Arial" w:eastAsia="Arial" w:hAnsi="Arial"/>
          <w:sz w:val="12"/>
          <w:szCs w:val="12"/>
          <w:color w:val="auto"/>
        </w:rPr>
        <w:t>one year</w:t>
      </w:r>
      <w:r>
        <w:rPr>
          <w:rFonts w:ascii="Arial" w:cs="Arial" w:eastAsia="Arial" w:hAnsi="Arial"/>
          <w:sz w:val="16"/>
          <w:szCs w:val="16"/>
          <w:color w:val="auto"/>
        </w:rPr>
        <w:t xml:space="preserve"> after the completion of the initial Business Combination and</w:t>
      </w:r>
    </w:p>
    <w:p>
      <w:pPr>
        <w:ind w:left="60" w:right="60" w:hanging="4"/>
        <w:spacing w:after="0" w:line="253" w:lineRule="auto"/>
        <w:tabs>
          <w:tab w:leader="none" w:pos="3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subsequent to the initial Business Combination, (x) if the closing price of the Class A ordinary shares equals or exceeds $</w:t>
      </w:r>
      <w:r>
        <w:rPr>
          <w:rFonts w:ascii="Arial" w:cs="Arial" w:eastAsia="Arial" w:hAnsi="Arial"/>
          <w:sz w:val="14"/>
          <w:szCs w:val="14"/>
          <w:color w:val="auto"/>
        </w:rPr>
        <w:t>12.00</w:t>
      </w:r>
      <w:r>
        <w:rPr>
          <w:rFonts w:ascii="Arial" w:cs="Arial" w:eastAsia="Arial" w:hAnsi="Arial"/>
          <w:sz w:val="18"/>
          <w:szCs w:val="18"/>
          <w:color w:val="auto"/>
        </w:rPr>
        <w:t xml:space="preserve"> per share (as adjusted for share subdivisions, share capitalizations, reorganizations, recapitalizations and the like) for any </w:t>
      </w:r>
      <w:r>
        <w:rPr>
          <w:rFonts w:ascii="Arial" w:cs="Arial" w:eastAsia="Arial" w:hAnsi="Arial"/>
          <w:sz w:val="14"/>
          <w:szCs w:val="14"/>
          <w:color w:val="auto"/>
        </w:rPr>
        <w:t>20</w:t>
      </w:r>
      <w:r>
        <w:rPr>
          <w:rFonts w:ascii="Arial" w:cs="Arial" w:eastAsia="Arial" w:hAnsi="Arial"/>
          <w:sz w:val="18"/>
          <w:szCs w:val="18"/>
          <w:color w:val="auto"/>
        </w:rPr>
        <w:t xml:space="preserve"> trading days within any </w:t>
      </w:r>
      <w:r>
        <w:rPr>
          <w:rFonts w:ascii="Arial" w:cs="Arial" w:eastAsia="Arial" w:hAnsi="Arial"/>
          <w:sz w:val="14"/>
          <w:szCs w:val="14"/>
          <w:color w:val="auto"/>
        </w:rPr>
        <w:t>30</w:t>
      </w:r>
      <w:r>
        <w:rPr>
          <w:rFonts w:ascii="Arial" w:cs="Arial" w:eastAsia="Arial" w:hAnsi="Arial"/>
          <w:sz w:val="18"/>
          <w:szCs w:val="18"/>
          <w:color w:val="auto"/>
        </w:rPr>
        <w:t xml:space="preserve">-trading day period commencing at least </w:t>
      </w:r>
      <w:r>
        <w:rPr>
          <w:rFonts w:ascii="Arial" w:cs="Arial" w:eastAsia="Arial" w:hAnsi="Arial"/>
          <w:sz w:val="14"/>
          <w:szCs w:val="14"/>
          <w:color w:val="auto"/>
        </w:rPr>
        <w:t>150</w:t>
      </w:r>
      <w:r>
        <w:rPr>
          <w:rFonts w:ascii="Arial" w:cs="Arial" w:eastAsia="Arial" w:hAnsi="Arial"/>
          <w:sz w:val="18"/>
          <w:szCs w:val="18"/>
          <w:color w:val="auto"/>
        </w:rPr>
        <w:t xml:space="preserve">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1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1,040,000 Private Placement Shares, at a price of $10.00 per Private Placement Share to the Sponsor, generating gross proceeds of $10.4 million.</w:t>
      </w:r>
    </w:p>
    <w:p>
      <w:pPr>
        <w:spacing w:after="0" w:line="170" w:lineRule="exact"/>
        <w:rPr>
          <w:sz w:val="20"/>
          <w:szCs w:val="20"/>
          <w:color w:val="auto"/>
        </w:rPr>
      </w:pPr>
    </w:p>
    <w:p>
      <w:pPr>
        <w:ind w:left="60" w:right="40"/>
        <w:spacing w:after="0" w:line="259" w:lineRule="auto"/>
        <w:rPr>
          <w:sz w:val="20"/>
          <w:szCs w:val="20"/>
          <w:color w:val="auto"/>
        </w:rPr>
      </w:pPr>
      <w:r>
        <w:rPr>
          <w:rFonts w:ascii="Arial" w:cs="Arial" w:eastAsia="Arial" w:hAnsi="Arial"/>
          <w:sz w:val="18"/>
          <w:szCs w:val="18"/>
          <w:color w:val="auto"/>
        </w:rPr>
        <w:t>A portion of the proceeds from the Private Placement Shares was added to the proceeds from the Initial Public Offering held in the Trust Account. If the Company does not complete a Business Combination within the Combination Period, the proceeds from the sale of the Private Placement share held in the Trust Account will be used to fund the redemption of the Public Shares (subject to the requirements of applicable law) and the Private Placement Shares will be worthless.</w:t>
      </w:r>
    </w:p>
    <w:p>
      <w:pPr>
        <w:spacing w:after="0" w:line="187" w:lineRule="exact"/>
        <w:rPr>
          <w:sz w:val="20"/>
          <w:szCs w:val="20"/>
          <w:color w:val="auto"/>
        </w:rPr>
      </w:pPr>
    </w:p>
    <w:p>
      <w:pPr>
        <w:jc w:val="both"/>
        <w:ind w:left="60" w:right="20"/>
        <w:spacing w:after="0" w:line="263"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 as such are considered non-redeemable and presented as permanent equity in the Company’s condensed balance sheet.</w:t>
      </w: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60" w:right="60"/>
        <w:spacing w:after="0" w:line="259" w:lineRule="auto"/>
        <w:rPr>
          <w:sz w:val="20"/>
          <w:szCs w:val="20"/>
          <w:color w:val="auto"/>
        </w:rPr>
      </w:pPr>
      <w:r>
        <w:rPr>
          <w:rFonts w:ascii="Arial" w:cs="Arial" w:eastAsia="Arial" w:hAnsi="Arial"/>
          <w:sz w:val="18"/>
          <w:szCs w:val="18"/>
          <w:color w:val="auto"/>
        </w:rPr>
        <w:t>On December 14, 2020, the Sponsor agreed to loan the Company up to $300,000 pursuant to a promissory note (the “Note”). The Note was non-interest bearing, unsecured and due upon the closing of the Initial Public Offering. As of March 11, 2021, the Company fully borrowed $300,000 under the Note. In addition, the Sponsor also advanced approximately $114,000 to the Company. The Company fully repaid the Note balance and the advance from the Sponsor, for a total of approximately $414,000, on March 15, 2021.</w:t>
      </w:r>
    </w:p>
    <w:p>
      <w:pPr>
        <w:spacing w:after="0" w:line="187" w:lineRule="exact"/>
        <w:rPr>
          <w:sz w:val="20"/>
          <w:szCs w:val="20"/>
          <w:color w:val="auto"/>
        </w:rPr>
      </w:pPr>
    </w:p>
    <w:p>
      <w:pPr>
        <w:jc w:val="both"/>
        <w:ind w:left="60" w:right="10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60" w:right="80"/>
        <w:spacing w:after="0" w:line="268" w:lineRule="auto"/>
        <w:rPr>
          <w:sz w:val="20"/>
          <w:szCs w:val="20"/>
          <w:color w:val="auto"/>
        </w:rPr>
      </w:pPr>
      <w:r>
        <w:rPr>
          <w:rFonts w:ascii="Arial" w:cs="Arial" w:eastAsia="Arial" w:hAnsi="Arial"/>
          <w:sz w:val="17"/>
          <w:szCs w:val="17"/>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$2.0 million of such Working Capital Loans may be convertible into shares of the post Business Combination entity at a price of $10.00 per share. The shares would be identical to the Private Placement Shares. Except for the foregoing, the terms of such Working Capital Loans, if any, have not been determined and no written agreements exist with respect to such loans. On August 10, 2021 the Sponsor agreed to loan the Company $2.0 million as the Working Capital Loan. On November 9, 2021 the Sponsor and the Company agreed to amend this loan to increase the commitment by $1.0 million. As of September 30, 2021 and December 31, 2020, the Company had no borrowings under the Working Capital Loans.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80" w:top="405"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60" w:right="300"/>
        <w:spacing w:after="0" w:line="263" w:lineRule="auto"/>
        <w:rPr>
          <w:sz w:val="20"/>
          <w:szCs w:val="20"/>
          <w:color w:val="auto"/>
        </w:rPr>
      </w:pPr>
      <w:r>
        <w:rPr>
          <w:rFonts w:ascii="Arial" w:cs="Arial" w:eastAsia="Arial" w:hAnsi="Arial"/>
          <w:sz w:val="18"/>
          <w:szCs w:val="18"/>
          <w:color w:val="auto"/>
        </w:rPr>
        <w:t>Commencing on the date that the Company’s securities were first listed on the NASDAQ through the earlier of consummation of the initial Business Combination and the liquidation, the Company agreed to pay the Sponsor $10,000 per month for office space, secretarial and administrative services provided to the Company by an affiliate of the Sponsor.</w:t>
      </w:r>
    </w:p>
    <w:p>
      <w:pPr>
        <w:spacing w:after="0" w:line="184" w:lineRule="exact"/>
        <w:rPr>
          <w:sz w:val="20"/>
          <w:szCs w:val="20"/>
          <w:color w:val="auto"/>
        </w:rPr>
      </w:pPr>
    </w:p>
    <w:p>
      <w:pPr>
        <w:ind w:left="60" w:right="500"/>
        <w:spacing w:after="0" w:line="259" w:lineRule="auto"/>
        <w:rPr>
          <w:sz w:val="20"/>
          <w:szCs w:val="20"/>
          <w:color w:val="auto"/>
        </w:rPr>
      </w:pPr>
      <w:r>
        <w:rPr>
          <w:rFonts w:ascii="Arial" w:cs="Arial" w:eastAsia="Arial" w:hAnsi="Arial"/>
          <w:sz w:val="18"/>
          <w:szCs w:val="18"/>
          <w:color w:val="auto"/>
        </w:rPr>
        <w:t>The Company incurred $30,000 and $70,000 in such fees included as general and administrative expenses to related party on the accompanying unaudited condensed statements of operations for the three and nine months ended September 30, 2021, respectively. As of September 30, 2021, $70,000 is due to the Sponsor and is included in due to related party on the accompanying condensed balance sheets. There was no balance due to related party at December 31, 2020.</w:t>
      </w:r>
    </w:p>
    <w:p>
      <w:pPr>
        <w:spacing w:after="0" w:line="187" w:lineRule="exact"/>
        <w:rPr>
          <w:sz w:val="20"/>
          <w:szCs w:val="20"/>
          <w:color w:val="auto"/>
        </w:rPr>
      </w:pPr>
    </w:p>
    <w:p>
      <w:pPr>
        <w:ind w:left="6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57" w:lineRule="exact"/>
        <w:rPr>
          <w:sz w:val="20"/>
          <w:szCs w:val="20"/>
          <w:color w:val="auto"/>
        </w:rPr>
      </w:pPr>
    </w:p>
    <w:p>
      <w:pPr>
        <w:ind w:left="60" w:right="580"/>
        <w:spacing w:after="0" w:line="277" w:lineRule="auto"/>
        <w:rPr>
          <w:sz w:val="20"/>
          <w:szCs w:val="20"/>
          <w:color w:val="auto"/>
        </w:rPr>
      </w:pPr>
      <w:r>
        <w:rPr>
          <w:rFonts w:ascii="Arial" w:cs="Arial" w:eastAsia="Arial" w:hAnsi="Arial"/>
          <w:sz w:val="18"/>
          <w:szCs w:val="18"/>
          <w:color w:val="auto"/>
        </w:rPr>
        <w:t>As of September 30, 2021, approximately $605,000 is due to the Sponsor’s affiliates and is included in due to related party on the accompanying condensed balance sheets. There was no balance due to related party at December 31, 2020.</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60" w:right="80"/>
        <w:spacing w:after="0" w:line="273" w:lineRule="auto"/>
        <w:rPr>
          <w:sz w:val="20"/>
          <w:szCs w:val="20"/>
          <w:color w:val="auto"/>
        </w:rPr>
      </w:pPr>
      <w:r>
        <w:rPr>
          <w:rFonts w:ascii="Arial" w:cs="Arial" w:eastAsia="Arial" w:hAnsi="Arial"/>
          <w:sz w:val="17"/>
          <w:szCs w:val="17"/>
          <w:color w:val="auto"/>
        </w:rPr>
        <w:t>The holders of the Founder Shares, Private Placement Shares, and any shares that may be issued upon conversion of Working Capital Loans (and any Class A ordinary shares issuable upon conversion of the Founder Shares)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The Company granted the underwriters a 45-day option from the date of the prospectus to purchase up to 4,000,000 additional shares at the Initial Public Offering price less the underwriting discounts and commissions. The underwriters fully exercised the over-allotment option on March 11, 2021.</w:t>
      </w:r>
    </w:p>
    <w:p>
      <w:pPr>
        <w:spacing w:after="0" w:line="124" w:lineRule="exact"/>
        <w:rPr>
          <w:sz w:val="20"/>
          <w:szCs w:val="20"/>
          <w:color w:val="auto"/>
        </w:rPr>
      </w:pPr>
    </w:p>
    <w:p>
      <w:pPr>
        <w:ind w:left="60" w:right="80"/>
        <w:spacing w:after="0" w:line="296" w:lineRule="auto"/>
        <w:rPr>
          <w:sz w:val="20"/>
          <w:szCs w:val="20"/>
          <w:color w:val="auto"/>
        </w:rPr>
      </w:pPr>
      <w:r>
        <w:rPr>
          <w:rFonts w:ascii="Arial" w:cs="Arial" w:eastAsia="Arial" w:hAnsi="Arial"/>
          <w:sz w:val="16"/>
          <w:szCs w:val="16"/>
          <w:color w:val="auto"/>
        </w:rPr>
        <w:t>The underwriters were entitled to an underwriting discount of $0.20 per unit, or $4.6 million in the aggregate, paid upon the closing of the Initial Public Offering. In addition, $0.35 per unit, or approximately $11.2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On April 22, 2021, the underwriters made a payment to the Company in an amount of $640,000 to reimburse certain of the expenses in connection with its Initial Public Offering.</w:t>
      </w: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60" w:right="20"/>
        <w:spacing w:after="0" w:line="275" w:lineRule="auto"/>
        <w:rPr>
          <w:sz w:val="20"/>
          <w:szCs w:val="20"/>
          <w:color w:val="auto"/>
        </w:rPr>
      </w:pPr>
      <w:r>
        <w:rPr>
          <w:rFonts w:ascii="Arial" w:cs="Arial" w:eastAsia="Arial" w:hAnsi="Arial"/>
          <w:sz w:val="17"/>
          <w:szCs w:val="17"/>
          <w:color w:val="auto"/>
        </w:rPr>
        <w:t>The Company entered into a forward purchase agreement (a “Forward Purchase Agreement”) with certain investors (the “Forward Purchase Investors”), which provides for the purchase of $150 million forward purchase shares (the “Forward Purchase Shares”), for $10.00 per share, in a private placement to close substantially concurrently with the closing of the initial Business Combination. The Forward Purchase Agreement also provides that the Forward Purchase Investor may elect to purchase up to an additional $50 million of Forward Purchase Shares, for a purchase price of $10.00 per share. Any elections to purchase up to 5,000,000 additional Forward Purchase Shares will take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80" w:top="405"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43"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place in one or more private placements in such amounts and at such time as the Forward Purchase Investor determines, but no later than simultaneously with the closing of the initial Business Combination. The Company and the Forward Purchase Investors may determine, by mutual agreement, to increase the number of additional Forward Purchase Shares at any time prior to the initial Business Combination. The obligations under the Forward Purchase Agreement do not depend on whether any Class A ordinary shares are redeemed by the Public Shareholders. The forward purchase securities will be issued only in connection with the closing of the initial Business Combination. The proceeds from the sale of forward purchase securities may be used as part of the consideration to the sellers in the initial Business Combination, expenses in connection with the initial Business Combination or for working capital in the post-transaction company. The Forward Purchase Agreement should be classified within shareholders’ equity (deficit), and the Forward Purchase Agreement is considered indexed to the Company’s own share under ASC Topic 815-40, Derivatives and Hedging - Contracts in Entity’s Own Equity. As such, the Forward Purchase Agreement meets the scope exception in ASC 815-10-15-74(a) to derivative accounting and; therefore, the Forward Purchase Agreement should be classified in shareholders’ equity (deficit).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Class A Ordinary Shares Subject to Possible Redemption</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Company’s Class A ordinary shares feature certain redemption rights that are considered to be outside of the Company’s control and subject to the occurrence of uncertain future events. The Company is authorized to issue 200,000,000 Class A ordinary shares with a par value of $0.0001 per share. Holders of the Company’s Class A ordinary shares are entitled to one vote for each share. As of September 30, 2021, there were 32,000,000 Class A ordinary shares outstanding that were subject to possible redemption. There were no Class A ordinary shares issued and outstanding at December 31, 2020.</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September 30, 2021, Class A ordinary shares reflected on the unaudited condensed balance sheet are reconciled in the following table:</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w w:val="96"/>
              </w:rPr>
              <w:t>As of September 30, 2021</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ordinary shares issuance costs</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(17,455,524)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Plus: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carrying value to redemption value</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17,455,524</w:t>
            </w:r>
          </w:p>
        </w:tc>
        <w:tc>
          <w:tcPr>
            <w:tcW w:w="8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7—Shareholders’ Equity (Deficit)</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As of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31, 2020, there were no preference shares issued or outstanding.</w:t>
      </w:r>
    </w:p>
    <w:p>
      <w:pPr>
        <w:spacing w:after="0" w:line="170"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—The Company is authorized to issue 200,000,000 Class A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Class A ordinary shares are entitled to one vote for each share. As of September 30, 2021, there were 33,040,000 shares of Class A ordinary shares outstanding, of which 32,000,000 were subject to possible redemption and are classified outside of permanent equity in the unaudited condensed balance sheet (see Note 6). As of December 31, 2020, there were no Class A ordinary shares issued or outstanding.</w:t>
      </w:r>
    </w:p>
    <w:p>
      <w:pPr>
        <w:spacing w:after="0" w:line="15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—The Company is authorized to issue 20,000,000 Class B ordinary shares with a par value of $0.0001 per share.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14, 2020, the Company issued 2,875,000 Class B ordinary shares to the Sponsor. On January 29, 2021, the Company effected a share dividend of 12,125,000 Class B ordinary shares and on February 3 and February 26, 2021, the Sponsor surrendered 5,000,000 and 2,000,000 Class B ordinary shares for no consideration, respectively. The share dividend and share surrender resulted in an aggregate of 8,000,000 Class B ordinary shares outstanding. All shares and associated amounts have been retroactively restated to reflect the share capitalization. Of the 8,000,000 Class B ordinary shares outstanding, up to 1,000,000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(excluding the Private Placement Shares and the Forward Purchase Shares). The underwriters fully exercised the over-allotment option on March 11, 2021; thus, these 1,000,000 Founder Shares were no longer subject to forfeiture. As of September 30, 2021 and December 31, 2019, there were 8,000,000 Class B ordinary shares outstanding.</w:t>
      </w:r>
    </w:p>
    <w:p>
      <w:pPr>
        <w:spacing w:after="0" w:line="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05"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21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the number of Class A ordinary shares to be sold pursuant to the Private Placement Shares Purchase Agreement and the Forward Purchase Agreement and any Class A ordinary shares or equity-linked securities exercisable for or convertible into Class A ordinary shares issued, deemed issued, or to be issued, to any seller in the initial Business Combination and any private placement shares issued to the Sponsor, its affiliates or any member of the management team upon conversion of Working Capital Loans. In no event will the Class B ordinary shares convert into Class A ordinary shares at a rate of less than one-to-one.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September 30, 2021 and indicates the fair value hierarchy of the valuation techniques that the Company utilized to determine such fair value.</w:t>
      </w:r>
    </w:p>
    <w:p>
      <w:pPr>
        <w:spacing w:after="0" w:line="26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5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240" w:type="dxa"/>
            <w:vAlign w:val="bottom"/>
            <w:gridSpan w:val="2"/>
          </w:tcPr>
          <w:p>
            <w:pPr>
              <w:jc w:val="center"/>
              <w:ind w:left="448"/>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40" w:type="dxa"/>
            <w:vAlign w:val="bottom"/>
            <w:gridSpan w:val="3"/>
          </w:tcPr>
          <w:p>
            <w:pPr>
              <w:jc w:val="center"/>
              <w:ind w:left="38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52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3"/>
                <w:szCs w:val="13"/>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2560" w:type="dxa"/>
            <w:vAlign w:val="bottom"/>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0"/>
              </w:rPr>
              <w:t>$320,010,848</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Transfers to/from Levels 1, 2, and 3 are recognized at the beginning of the reporting period. There were no transfers between levels of the hierarchy for the nine months ended September 30, 2021 and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Restatement of Previously Reported Financial Information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Following the filing of the quarterly report for the period ended September 30, 2021, filed with the SEC on November 9, 2021, the Company, having performed further assessment, concluded that, effective with its financial statements for quarterly period ended September 30, 2021, it should restate its prior filed financial information for the period ended March 31, 2021, to classify all Class A ordinary shares subject to possible redemption in temporary equity and to recognize the accretion from the initial book value to the redemption value, and it should restate its prior filed financial information for the period ended June 30, 2021, to correct the recognition of the accretion from the initial book value to redemption value. In accordance with ASC 480-10-S99, redemption provisions not solely within the control of the Company require shares subject to redemption to be classified outside of permanent equity. The Company had previously classified a portion of its Class A ordinary shares in permanent equity, or total shareholders’ equity (deficit). Also, in connection with the change in presentation for the Class A ordinary shares subject to possible redemption, the Company also restated its earnings per share calculation to allocate income and losses shared pro rata between Class A ordinary shares subject to possible redemption and non-redeemable ordinary shares for the affected periods. This presentation contemplates a Business Combination as the most likely outcome, in which case, Class A ordinary shares subject to possible redemption and non-redeemable ordinary shares share pro rata in the income and losses of the Company. As a result, the Company restated its previously filed financial information to present all redeemable Class A ordinary shares as temporary equity and to recognize a remeasurement adjustment from the initial book value to redemption value at the time of its Initial Public Offering.</w:t>
      </w:r>
    </w:p>
    <w:p>
      <w:pPr>
        <w:spacing w:after="0" w:line="17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following tables contain unaudited quarterly financial information for the quarterly period ended September 30, 2021 that has been updated to reflect the restatement related to the calculation of earnings per share. The restatement had no impact on net loss, net cash flows from operating, investing or financing activities. The financial information that has been previously filed or otherwise reported for the quarterly period ended September 30, 2021 is superseded by the information in this Quarterly Report, and should no longer be relied upon.</w:t>
      </w:r>
    </w:p>
    <w:p>
      <w:pPr>
        <w:spacing w:after="0" w:line="17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impact to the reported amounts of weighted average shares outstanding and basic and diluted earnings per share is presented below for the three and nine months ended September 30, 2021:</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6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0"/>
              </w:rPr>
              <w:t>EPS for Class A ordinary shares subject to possible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redemption</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As Previously</w:t>
            </w:r>
          </w:p>
        </w:tc>
        <w:tc>
          <w:tcPr>
            <w:tcW w:w="260" w:type="dxa"/>
            <w:vAlign w:val="bottom"/>
          </w:tcPr>
          <w:p>
            <w:pPr>
              <w:spacing w:after="0"/>
              <w:rPr>
                <w:sz w:val="10"/>
                <w:szCs w:val="10"/>
                <w:color w:val="auto"/>
              </w:rPr>
            </w:pPr>
          </w:p>
        </w:tc>
        <w:tc>
          <w:tcPr>
            <w:tcW w:w="12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Adjustment</w:t>
            </w:r>
          </w:p>
        </w:tc>
        <w:tc>
          <w:tcPr>
            <w:tcW w:w="280" w:type="dxa"/>
            <w:vAlign w:val="bottom"/>
          </w:tcPr>
          <w:p>
            <w:pPr>
              <w:spacing w:after="0"/>
              <w:rPr>
                <w:sz w:val="10"/>
                <w:szCs w:val="10"/>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7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Form 10-Q (September 30, 2021) - three months ended</w:t>
            </w: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2021</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33,040,000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(1,040,000)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earnings per ordinary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Form 10-Q (September 30, 2021) - nine months ended</w:t>
            </w: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September 30, 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24,689,231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(777,143)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23,912,088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Basic and diluted earnings per ordinary share</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4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tcBorders>
              <w:bottom w:val="single" w:sz="8" w:color="auto"/>
            </w:tcBorders>
            <w:gridSpan w:val="9"/>
          </w:tcPr>
          <w:p>
            <w:pPr>
              <w:jc w:val="right"/>
              <w:ind w:right="534"/>
              <w:spacing w:after="0"/>
              <w:rPr>
                <w:sz w:val="20"/>
                <w:szCs w:val="20"/>
                <w:color w:val="auto"/>
              </w:rPr>
            </w:pPr>
            <w:r>
              <w:rPr>
                <w:rFonts w:ascii="Arial" w:cs="Arial" w:eastAsia="Arial" w:hAnsi="Arial"/>
                <w:sz w:val="14"/>
                <w:szCs w:val="14"/>
                <w:b w:val="1"/>
                <w:bCs w:val="1"/>
                <w:color w:val="auto"/>
              </w:rPr>
              <w:t>EPS for non-redeemable ordinary shares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u w:val="single" w:color="auto"/>
                <w:color w:val="auto"/>
              </w:rPr>
              <w:t>Adjustment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-635</wp:posOffset>
            </wp:positionV>
            <wp:extent cx="587184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1845" cy="274320"/>
                    </a:xfrm>
                    <a:prstGeom prst="rect">
                      <a:avLst/>
                    </a:prstGeom>
                    <a:noFill/>
                  </pic:spPr>
                </pic:pic>
              </a:graphicData>
            </a:graphic>
          </wp:anchor>
        </w:drawing>
      </w:r>
    </w:p>
    <w:p>
      <w:pPr>
        <w:sectPr>
          <w:pgSz w:w="11900" w:h="16838" w:orient="portrait"/>
          <w:cols w:equalWidth="0" w:num="1">
            <w:col w:w="11120"/>
          </w:cols>
          <w:pgMar w:left="320" w:top="405" w:right="459" w:bottom="0" w:gutter="0" w:footer="0" w:header="0"/>
        </w:sectPr>
      </w:pPr>
    </w:p>
    <w:p>
      <w:pPr>
        <w:ind w:left="1000"/>
        <w:spacing w:after="0"/>
        <w:rPr>
          <w:sz w:val="20"/>
          <w:szCs w:val="20"/>
          <w:color w:val="auto"/>
        </w:rPr>
      </w:pPr>
      <w:r>
        <w:rPr>
          <w:rFonts w:ascii="Arial" w:cs="Arial" w:eastAsia="Arial" w:hAnsi="Arial"/>
          <w:sz w:val="16"/>
          <w:szCs w:val="16"/>
          <w:b w:val="1"/>
          <w:bCs w:val="1"/>
          <w:color w:val="auto"/>
        </w:rPr>
        <w:t>Form 10-Q (September 30, 2021) - three months ended</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5715</wp:posOffset>
            </wp:positionV>
            <wp:extent cx="539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5715</wp:posOffset>
            </wp:positionV>
            <wp:extent cx="522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5715</wp:posOffset>
            </wp:positionV>
            <wp:extent cx="523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3240" cy="8255"/>
                    </a:xfrm>
                    <a:prstGeom prst="rect">
                      <a:avLst/>
                    </a:prstGeom>
                    <a:noFill/>
                  </pic:spPr>
                </pic:pic>
              </a:graphicData>
            </a:graphic>
          </wp:anchor>
        </w:drawing>
      </w:r>
    </w:p>
    <w:p>
      <w:pPr>
        <w:sectPr>
          <w:pgSz w:w="11900" w:h="16838" w:orient="portrait"/>
          <w:cols w:equalWidth="0" w:num="1">
            <w:col w:w="11120"/>
          </w:cols>
          <w:pgMar w:left="320" w:top="405" w:right="45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7"/>
        </w:trPr>
        <w:tc>
          <w:tcPr>
            <w:tcW w:w="4320" w:type="dxa"/>
            <w:vAlign w:val="bottom"/>
          </w:tcPr>
          <w:p>
            <w:pPr>
              <w:ind w:left="360"/>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8,000,000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1,040,000</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9,040,000</w:t>
            </w:r>
          </w:p>
        </w:tc>
        <w:tc>
          <w:tcPr>
            <w:tcW w:w="120" w:type="dxa"/>
            <w:vAlign w:val="bottom"/>
          </w:tcPr>
          <w:p>
            <w:pPr>
              <w:spacing w:after="0"/>
              <w:rPr>
                <w:sz w:val="20"/>
                <w:szCs w:val="20"/>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earnings per ordinary share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205"/>
        </w:trPr>
        <w:tc>
          <w:tcPr>
            <w:tcW w:w="4320" w:type="dxa"/>
            <w:vAlign w:val="bottom"/>
          </w:tcPr>
          <w:p>
            <w:pPr>
              <w:spacing w:after="0" w:line="205" w:lineRule="exact"/>
              <w:rPr>
                <w:sz w:val="20"/>
                <w:szCs w:val="20"/>
                <w:color w:val="auto"/>
              </w:rPr>
            </w:pPr>
            <w:r>
              <w:rPr>
                <w:rFonts w:ascii="Arial" w:cs="Arial" w:eastAsia="Arial" w:hAnsi="Arial"/>
                <w:sz w:val="18"/>
                <w:szCs w:val="18"/>
                <w:b w:val="1"/>
                <w:bCs w:val="1"/>
                <w:color w:val="auto"/>
                <w:w w:val="94"/>
              </w:rPr>
              <w:t>Form 10-Q (September 30, 2021) - nine months ended</w:t>
            </w: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September 30, 2021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7,747,253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777,143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8,524,396</w:t>
            </w:r>
          </w:p>
        </w:tc>
        <w:tc>
          <w:tcPr>
            <w:tcW w:w="12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Basic and diluted earnings per ordinary share</w:t>
            </w:r>
          </w:p>
        </w:tc>
        <w:tc>
          <w:tcPr>
            <w:tcW w:w="1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r>
      <w:tr>
        <w:trPr>
          <w:trHeight w:val="439"/>
        </w:trPr>
        <w:tc>
          <w:tcPr>
            <w:tcW w:w="4320" w:type="dxa"/>
            <w:vAlign w:val="bottom"/>
          </w:tcPr>
          <w:p>
            <w:pPr>
              <w:spacing w:after="0"/>
              <w:rPr>
                <w:sz w:val="24"/>
                <w:szCs w:val="24"/>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260"/>
          </w:cols>
          <w:pgMar w:left="1320" w:top="125" w:right="1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FINANCIAL STATEMENTS (RESTATED)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financial statements were issued. Based upon this review, the Company determined that, except as noted above, there have been no events that have occurred that would require adjustments to the disclosures in the unaudited condensed financial statements.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80" w:top="405"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 (Restated)</w:t>
      </w:r>
    </w:p>
    <w:p>
      <w:pPr>
        <w:spacing w:after="0" w:line="121"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i w:val="1"/>
          <w:iCs w:val="1"/>
          <w:color w:val="auto"/>
        </w:rPr>
        <w:t>References to the “Company,” “</w:t>
      </w:r>
      <w:r>
        <w:rPr>
          <w:rFonts w:ascii="Arial" w:cs="Arial" w:eastAsia="Arial" w:hAnsi="Arial"/>
          <w:sz w:val="17"/>
          <w:szCs w:val="17"/>
          <w:color w:val="auto"/>
        </w:rPr>
        <w:t>SVF Investment Corp. 3</w:t>
      </w:r>
      <w:r>
        <w:rPr>
          <w:rFonts w:ascii="Arial" w:cs="Arial" w:eastAsia="Arial" w:hAnsi="Arial"/>
          <w:sz w:val="17"/>
          <w:szCs w:val="17"/>
          <w:i w:val="1"/>
          <w:iCs w:val="1"/>
          <w:color w:val="auto"/>
        </w:rPr>
        <w:t xml:space="preserve">,” “SVF Investment Corp.,” “our,” “us” or “we” refer to </w:t>
      </w:r>
      <w:r>
        <w:rPr>
          <w:rFonts w:ascii="Arial" w:cs="Arial" w:eastAsia="Arial" w:hAnsi="Arial"/>
          <w:sz w:val="17"/>
          <w:szCs w:val="17"/>
          <w:color w:val="auto"/>
        </w:rPr>
        <w:t>SVF Investment Corp. 3</w:t>
      </w:r>
      <w:r>
        <w:rPr>
          <w:rFonts w:ascii="Arial" w:cs="Arial" w:eastAsia="Arial" w:hAnsi="Arial"/>
          <w:sz w:val="17"/>
          <w:szCs w:val="17"/>
          <w:i w:val="1"/>
          <w:iCs w:val="1"/>
          <w:color w:val="auto"/>
        </w:rPr>
        <w:t>.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We are a blank check company incorporated as a Cayman Islands exempted company on December 11, 2020. We were formed for the purpose of effecting a merger, share exchange, asset acquisition, share purchase, reorganization or similar business combination with one or more businesses (the “Business Combination”). We are an emerging growth company and, as such, we are subject to all of the risks associated with emerging growth companies.</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Our sponsor is SVF Sponsor III (DE) LLC, a Delaware limited liability company (“Sponsor”). The registration statement for our Initial Public Offering was declared effective on March 8, 2021. On March 11, 2021, we consummated its Initial Public Offering of 32,000,000 Class A ordinary shares (the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On April 22, 2021, the underwriters made a payment to us in an amount of $640,000 to reimburse certain of our expenses in connection with this offering.</w:t>
      </w:r>
    </w:p>
    <w:p>
      <w:pPr>
        <w:spacing w:after="0" w:line="192"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1,040,000 Class A ordinary shares (the “Private Placement Shares”), at a price of $10.00 per Private Placement Share to the Sponsor, generating gross proceeds of $10.4 million.</w:t>
      </w:r>
    </w:p>
    <w:p>
      <w:pPr>
        <w:spacing w:after="0" w:line="184"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Upon the closing of the Initial Public Offering, management agreed that an amount equal to at least $10.00 per Public Share sold in the Initial Public Offering, including the proceeds of the Private Placement Shares, will be held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us, until the earlier of: (i) the completion of a Business Combination and (ii) the distribution of the Trust Account as described below.</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Our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we sign a definitive agreement in connection with the initial Business Combination.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However, we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11, 2023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our obligations under Cayman Islands law to provide for claims of creditors and the requirements of other applicable law.</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2021, we had approximately $2.7 million in its operating bank account, and working capital deficit of approximately $858,000.</w:t>
      </w:r>
    </w:p>
    <w:p>
      <w:pPr>
        <w:spacing w:after="0" w:line="24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Prior to the completion of the Initial Public Offering, our liquidity needs were satisfied through the payment by our Sponsor of $25,000 for certain offering costs on our behalf in exchange for the issuance of the Founder Shares, and borrowings under our promissory note with our Sponsor of $300,000 as well as additional advances of approximately $114,000. Subsequent to the consummation of the Initial Public Offering and Private Placement, our liquidity needs will be satisfied with the proceeds from the consummation of the Private Placement not held in the Trust Account. In addition, in order to finance transaction costs in connection with a Business Combination, the Sponsor may, but is not obligated to, provide the Company Working Capital Loans. As of September 30, 2021, there were no amounts outstanding under any Working Capital Loans. On August 10, 2021 our Sponsor agreed to loan us $2.0 million as the Working Capital Loan. On November 9, 2021 we agreed with our Sponsor to amend this loan to increase the commitment by $1.0 million.</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Based on the foregoing, we believe that our Company will have sufficient working capital and borrowing capacity to meet its needs through the earlier of the consummation of a Business Combination or one year from this filing. Over this time period, we will be using the funds held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our financial position, results of our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entire activity since inception up to March 11, 2021 was in preparation for our formation and the Initial Public Offering, and since our Initial Public Offering, our activity has been limited to the search for a prospective initial Business Combination. We will not be generating any operating revenues until the closing and completion of our initial Business Combination. We generate non-operating income in the form of investment income from our investments held in the Trust Account. We expect to incur increased expenses as a result of being a public company (for legal, financial reporting, accounting and auditing compliance), as well as for due diligence expenses.</w:t>
      </w:r>
    </w:p>
    <w:p>
      <w:pPr>
        <w:spacing w:after="0" w:line="188"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For the three months ended September 30, 2021, we had net loss of approximately $1.9 million, which consisted of approximately $1.9 million in general and administrative expenses, including approximately $30,000 of general and administrative expenses to related party, partly offset by approximately $5,000 in income from investments held in the Trust Account.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nine months ended September 30, 2021, we had net loss of approximately $5.0 million, which consisted of approximately $4.9 million in general and administrative expenses, including $70,000 of general and administrative expenses to related party, partly offset by approximately $11,000 in income from investments held in the Trust Account.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Commencing on the date that our securities were first listed on the NASDAQ through the earlier of consummation of the initial Business Combination and the liquidation, we agreed to pay our Sponsor $10,000 per month for office space, secretarial and administrative services provided to us by an affiliate of our Sponsor. We incurred $30,000 and $70,000 of such expenses in the three and nine months ended September 30, 2021, respectively. As of September 30, 2021, $70,000 is due to the Sponsor and is included in due to related party on the accompanying condensed balance sheets. There was no balance due to related party at December 31, 2020.</w:t>
      </w:r>
    </w:p>
    <w:p>
      <w:pPr>
        <w:spacing w:after="0" w:line="18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addition, our Sponsor, officers and directors, or our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our affiliates. Any such payments prior to an initial Business Combination will be made using funds held outside the Trust Account. As of September 30, 2021, approximately $605,000 is due to the Sponsor’s affiliates and is included in due to related party on the accompanying condensed balance sheets. There was no balance due to related party at December 31,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holders of the Founder Shares, Private Placement Shares, and any shares that may be issued upon conversion of Working Capital Loans (and any Class A ordinary shares issuable upon conversion of the Founder Shares) were entitled to registration rights pursuant to a registration and shareholder rights agreement signed upon the effective date of the Initial Public Offering. The holders of these securities were entitled to make up to three demands, excluding short form demands, that we register such securities. In addition, the holders had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We granted the underwriters a 45-day option from the date of the prospectus to purchase up to 4,000,000 additional shares at the Initial Public Offering price less the underwriting discounts and commissions. The underwriters fully exercised the over-allotment option on March 11, 2021.</w:t>
      </w:r>
    </w:p>
    <w:p>
      <w:pPr>
        <w:spacing w:after="0" w:line="14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were entitled to an underwriting discount of $0.20 per unit, or $6.4 million in the aggregate paid upon the closing of the Initial Public Offering. In addition, $0.35 per unit, or $11.2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entered into a forward purchase agreement (a “Forward Purchase Agreement”) with certain investors (the “Forward Purchase Investors”), which provides for the purchase of $150 million forward purchase shares (the “Forward Purchase Shares”), for $10.00 per share, in a private placement to close substantially concurrently with the closing of the initial Business Combination. The Forward Purchase Agreement also provided that the Forward Purchase Investor may elect to purchase up to an additional $50 million of Forward Purchase Shares, for a purchase price of $10.00 per share. Any elections to purchase up to 5,000,000 additional Forward Purchase Shares will take place in one or more private placements in such amounts and at such time as the Forward Purchase Investor determines,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but no later than simultaneously with the closing of the initial Business Combination. The Company and the Forward Purchase Investors may determine, by mutual agreement, to increase the number of additional Forward Purchase Shares at any time prior to the initial Business Combination. The obligations under the Forward Purchase Agreement do not depend on whether any Class A ordinary shares are redeemed by the Public Shareholders. The forward purchase securities will be issued only in connection with the closing of the initial Business Combination. The proceeds from the sale of forward purchase securities may be used as part of the consideration to the sellers in the initial Business Combination, expenses in connection with the initial Business Combination or for working capital in the post-transaction company. The Forward Purchase Agreement should be classified within shareholders’ equity (deficit), and the Forward Purchase Agreement is considered indexed to our own share under ASC Topic 815-40, Derivatives and Hedging - Contracts in Entity’s Own Equity. As such, the Forward Purchase Agreement meets the scope exception in ASC 815-10-15-74(a) to derivative accounting and; therefore, the Forward Purchase Agreement should be classified in shareholders’ equity (deficit).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portfolio of investments is comprised solely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Our investments held in the Trust Account are classified as trading securities. When our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unaudited condensed statements of operations. The estimated fair values of investments held in the Trust Account are determined using available market information.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We account for our Class A ordinary shares subject to possible redemption in accordance with the guidance in Financial Accounting Standards Board (“FASB”) Accounting Standards Codification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(deficit). Our Class A ordinary shares feature certain redemption rights that are considered to be outside of our control and subject to the occurrence of uncertain future events. Accordingly, at the Initial Public Offering, 320,000,000 Class A ordinary shares subject to possible redemption are presented as temporary equity, outside of the shareholders’ equity section (deficit) of our condensed balance sheets.</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we recognized the accretion from initial book value to redemption amount value. The change in the carrying value of redeemable shares of Class A ordinary shares resulted in charges against additional paid-in capital and accumulated deficit.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Income and losses are shared pro rata between Class A ordinary shares subject to possible redemption and non-redeemable ordinary shares. Net loss per ordinary share is calculated by dividing the net loss by the weighted-average number of ordinary shares outstanding for the respective period. Non-redeemable ordinary shares include Founder Shares and Private Placement Shares as these shares do not have any redemption features.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Accretion associated with the redeemable Class A ordinary shares is excluded from earnings per share as the redemption value approximates fair value.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standards if currently adopted would have a material effect on the accompanying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40" w:hanging="4"/>
        <w:spacing w:after="0" w:line="255" w:lineRule="auto"/>
        <w:tabs>
          <w:tab w:leader="none" w:pos="4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33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otherwise required under this item. As of September 30, 2021, we were not subject to any market or interest rate risk. The net proceeds of the Initial Public Offering, including amounts in the Trust Account, will be invested in U.S. government securities with a maturity of 185 days or less or in money market funds that meet certain conditions under Rule 2a-7 under the Investment Company Act of 1940, as amended, that invest only in direct U.S. government treasury obligations. Due to the short-term nature of these investments, we believe there will be no associated material exposure to interest rate risk.</w:t>
      </w:r>
    </w:p>
    <w:p>
      <w:pPr>
        <w:spacing w:after="0" w:line="16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 (Restated)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2021,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as of September 30, 2021, because of a material weakness in our internal control over accounting for complex financial instruments.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financial instruments was not effectively designed or maintained. This material weakness resulted in the restatement of the Company’s interim financial information for the quarter ended September 30, 2021. As a result, our management performed additional analysis as deemed necessary to ensure that our financial statements were prepared in accordance with generally accepted in the United States of America. Accordingly, management believes that the financial statements included in this Form 10-Q/A present fairly, in all material respects, our financial position, result of operations and cash flows of the periods presented. Management understands that the accounting standards applicable to our financial statements are complex and has since the inception of the Company benefited from the support of experienced third-party professionals with whom management has regularly consulted with respect to accounting issues. Management intends to continue to further consult with such professionals in connection with accounting matters.</w:t>
      </w:r>
    </w:p>
    <w:p>
      <w:pPr>
        <w:sectPr>
          <w:pgSz w:w="11900" w:h="16838" w:orient="portrait"/>
          <w:cols w:equalWidth="0" w:num="1">
            <w:col w:w="11120"/>
          </w:cols>
          <w:pgMar w:left="320" w:top="486" w:right="459" w:bottom="1440" w:gutter="0" w:footer="0" w:header="0"/>
        </w:sectPr>
      </w:pP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86"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except for the below:</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principal executive officer and principal financial officer performed additional accounting and financial analyses and other post-closing procedures including consulting with subject matter experts related to the accounting for certain complex features of the Class A ordinary shares and presentation of earnings per share.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As of the date of this Quarterly Report on Form 10-Q, there have been no material changes to the risk factors disclosed in our final prospectus filed with the SEC on March 10, 2021 and the Quarterly Report on Form 10-Q for the fiscal quarter ended March 31, 2021, as filed with the SEC on May 13, 2021. We may disclose changes to such factors or disclose additional factors from time to time in our future filings with the SEC.</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1,040,000 Private Placement Shares, at a price of $10.00 per Private Placement Share to the Sponsor, generating gross proceeds of $10.4 million.</w:t>
      </w:r>
    </w:p>
    <w:p>
      <w:pPr>
        <w:spacing w:after="0" w:line="170"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In connection with the Initial Public Offering, our sponsor had agreed to loan us an aggregate of up to $300,000 pursuant to the Note. This loan was non-interest bearing and payable on the consummation of the Initial Public Offering. As of September 30, 2021, the loan balance was $0.</w:t>
      </w:r>
    </w:p>
    <w:p>
      <w:pPr>
        <w:spacing w:after="0" w:line="124"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Of the gross proceeds received from the Initial Public Offering and the full exercise of the option to purchase additional Shares, $320,000,000 was placed in the Trust Account. The net proceeds of the Initial Public Offering and certain proceeds from the Private Placement are invested in U.S. government treasury bills with a maturity of 185 days or less and in money market funds meeting certain conditions under Rule 2a-7 under the Investment Company Act which invest only in direct U.S. government treasury obligations.</w:t>
      </w:r>
    </w:p>
    <w:p>
      <w:pPr>
        <w:spacing w:after="0" w:line="17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paid a total of approximately $6.4 million in underwriting discounts and commissions related to the Initial Public Offering. In addition, the underwriters agreed to defer $11.2 million in underwriting discounts and commissions. On April 22, 2021, the underwriters reimbursed $640,000 for certain of the expenses in connection with our Initial Public Offering.</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9960" w:type="dxa"/>
            <w:vAlign w:val="bottom"/>
            <w:gridSpan w:val="11"/>
          </w:tcPr>
          <w:p>
            <w:pPr>
              <w:ind w:left="16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960" w:type="dxa"/>
            <w:vAlign w:val="bottom"/>
            <w:gridSpan w:val="11"/>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4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14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6"/>
                <w:szCs w:val="16"/>
                <w:color w:val="auto"/>
              </w:rPr>
            </w:pPr>
          </w:p>
        </w:tc>
        <w:tc>
          <w:tcPr>
            <w:tcW w:w="96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Working Capital Loan Agreement Amendment Letter</w:t>
              </w:r>
            </w:hyperlink>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Indemnity Agreement between the Company and SVF Sponsor III (DE) LLC</w:t>
              </w:r>
            </w:hyperlink>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(Principal Executive Officer) Pursuant to Rules 13a-14(a) and 15d-14(a) under the Securities</w:t>
              </w:r>
            </w:hyperlink>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Exchange Act of 1934, as Adopted Pursuant to Section 302 of the Sarbanes-Oxley Act of 2002.</w:t>
              </w:r>
            </w:hyperlink>
          </w:p>
        </w:tc>
        <w:tc>
          <w:tcPr>
            <w:tcW w:w="80" w:type="dxa"/>
            <w:vAlign w:val="bottom"/>
            <w:gridSpan w:val="2"/>
          </w:tcPr>
          <w:p>
            <w:pPr>
              <w:spacing w:after="0"/>
              <w:rPr>
                <w:sz w:val="17"/>
                <w:szCs w:val="17"/>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Financial Officer (Principal Financial and Accounting Officer) Pursuant to Rules 13a-14(a) and 15d-14(a) under</w:t>
              </w:r>
            </w:hyperlink>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Securities Exchange Act of 1934, as Adopted Pursuant to Section 302 of the Sarbanes-Oxley Act of 2002.</w:t>
              </w:r>
            </w:hyperlink>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0"/>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Chief Executive Officer (Principal Executive Officer) Pursuant to 18 U.S.C. Section 1350, as Adopted Pursuant to</w:t>
              </w:r>
            </w:hyperlink>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906 of the Sarbanes-Oxley Act of 2002.</w:t>
              </w:r>
            </w:hyperlink>
          </w:p>
        </w:tc>
        <w:tc>
          <w:tcPr>
            <w:tcW w:w="300" w:type="dxa"/>
            <w:vAlign w:val="bottom"/>
            <w:gridSpan w:val="3"/>
          </w:tcPr>
          <w:p>
            <w:pPr>
              <w:spacing w:after="0"/>
              <w:rPr>
                <w:sz w:val="17"/>
                <w:szCs w:val="17"/>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Chief Financial Officer (Principal Financial and Accounting Officer) Pursuant to 18 U.S.C. Section 1350, as Adopted</w:t>
              </w:r>
            </w:hyperlink>
          </w:p>
        </w:tc>
        <w:tc>
          <w:tcPr>
            <w:tcW w:w="6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Pursuant to Section 906 of the Sarbanes-Oxley Act of 2002.</w:t>
              </w:r>
            </w:hyperlink>
          </w:p>
        </w:tc>
      </w:tr>
      <w:tr>
        <w:trPr>
          <w:trHeight w:val="345"/>
        </w:trPr>
        <w:tc>
          <w:tcPr>
            <w:tcW w:w="8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43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5360" w:type="dxa"/>
            <w:vAlign w:val="bottom"/>
            <w:gridSpan w:val="7"/>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left="340" w:right="40" w:hanging="224"/>
        <w:spacing w:after="0" w:line="263"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ectPr>
          <w:pgSz w:w="11900" w:h="16838" w:orient="portrait"/>
          <w:cols w:equalWidth="0" w:num="1">
            <w:col w:w="11120"/>
          </w:cols>
          <w:pgMar w:left="320" w:top="486"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86"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color w:val="auto"/>
              </w:rPr>
              <w:t>Dated: January 25, 2022</w:t>
            </w:r>
          </w:p>
        </w:tc>
        <w:tc>
          <w:tcPr>
            <w:tcW w:w="4860" w:type="dxa"/>
            <w:vAlign w:val="bottom"/>
          </w:tcPr>
          <w:p>
            <w:pPr>
              <w:ind w:left="940"/>
              <w:spacing w:after="0"/>
              <w:rPr>
                <w:sz w:val="20"/>
                <w:szCs w:val="20"/>
                <w:color w:val="auto"/>
              </w:rPr>
            </w:pPr>
            <w:r>
              <w:rPr>
                <w:rFonts w:ascii="Arial" w:cs="Arial" w:eastAsia="Arial" w:hAnsi="Arial"/>
                <w:sz w:val="18"/>
                <w:szCs w:val="18"/>
                <w:b w:val="1"/>
                <w:bCs w:val="1"/>
                <w:color w:val="auto"/>
              </w:rPr>
              <w:t>SVF INVESTMENT CORP. 3</w:t>
            </w: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Ioannis Pipilis</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Ioannis Pipilis</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4"/>
        </w:trPr>
        <w:tc>
          <w:tcPr>
            <w:tcW w:w="6160" w:type="dxa"/>
            <w:vAlign w:val="bottom"/>
          </w:tcPr>
          <w:p>
            <w:pPr>
              <w:ind w:left="5420"/>
              <w:spacing w:after="0"/>
              <w:rPr>
                <w:sz w:val="20"/>
                <w:szCs w:val="20"/>
                <w:color w:val="auto"/>
              </w:rPr>
            </w:pPr>
            <w:r>
              <w:rPr>
                <w:rFonts w:ascii="Arial" w:cs="Arial" w:eastAsia="Arial" w:hAnsi="Arial"/>
                <w:sz w:val="18"/>
                <w:szCs w:val="18"/>
                <w:color w:val="auto"/>
              </w:rPr>
              <w:t>24</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9" w:name="page30"/>
    <w:bookmarkEnd w:id="29"/>
    <w:p>
      <w:pPr>
        <w:ind w:left="100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LETTER</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SVF Investment Corp. 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Walkers Corporate Limited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Grand Cayman KY1-9008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Cayman Islands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SVF Sponsor III (DE) LLC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 Corporation Service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Wilmington DE 19809,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This letter amends the loan agreement dated 10 August 2021 between SVF Investment Corp. 3 (the “</w:t>
      </w:r>
      <w:r>
        <w:rPr>
          <w:rFonts w:ascii="Arial" w:cs="Arial" w:eastAsia="Arial" w:hAnsi="Arial"/>
          <w:sz w:val="18"/>
          <w:szCs w:val="18"/>
          <w:b w:val="1"/>
          <w:bCs w:val="1"/>
          <w:color w:val="auto"/>
        </w:rPr>
        <w:t>Borrower</w:t>
      </w:r>
      <w:r>
        <w:rPr>
          <w:rFonts w:ascii="Arial" w:cs="Arial" w:eastAsia="Arial" w:hAnsi="Arial"/>
          <w:sz w:val="18"/>
          <w:szCs w:val="18"/>
          <w:color w:val="auto"/>
        </w:rPr>
        <w:t>”) and SVF Sponsor III (DE) LLC (the “</w:t>
      </w:r>
      <w:r>
        <w:rPr>
          <w:rFonts w:ascii="Arial" w:cs="Arial" w:eastAsia="Arial" w:hAnsi="Arial"/>
          <w:sz w:val="18"/>
          <w:szCs w:val="18"/>
          <w:b w:val="1"/>
          <w:bCs w:val="1"/>
          <w:color w:val="auto"/>
        </w:rPr>
        <w:t>Lender</w:t>
      </w:r>
      <w:r>
        <w:rPr>
          <w:rFonts w:ascii="Arial" w:cs="Arial" w:eastAsia="Arial" w:hAnsi="Arial"/>
          <w:sz w:val="18"/>
          <w:szCs w:val="18"/>
          <w:color w:val="auto"/>
        </w:rPr>
        <w:t>”), entered into in connection with the loan facility made available to the Borrower by the Lender (the “</w:t>
      </w:r>
      <w:r>
        <w:rPr>
          <w:rFonts w:ascii="Arial" w:cs="Arial" w:eastAsia="Arial" w:hAnsi="Arial"/>
          <w:sz w:val="18"/>
          <w:szCs w:val="18"/>
          <w:b w:val="1"/>
          <w:bCs w:val="1"/>
          <w:color w:val="auto"/>
        </w:rPr>
        <w:t>Loan Agreement</w:t>
      </w:r>
      <w:r>
        <w:rPr>
          <w:rFonts w:ascii="Arial" w:cs="Arial" w:eastAsia="Arial" w:hAnsi="Arial"/>
          <w:sz w:val="18"/>
          <w:szCs w:val="18"/>
          <w:color w:val="auto"/>
        </w:rPr>
        <w:t>”). Terms used in this letter and not defined have the meanings given to such terms in the Loan Agreement.</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Pursuant to Clause 15 </w:t>
      </w:r>
      <w:r>
        <w:rPr>
          <w:rFonts w:ascii="Arial" w:cs="Arial" w:eastAsia="Arial" w:hAnsi="Arial"/>
          <w:sz w:val="17"/>
          <w:szCs w:val="17"/>
          <w:i w:val="1"/>
          <w:iCs w:val="1"/>
          <w:color w:val="auto"/>
        </w:rPr>
        <w:t>(Amendments and Waivers)</w:t>
      </w:r>
      <w:r>
        <w:rPr>
          <w:rFonts w:ascii="Arial" w:cs="Arial" w:eastAsia="Arial" w:hAnsi="Arial"/>
          <w:sz w:val="17"/>
          <w:szCs w:val="17"/>
          <w:color w:val="auto"/>
        </w:rPr>
        <w:t xml:space="preserve"> and the definition of “Commitment” in Clause 1.1 </w:t>
      </w:r>
      <w:r>
        <w:rPr>
          <w:rFonts w:ascii="Arial" w:cs="Arial" w:eastAsia="Arial" w:hAnsi="Arial"/>
          <w:sz w:val="17"/>
          <w:szCs w:val="17"/>
          <w:i w:val="1"/>
          <w:iCs w:val="1"/>
          <w:color w:val="auto"/>
        </w:rPr>
        <w:t>(Definitions)</w:t>
      </w:r>
      <w:r>
        <w:rPr>
          <w:rFonts w:ascii="Arial" w:cs="Arial" w:eastAsia="Arial" w:hAnsi="Arial"/>
          <w:sz w:val="17"/>
          <w:szCs w:val="17"/>
          <w:color w:val="auto"/>
        </w:rPr>
        <w:t xml:space="preserve"> of the Loan Agreement, the Borrower and the Lender may agree a higher amount of Commitment to be made available for the loan facility. The Borrower and the Lender hereby consent to and agree that the Commitment be increased from U.S.$2,000,000 to U.S.$3,000,000 with effect from the date of this letter.</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letter may be executed in one or more counterparts, each of which shall be deemed to be an original but all of which taken together shall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provisions of Clause 18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and Clause 19 </w:t>
      </w:r>
      <w:r>
        <w:rPr>
          <w:rFonts w:ascii="Arial" w:cs="Arial" w:eastAsia="Arial" w:hAnsi="Arial"/>
          <w:sz w:val="16"/>
          <w:szCs w:val="16"/>
          <w:i w:val="1"/>
          <w:iCs w:val="1"/>
          <w:color w:val="auto"/>
        </w:rPr>
        <w:t>(Enforcement)</w:t>
      </w:r>
      <w:r>
        <w:rPr>
          <w:rFonts w:ascii="Arial" w:cs="Arial" w:eastAsia="Arial" w:hAnsi="Arial"/>
          <w:sz w:val="16"/>
          <w:szCs w:val="16"/>
          <w:color w:val="auto"/>
        </w:rPr>
        <w:t xml:space="preserve"> of the Loan Agreement shall apply to this letter as if set out here in full.</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Borrower</w:t>
            </w:r>
          </w:p>
        </w:tc>
        <w:tc>
          <w:tcPr>
            <w:tcW w:w="37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45"/>
        </w:trPr>
        <w:tc>
          <w:tcPr>
            <w:tcW w:w="390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Pr>
          <w:p>
            <w:pPr>
              <w:ind w:left="20"/>
              <w:spacing w:after="0"/>
              <w:rPr>
                <w:sz w:val="20"/>
                <w:szCs w:val="20"/>
                <w:color w:val="auto"/>
              </w:rPr>
            </w:pPr>
            <w:r>
              <w:rPr>
                <w:rFonts w:ascii="Arial" w:cs="Arial" w:eastAsia="Arial" w:hAnsi="Arial"/>
                <w:sz w:val="18"/>
                <w:szCs w:val="18"/>
                <w:color w:val="auto"/>
              </w:rPr>
              <w:t>/s/ Ioannis Pipilis</w:t>
            </w:r>
          </w:p>
        </w:tc>
      </w:tr>
      <w:tr>
        <w:trPr>
          <w:trHeight w:val="216"/>
        </w:trPr>
        <w:tc>
          <w:tcPr>
            <w:tcW w:w="3900" w:type="dxa"/>
            <w:vAlign w:val="bottom"/>
          </w:tcPr>
          <w:p>
            <w:pPr>
              <w:spacing w:after="0"/>
              <w:rPr>
                <w:sz w:val="18"/>
                <w:szCs w:val="18"/>
                <w:color w:val="auto"/>
              </w:rPr>
            </w:pP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For and on behalf of</w:t>
            </w: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0"/>
                <w:szCs w:val="20"/>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b w:val="1"/>
                <w:bCs w:val="1"/>
                <w:color w:val="auto"/>
              </w:rPr>
              <w:t>SVF Investment Corp. 3</w:t>
            </w: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Pr>
          <w:p>
            <w:pPr>
              <w:ind w:left="20"/>
              <w:spacing w:after="0"/>
              <w:rPr>
                <w:sz w:val="20"/>
                <w:szCs w:val="20"/>
                <w:color w:val="auto"/>
              </w:rPr>
            </w:pPr>
            <w:r>
              <w:rPr>
                <w:rFonts w:ascii="Arial" w:cs="Arial" w:eastAsia="Arial" w:hAnsi="Arial"/>
                <w:sz w:val="18"/>
                <w:szCs w:val="18"/>
                <w:color w:val="auto"/>
              </w:rPr>
              <w:t>Name: Ioannis Pipilis</w:t>
            </w:r>
          </w:p>
        </w:tc>
      </w:tr>
      <w:tr>
        <w:trPr>
          <w:trHeight w:val="230"/>
        </w:trPr>
        <w:tc>
          <w:tcPr>
            <w:tcW w:w="39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540"/>
        </w:trPr>
        <w:tc>
          <w:tcPr>
            <w:tcW w:w="3900" w:type="dxa"/>
            <w:vAlign w:val="bottom"/>
          </w:tcPr>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Lender</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45"/>
        </w:trPr>
        <w:tc>
          <w:tcPr>
            <w:tcW w:w="390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Pr>
          <w:p>
            <w:pPr>
              <w:ind w:left="20"/>
              <w:spacing w:after="0"/>
              <w:rPr>
                <w:sz w:val="20"/>
                <w:szCs w:val="20"/>
                <w:color w:val="auto"/>
              </w:rPr>
            </w:pPr>
            <w:r>
              <w:rPr>
                <w:rFonts w:ascii="Arial" w:cs="Arial" w:eastAsia="Arial" w:hAnsi="Arial"/>
                <w:sz w:val="18"/>
                <w:szCs w:val="18"/>
                <w:color w:val="auto"/>
              </w:rPr>
              <w:t>/s/ Kokoro Motegi</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For and on behalf of</w:t>
            </w: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0"/>
                <w:szCs w:val="20"/>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b w:val="1"/>
                <w:bCs w:val="1"/>
                <w:color w:val="auto"/>
              </w:rPr>
              <w:t>SVF Sponsor III (DE) LLC</w:t>
            </w:r>
          </w:p>
        </w:tc>
        <w:tc>
          <w:tcPr>
            <w:tcW w:w="370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3420" w:type="dxa"/>
            <w:vAlign w:val="bottom"/>
          </w:tcPr>
          <w:p>
            <w:pPr>
              <w:ind w:left="20"/>
              <w:spacing w:after="0"/>
              <w:rPr>
                <w:sz w:val="20"/>
                <w:szCs w:val="20"/>
                <w:color w:val="auto"/>
              </w:rPr>
            </w:pPr>
            <w:r>
              <w:rPr>
                <w:rFonts w:ascii="Arial" w:cs="Arial" w:eastAsia="Arial" w:hAnsi="Arial"/>
                <w:sz w:val="18"/>
                <w:szCs w:val="18"/>
                <w:color w:val="auto"/>
              </w:rPr>
              <w:t>Name: Kokoro Motegi</w:t>
            </w:r>
          </w:p>
        </w:tc>
      </w:tr>
      <w:tr>
        <w:trPr>
          <w:trHeight w:val="230"/>
        </w:trPr>
        <w:tc>
          <w:tcPr>
            <w:tcW w:w="39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Title: Manager</w:t>
            </w:r>
          </w:p>
        </w:tc>
      </w:tr>
    </w:tbl>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 is made effective as of 10 August 2021, by and between SVF Investment Corp. 3, a Cayman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Islands exempted company (the “Company”), and SVF Sponsor III (DE) LLC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WHEREAS, the Company’s registration statement on Form S-1, File No. 333-252788for the Company’s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disclosed that the Company and the Sponsor have agreed to enter into an agreement whereby the Company indemnifies the Sponsor and its affiliates, including, without limitation, SoftBank Investment Advisers, SB Investment Advisers (UK) Limited, SB Investment Advisers (US) Inc., and SoftBank Group Corp. (collectively the “</w:t>
      </w:r>
      <w:r>
        <w:rPr>
          <w:rFonts w:ascii="Arial" w:cs="Arial" w:eastAsia="Arial" w:hAnsi="Arial"/>
          <w:sz w:val="18"/>
          <w:szCs w:val="18"/>
          <w:b w:val="1"/>
          <w:bCs w:val="1"/>
          <w:i w:val="1"/>
          <w:iCs w:val="1"/>
          <w:color w:val="auto"/>
        </w:rPr>
        <w:t>SB Entities</w:t>
      </w:r>
      <w:r>
        <w:rPr>
          <w:rFonts w:ascii="Arial" w:cs="Arial" w:eastAsia="Arial" w:hAnsi="Arial"/>
          <w:sz w:val="18"/>
          <w:szCs w:val="18"/>
          <w:color w:val="auto"/>
        </w:rPr>
        <w:t>”) from any claims made by the Company or a third party in respect of any investment opportunities sourced by them, any liability arising with respect to their activities in connection with the Company’s affairs, and for any services that are provided between the Company and any such party.</w:t>
      </w:r>
    </w:p>
    <w:p>
      <w:pPr>
        <w:spacing w:after="0" w:line="192"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The Company covenants and agrees (i) that the SB Entities and their respective current, former or future employees, directors, officers, partners, managers, agents, successors and assigns (collectively, the “</w:t>
      </w:r>
      <w:r>
        <w:rPr>
          <w:rFonts w:ascii="Arial" w:cs="Arial" w:eastAsia="Arial" w:hAnsi="Arial"/>
          <w:sz w:val="17"/>
          <w:szCs w:val="17"/>
          <w:b w:val="1"/>
          <w:bCs w:val="1"/>
          <w:i w:val="1"/>
          <w:iCs w:val="1"/>
          <w:color w:val="auto"/>
        </w:rPr>
        <w:t>SB Entity Indemnitees</w:t>
      </w:r>
      <w:r>
        <w:rPr>
          <w:rFonts w:ascii="Arial" w:cs="Arial" w:eastAsia="Arial" w:hAnsi="Arial"/>
          <w:sz w:val="17"/>
          <w:szCs w:val="17"/>
          <w:color w:val="auto"/>
        </w:rPr>
        <w:t xml:space="preserve">”) shall not be liable to the Company or any of its subsidiaries or affiliates for any loss, liability, damage or expense arising from or in connection with any services, or from any SB Entity Indemnitee’s financial interest (whether through equity, debt or otherwise) in or control or alleged control of the Company, including any investment opportunities sourced by them, and any liability arising with respect to their activities in connection with the Company’s affairs (any of the foregoing, collectively, the </w:t>
      </w:r>
      <w:r>
        <w:rPr>
          <w:rFonts w:ascii="Arial" w:cs="Arial" w:eastAsia="Arial" w:hAnsi="Arial"/>
          <w:sz w:val="17"/>
          <w:szCs w:val="17"/>
          <w:b w:val="1"/>
          <w:bCs w:val="1"/>
          <w:i w:val="1"/>
          <w:iCs w:val="1"/>
          <w:color w:val="auto"/>
        </w:rPr>
        <w:t>“SB Capacity”</w:t>
      </w:r>
      <w:r>
        <w:rPr>
          <w:rFonts w:ascii="Arial" w:cs="Arial" w:eastAsia="Arial" w:hAnsi="Arial"/>
          <w:sz w:val="17"/>
          <w:szCs w:val="17"/>
          <w:color w:val="auto"/>
        </w:rPr>
        <w:t>), except to the extent a court of competent jurisdiction has determined by entry of a final and non-appealable judgment to have resulted by fraud or willful misconduct by a SB Entity Indemnitee and (ii) to, at its own cost and expense, defend, indemnify and hold harmless the SB Entity Indemnitees from and against any and all claims against a SB Entity Indemnitee by the Company, its subsidiaries or any other person with respect to, or in any way related to, any SB Capacity and any and all losses, liabilities, damages or expenses (including reasonable attorneys’ fees) arising or resulting therefrom, except to the extent a court of competent jurisdiction has determined by entry of a final and non-appealable judgment to have resulted by fraud or willful misconduct by a SB Entity Indemnitee; provided, that in no event shall any SB Entity Indemnitee have any right or claim of any kind pursuant to this Agreement in or to the trust account established to hold the proceeds of the Offering. Each SB Entity Indemnitee is an express and intended third party beneficiary of this Agreement.</w:t>
      </w:r>
    </w:p>
    <w:p>
      <w:pPr>
        <w:spacing w:after="0" w:line="18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This Agreement may not be amended, modified or waived as to any particular provision, except by a written instrument executed by the parties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parties may not assign this Agreement and any of their rights, interests, or obligations hereunder without the consent of the other party.</w:t>
      </w:r>
    </w:p>
    <w:p>
      <w:pPr>
        <w:spacing w:after="0" w:line="23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Agreement shall be governed by, construed in accordance with, and interpreted pursuant to the laws of the State of New York, without giving effect to its choice of laws principles that will apply the laws of another jurisdiction.</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ectPr>
          <w:pgSz w:w="11900" w:h="16838" w:orient="portrait"/>
          <w:cols w:equalWidth="0" w:num="1">
            <w:col w:w="11020"/>
          </w:cols>
          <w:pgMar w:left="440" w:top="121"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SVF Investment Corp. 3</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Navneet Govil</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Navneet Govil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SVF Sponsor III (DE)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Daniel Elefant</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Daniel Elefant</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580"/>
          </w:cols>
          <w:pgMar w:left="880" w:top="27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Ioannis Pipilis, certify that:</w:t>
      </w:r>
    </w:p>
    <w:p>
      <w:pPr>
        <w:spacing w:after="0" w:line="13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SVF Investment Corp. 3.;</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January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Ioannis Pipilis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Ioannis Pipilis</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7"/>
          <w:szCs w:val="17"/>
          <w:color w:val="auto"/>
        </w:rPr>
        <w:t>Chief Executive Officer and Chairman of the Board of Directors</w:t>
      </w:r>
    </w:p>
    <w:p>
      <w:pPr>
        <w:spacing w:after="0" w:line="21"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Navneet Govil, certify that:</w:t>
      </w:r>
    </w:p>
    <w:p>
      <w:pPr>
        <w:spacing w:after="0" w:line="131"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SVF Investment Corp. 3;</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January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Navneet Govil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Navneet Govil</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 and Director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In connection with the Quarterly Report of SVF Investment Corp. 3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September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Ioannis Pipilis, Chief Executive Officer and Chairman of the Board of Directors, certify, pursuant to 18 U.S.C. Section 1350, as adopted pursuant to Section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January 25, 2022</w:t>
      </w:r>
    </w:p>
    <w:p>
      <w:pPr>
        <w:spacing w:after="0" w:line="252" w:lineRule="exact"/>
        <w:rPr>
          <w:sz w:val="20"/>
          <w:szCs w:val="20"/>
          <w:color w:val="auto"/>
        </w:rPr>
      </w:pPr>
    </w:p>
    <w:p>
      <w:pPr>
        <w:ind w:left="5824"/>
        <w:spacing w:after="0"/>
        <w:rPr>
          <w:sz w:val="20"/>
          <w:szCs w:val="20"/>
          <w:color w:val="auto"/>
        </w:rPr>
      </w:pPr>
      <w:r>
        <w:rPr>
          <w:rFonts w:ascii="Arial" w:cs="Arial" w:eastAsia="Arial" w:hAnsi="Arial"/>
          <w:sz w:val="18"/>
          <w:szCs w:val="18"/>
          <w:color w:val="auto"/>
        </w:rPr>
        <w:t>/s/ Ioannis Pipilis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14605</wp:posOffset>
            </wp:positionV>
            <wp:extent cx="32918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5824"/>
        <w:spacing w:after="0"/>
        <w:rPr>
          <w:sz w:val="20"/>
          <w:szCs w:val="20"/>
          <w:color w:val="auto"/>
        </w:rPr>
      </w:pPr>
      <w:r>
        <w:rPr>
          <w:rFonts w:ascii="Arial" w:cs="Arial" w:eastAsia="Arial" w:hAnsi="Arial"/>
          <w:sz w:val="18"/>
          <w:szCs w:val="18"/>
          <w:color w:val="auto"/>
        </w:rPr>
        <w:t>Name: Ioannis Pipilis</w:t>
      </w:r>
    </w:p>
    <w:p>
      <w:pPr>
        <w:spacing w:after="0" w:line="23" w:lineRule="exact"/>
        <w:rPr>
          <w:sz w:val="20"/>
          <w:szCs w:val="20"/>
          <w:color w:val="auto"/>
        </w:rPr>
      </w:pPr>
    </w:p>
    <w:p>
      <w:pPr>
        <w:ind w:left="5824"/>
        <w:spacing w:after="0"/>
        <w:tabs>
          <w:tab w:leader="none" w:pos="6344"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Chairman of the Board of Directors</w:t>
      </w:r>
    </w:p>
    <w:p>
      <w:pPr>
        <w:spacing w:after="0" w:line="9" w:lineRule="exact"/>
        <w:rPr>
          <w:sz w:val="20"/>
          <w:szCs w:val="20"/>
          <w:color w:val="auto"/>
        </w:rPr>
      </w:pPr>
    </w:p>
    <w:p>
      <w:pPr>
        <w:ind w:left="63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color w:val="auto"/>
        </w:rPr>
        <w:t>In connection with the Quarterly Report of SVF Investment Corp. 3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Navneet Govil, Chief Financial Officer and Director, certify, pursuant to 18 U.S.C. Section 1350, as adopted pursuant to Section 906 of the Sarbanes-Oxley Act of 2002, that, to my knowledge:</w:t>
      </w:r>
    </w:p>
    <w:p>
      <w:pPr>
        <w:spacing w:after="0" w:line="71"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January 25,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Navneet Govil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Navneet Govil</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 and Director</w:t>
      </w:r>
    </w:p>
    <w:p>
      <w:pPr>
        <w:spacing w:after="0" w:line="9"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upperLetter"/>
      <w:start w:val="2"/>
    </w:lvl>
  </w:abstractNum>
  <w:abstractNum w:abstractNumId="14">
    <w:nsid w:val="519B500D"/>
    <w:multiLevelType w:val="hybridMultilevel"/>
    <w:lvl w:ilvl="0">
      <w:lvlJc w:val="left"/>
      <w:lvlText w:val="(%1)"/>
      <w:numFmt w:val="lowerRoman"/>
      <w:start w:val="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2022-01-26T05:26:22Z</dcterms:created>
  <dcterms:modified xsi:type="dcterms:W3CDTF">2022-01-26T05:26:22Z</dcterms:modified>
</cp:coreProperties>
</file>