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548240.xml.htm"/>
      <w:bookmarkStart w:id="1" w:name="kswkform4_17835482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KRASNOW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 200 RESEARCH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3"/>
        <w:gridCol w:w="918"/>
        <w:gridCol w:w="786"/>
        <w:gridCol w:w="662"/>
        <w:gridCol w:w="293"/>
        <w:gridCol w:w="832"/>
        <w:gridCol w:w="439"/>
        <w:gridCol w:w="987"/>
        <w:gridCol w:w="1144"/>
        <w:gridCol w:w="986"/>
        <w:gridCol w:w="9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3,367</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51.0017</w:t>
            </w:r>
            <w:r>
              <w:rPr>
                <w:rFonts w:ascii="Times;serif" w:hAnsi="Times;serif"/>
                <w:color w:val="008000"/>
                <w:position w:val="7"/>
                <w:sz w:val="16"/>
                <w:sz w:val="20"/>
                <w:shd w:fill="FFFFFF" w:val="clear"/>
              </w:rPr>
              <w:t>(1)</w:t>
            </w:r>
            <w:r>
              <w:rPr/>
              <w:t xml:space="preserve"> </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(2)(3)</w:t>
            </w:r>
            <w:r>
              <w:rPr/>
              <w:t xml:space="preserve"> </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(2)(3)(4)</w:t>
            </w:r>
            <w:r>
              <w:rPr/>
              <w:t xml:space="preserve"> </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(2)(3)(4)</w:t>
            </w:r>
            <w:r>
              <w:rPr/>
              <w:t xml:space="preserve"> </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530,002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(5)</w:t>
            </w:r>
            <w:r>
              <w:rPr/>
              <w:t xml:space="preserve"> </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(2)(3)(4)</w:t>
            </w:r>
            <w:r>
              <w:rPr/>
              <w:t xml:space="preserve"> </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(2)(3)(4)</w:t>
            </w:r>
            <w:r>
              <w:rPr/>
              <w:t xml:space="preserve"> </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(5)</w:t>
            </w:r>
            <w:r>
              <w:rPr/>
              <w:t xml:space="preserve"> </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w:t>
            </w:r>
            <w:r>
              <w:rPr/>
              <w:t xml:space="preserve"> </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1,818</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43.8722</w:t>
            </w:r>
            <w:r>
              <w:rPr>
                <w:rFonts w:ascii="Times;serif" w:hAnsi="Times;serif"/>
                <w:color w:val="008000"/>
                <w:position w:val="7"/>
                <w:sz w:val="16"/>
                <w:sz w:val="20"/>
                <w:shd w:fill="FFFFFF" w:val="clear"/>
              </w:rPr>
              <w:t>(7)</w:t>
            </w:r>
            <w:r>
              <w:rPr/>
              <w:t xml:space="preserve"> </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(5)</w:t>
            </w:r>
            <w:r>
              <w:rPr/>
              <w:t xml:space="preserve"> </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w:t>
            </w:r>
            <w:r>
              <w:rPr/>
              <w:t xml:space="preserve"> </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44.4136</w:t>
            </w:r>
            <w:r>
              <w:rPr>
                <w:rFonts w:ascii="Times;serif" w:hAnsi="Times;serif"/>
                <w:color w:val="008000"/>
                <w:position w:val="7"/>
                <w:sz w:val="16"/>
                <w:sz w:val="20"/>
                <w:shd w:fill="FFFFFF" w:val="clear"/>
              </w:rPr>
              <w:t>(8)</w:t>
            </w:r>
            <w:r>
              <w:rPr/>
              <w:t xml:space="preserve"> </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(5)</w:t>
            </w:r>
            <w:r>
              <w:rPr/>
              <w:t xml:space="preserve"> </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(9)</w:t>
            </w:r>
            <w:r>
              <w:rPr/>
              <w:t xml:space="preserve"> </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(2)(3)</w:t>
            </w:r>
            <w:r>
              <w:rPr/>
              <w:t xml:space="preserve"> </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177,036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(2)(3)</w:t>
            </w:r>
            <w:r>
              <w:rPr/>
              <w:t xml:space="preserve"> </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(10)(11)</w:t>
            </w:r>
            <w:r>
              <w:rPr/>
              <w:t xml:space="preserve"> </w:t>
            </w:r>
          </w:p>
        </w:tc>
      </w:tr>
    </w:tbl>
    <w:tbl>
      <w:tblPr>
        <w:tblW w:w="12164" w:type="dxa"/>
        <w:jc w:val="left"/>
        <w:tblInd w:w="-7" w:type="dxa"/>
        <w:tblLayout w:type="fixed"/>
        <w:tblCellMar>
          <w:top w:w="60" w:type="dxa"/>
          <w:left w:w="60" w:type="dxa"/>
          <w:bottom w:w="60" w:type="dxa"/>
          <w:right w:w="60" w:type="dxa"/>
        </w:tblCellMar>
      </w:tblPr>
      <w:tblGrid>
        <w:gridCol w:w="935"/>
        <w:gridCol w:w="861"/>
        <w:gridCol w:w="891"/>
        <w:gridCol w:w="771"/>
        <w:gridCol w:w="660"/>
        <w:gridCol w:w="231"/>
        <w:gridCol w:w="276"/>
        <w:gridCol w:w="606"/>
        <w:gridCol w:w="906"/>
        <w:gridCol w:w="801"/>
        <w:gridCol w:w="891"/>
        <w:gridCol w:w="92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(2)(3)(4)</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(2)(3)(4)</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530,002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Inlet View, Inc.</w:t>
            </w:r>
            <w:r>
              <w:rPr>
                <w:rFonts w:ascii="Times;serif" w:hAnsi="Times;serif"/>
                <w:color w:val="008000"/>
                <w:position w:val="7"/>
                <w:sz w:val="16"/>
                <w:sz w:val="20"/>
                <w:shd w:fill="FFFFFF" w:val="clear"/>
              </w:rPr>
              <w:t>(5)</w:t>
            </w:r>
            <w:r>
              <w:rPr/>
              <w:t xml:space="preserve"> </w:t>
            </w:r>
          </w:p>
        </w:tc>
      </w:tr>
      <w:tr>
        <w:trPr/>
        <w:tc>
          <w:tcPr>
            <w:tcW w:w="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(2)(3)</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194,036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177,036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(2)(3)</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(10)(11)</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accordance with SEC guidance authorizing aggregate reporting of same-day purchases and sales, the shares were sold in multiple transactions at prices ranging from $51.00 to $51.01,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of Class V-1 Common Stock of the Issuer have no economic rights and each share of Class V-1 Common Stock entitles its holder to 1 vote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term "Symbotic Holdings Units" is used herein to represent limited liability company units of Symbotic Holdings LLC ("Symbotic Holdings") and an equal number of paired shares of Class V-1 Common Stock of the Issuer, which, pursuant to the limited liability company agreement of Symbotic Holdings, are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 and Restated Limited Liability Company Agreement, dated as of June 7, 2022. Upon redemption, the Issuer will cancel the Symbotic Holdings Units and cancel and retire for no consideration the redeemed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July 6, 2026, the Reporting Person sold 2,000 shares of Class A Common Stock pursuant to a trading plan entered into by the Reporting Person on December 8, 2025, in accordance with Rule 10b5-1 of the Securities Exchange Act of 1934, as amended (the "Stock Sale"). In connection with the Stock Sale and pursuant to the terms of the trading plan, effective July 6, 2026, the Reporting Person redeemed 2,000 Symbotic Holdings Units in exchange for an equal number of shares of Class A Common Stock (the "Redemption"). In connection with the Redemption, Symbotic Holdings canceled the Symbotic Holdings Units, and the Issuer canceled and retired for no consideration the redeemed 2,000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Todd Krasnow may be considered the beneficial owner of securities held by Inlet View, Inc., of which Mr. Krasnow is the President and CEO. Mr. Krasnow disclaims beneficial ownership of such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pursuant to a trading plan entered into by the Reporting Person on Decmeber 8, 2025, in accordance with Rule 10b5-1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 accordance with SEC guidance authorizing aggregate reporting of same-day purchases and sales, the shares were sold in multiple transactions at prices ranging from $43.325 to $44.315,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 accordance with SEC guidance authorizing aggregate reporting of same-day purchases and sales, the shares were sold in multiple transactions at prices ranging from $44.33 to $44.455,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Mr. Krasnow may be considered the beneficial owner of 20,000 shares of Class A Common Stock held by the Krasnow Family 2019 Charitable Remainder Trust and 20,000 shares of Class A Common Stock held by the Todd and Deborah Krasnow CRUT, both of which are trusts for which Mr. Krasnow is trustee and to which Mr. Krasnow is a beneficiary. Mr. Krasnow disclaims beneficial ownership of such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Consists of (i) 30,000 Symbotic Holdings Units and an equal number of paired shares of Class V-1 common stock held by the Reporting Person's spouse and (ii) 150,000 Symbotic Holdings Units and an equal number of paired shares of Class V-1 common stock held by the Todd J. Krasnow 2024 Irrevocable Trust, in which the Reporting Person's spouse acts as trustee and to which members of the Reporting Person's immediate family have a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Reporting Person disclaims beneficial ownership of the securities held by his spouse. The Reporting Person does not have voting or investment control over the securities held by the Todd J. Krasnow 2024 Irrevocable Trust and disclaims beneficial ownership of such securities except to the extent that the Reporting Person may be considered to have an indirect pecuniary interest therein. This report shall not be deemed an admission that the Reporting Person is the beneficial owner of the spouse's securities or the securities held by the trust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Attorney-in-Fact for Todd Krasnow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26378"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1534</Words>
  <Characters>8121</Characters>
  <CharactersWithSpaces>9538</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