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0" w:lineRule="exact"/>
        <w:rPr>
          <w:sz w:val="24"/>
          <w:szCs w:val="24"/>
          <w:color w:val="auto"/>
        </w:rPr>
      </w:pPr>
    </w:p>
    <w:p>
      <w:pPr>
        <w:ind w:left="320" w:right="1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2"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-594995</wp:posOffset>
            </wp:positionV>
            <wp:extent cx="5651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630555</wp:posOffset>
            </wp:positionV>
            <wp:extent cx="7000240" cy="8846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846185"/>
                    </a:xfrm>
                    <a:prstGeom prst="rect">
                      <a:avLst/>
                    </a:prstGeom>
                    <a:noFill/>
                  </pic:spPr>
                </pic:pic>
              </a:graphicData>
            </a:graphic>
          </wp:anchor>
        </w:drawing>
      </w:r>
    </w:p>
    <w:p>
      <w:pPr>
        <w:spacing w:after="0" w:line="1061" w:lineRule="exact"/>
        <w:rPr>
          <w:sz w:val="24"/>
          <w:szCs w:val="24"/>
          <w:color w:val="auto"/>
        </w:rPr>
      </w:pPr>
    </w:p>
    <w:p>
      <w:pPr>
        <w:sectPr>
          <w:pgSz w:w="11900" w:h="16838" w:orient="portrait"/>
          <w:cols w:equalWidth="0" w:num="2">
            <w:col w:w="2280" w:space="44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Ladensohn David A</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SYMBOTIC INC., 200 RESEARCH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Symbotic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05/15/2026</w:t>
      </w:r>
    </w:p>
    <w:p>
      <w:pPr>
        <w:spacing w:after="0" w:line="20" w:lineRule="exact"/>
        <w:rPr>
          <w:sz w:val="24"/>
          <w:szCs w:val="24"/>
          <w:color w:val="auto"/>
        </w:rPr>
      </w:pPr>
      <w:r>
        <w:rPr>
          <w:sz w:val="24"/>
          <w:szCs w:val="24"/>
          <w:color w:val="auto"/>
        </w:rPr>
        <w:br w:type="column"/>
      </w:r>
    </w:p>
    <w:p>
      <w:pPr>
        <w:ind w:left="3" w:right="760" w:hanging="3"/>
        <w:spacing w:after="0" w:line="273"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3"/>
        <w:spacing w:after="0"/>
        <w:tabs>
          <w:tab w:leader="none" w:pos="1718"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79" w:lineRule="exact"/>
        <w:rPr>
          <w:sz w:val="24"/>
          <w:szCs w:val="24"/>
          <w:color w:val="auto"/>
        </w:rPr>
      </w:pPr>
    </w:p>
    <w:p>
      <w:pPr>
        <w:sectPr>
          <w:pgSz w:w="11900" w:h="16838" w:orient="portrait"/>
          <w:cols w:equalWidth="0" w:num="3">
            <w:col w:w="3300" w:space="600"/>
            <w:col w:w="3117" w:space="720"/>
            <w:col w:w="3343"/>
          </w:cols>
          <w:pgMar w:left="460" w:top="212" w:right="359" w:bottom="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12"/>
          </w:tcPr>
          <w:p>
            <w:pPr>
              <w:ind w:left="4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WILMINGTON</w:t>
            </w: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9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01887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gridSpan w:val="5"/>
          </w:tcPr>
          <w:p>
            <w:pPr>
              <w:ind w:left="14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9"/>
          </w:tcPr>
          <w:p>
            <w:pPr>
              <w:ind w:left="14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40" w:type="dxa"/>
            <w:vAlign w:val="bottom"/>
            <w:gridSpan w:val="4"/>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2080" w:type="dxa"/>
            <w:vAlign w:val="bottom"/>
            <w:gridSpan w:val="6"/>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40" w:type="dxa"/>
            <w:vAlign w:val="bottom"/>
            <w:gridSpan w:val="4"/>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80"/>
              <w:spacing w:after="0" w:line="123" w:lineRule="exact"/>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2014 QSST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p>
        </w:tc>
        <w:tc>
          <w:tcPr>
            <w:tcW w:w="980" w:type="dxa"/>
            <w:vAlign w:val="bottom"/>
          </w:tcPr>
          <w:p>
            <w:pPr>
              <w:spacing w:after="0"/>
              <w:rPr>
                <w:sz w:val="17"/>
                <w:szCs w:val="17"/>
                <w:color w:val="auto"/>
              </w:rPr>
            </w:pPr>
          </w:p>
        </w:tc>
        <w:tc>
          <w:tcPr>
            <w:tcW w:w="8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0000FF"/>
                <w:w w:val="95"/>
              </w:rPr>
              <w:t>05/15/2026</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140"/>
              <w:spacing w:after="0" w:line="196"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112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0000FF"/>
              </w:rPr>
              <w:t>384,222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6"/>
                <w:szCs w:val="16"/>
                <w:color w:val="0000FF"/>
                <w:w w:val="99"/>
              </w:rPr>
              <w:t>0</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F/B/O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Perry</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Cohen</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2014 QSST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V-3 Common Stock</w:t>
            </w:r>
          </w:p>
        </w:tc>
        <w:tc>
          <w:tcPr>
            <w:tcW w:w="980" w:type="dxa"/>
            <w:vAlign w:val="bottom"/>
          </w:tcPr>
          <w:p>
            <w:pPr>
              <w:spacing w:after="0"/>
              <w:rPr>
                <w:sz w:val="17"/>
                <w:szCs w:val="17"/>
                <w:color w:val="auto"/>
              </w:rPr>
            </w:pPr>
          </w:p>
        </w:tc>
        <w:tc>
          <w:tcPr>
            <w:tcW w:w="8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0000FF"/>
                <w:w w:val="95"/>
              </w:rPr>
              <w:t>05/15/2026</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140"/>
              <w:spacing w:after="0" w:line="196"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112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0000FF"/>
              </w:rPr>
              <w:t>12,469,262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6"/>
                <w:szCs w:val="16"/>
                <w:color w:val="0000FF"/>
                <w:w w:val="99"/>
              </w:rPr>
              <w:t>0</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F/B/O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Perry</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Cohen</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6"/>
                <w:szCs w:val="16"/>
                <w:color w:val="0000FF"/>
                <w:w w:val="99"/>
              </w:rPr>
              <w:t>520,835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Tilia Mill</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vMerge w:val="restart"/>
          </w:tcPr>
          <w:p>
            <w:pPr>
              <w:jc w:val="center"/>
              <w:ind w:left="193"/>
              <w:spacing w:after="0"/>
              <w:rPr>
                <w:sz w:val="20"/>
                <w:szCs w:val="20"/>
                <w:color w:val="auto"/>
              </w:rPr>
            </w:pPr>
            <w:r>
              <w:rPr>
                <w:rFonts w:ascii="Times New Roman" w:cs="Times New Roman" w:eastAsia="Times New Roman" w:hAnsi="Times New Roman"/>
                <w:sz w:val="16"/>
                <w:szCs w:val="16"/>
                <w:color w:val="0000FF"/>
                <w:w w:val="99"/>
              </w:rPr>
              <w:t>375,378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Serenade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0000FF"/>
              </w:rPr>
              <w:t>QSST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(4)</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V-3 Common Stock</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151,561,831</w:t>
            </w:r>
          </w:p>
        </w:tc>
        <w:tc>
          <w:tcPr>
            <w:tcW w:w="46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RBC</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0000FF"/>
              </w:rPr>
              <w:t>Millennium</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(5)</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V-3 Common Stock</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13,858,144</w:t>
            </w:r>
          </w:p>
        </w:tc>
        <w:tc>
          <w:tcPr>
            <w:tcW w:w="4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Tilia Mill</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V-3 Common Stock</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10,615,154</w:t>
            </w:r>
          </w:p>
        </w:tc>
        <w:tc>
          <w:tcPr>
            <w:tcW w:w="46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Serenade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0000FF"/>
              </w:rPr>
              <w:t>QSST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5"/>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40" w:type="dxa"/>
            <w:vAlign w:val="bottom"/>
            <w:gridSpan w:val="13"/>
          </w:tcPr>
          <w:p>
            <w:pPr>
              <w:jc w:val="right"/>
              <w:ind w:right="3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3 and 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3, 4 and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Symbotic</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center"/>
              <w:ind w:left="62"/>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w w:val="99"/>
              </w:rPr>
              <w:t>12,853,484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2014 QSST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05/15/2026</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12,853,484</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2"/>
                <w:szCs w:val="12"/>
                <w:color w:val="auto"/>
              </w:rPr>
            </w:pP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F/B/O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jc w:val="center"/>
              <w:ind w:left="42"/>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2"/>
                <w:szCs w:val="12"/>
                <w:color w:val="0000FF"/>
              </w:rPr>
              <w:t>Perry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60"/>
              <w:spacing w:after="0" w:line="221" w:lineRule="exact"/>
              <w:rPr>
                <w:sz w:val="20"/>
                <w:szCs w:val="20"/>
                <w:color w:val="auto"/>
              </w:rPr>
            </w:pPr>
            <w:r>
              <w:rPr>
                <w:rFonts w:ascii="Times New Roman" w:cs="Times New Roman" w:eastAsia="Times New Roman" w:hAnsi="Times New Roman"/>
                <w:sz w:val="12"/>
                <w:szCs w:val="12"/>
                <w:color w:val="0000FF"/>
              </w:rPr>
              <w:t>Cohen</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Symbotic</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The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restart"/>
          </w:tcPr>
          <w:p>
            <w:pPr>
              <w:jc w:val="right"/>
              <w:spacing w:after="0" w:line="172" w:lineRule="exact"/>
              <w:rPr>
                <w:sz w:val="20"/>
                <w:szCs w:val="20"/>
                <w:color w:val="auto"/>
              </w:rPr>
            </w:pPr>
            <w:r>
              <w:rPr>
                <w:rFonts w:ascii="Times New Roman" w:cs="Times New Roman" w:eastAsia="Times New Roman" w:hAnsi="Times New Roman"/>
                <w:sz w:val="16"/>
                <w:szCs w:val="16"/>
                <w:color w:val="0000FF"/>
                <w:w w:val="99"/>
              </w:rPr>
              <w:t>151,561,831</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RBC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Holdings</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jc w:val="right"/>
              <w:ind w:right="24"/>
              <w:spacing w:after="0" w:line="99" w:lineRule="exact"/>
              <w:rPr>
                <w:sz w:val="20"/>
                <w:szCs w:val="20"/>
                <w:color w:val="auto"/>
              </w:rPr>
            </w:pPr>
            <w:r>
              <w:rPr>
                <w:rFonts w:ascii="Times New Roman" w:cs="Times New Roman" w:eastAsia="Times New Roman" w:hAnsi="Times New Roman"/>
                <w:sz w:val="11"/>
                <w:szCs w:val="11"/>
                <w:color w:val="0000FF"/>
              </w:rPr>
              <w:t>151,561,831</w:t>
            </w:r>
          </w:p>
        </w:tc>
        <w:tc>
          <w:tcPr>
            <w:tcW w:w="500" w:type="dxa"/>
            <w:vAlign w:val="bottom"/>
            <w:vMerge w:val="restart"/>
          </w:tcPr>
          <w:p>
            <w:pPr>
              <w:ind w:left="38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2"/>
                <w:szCs w:val="2"/>
                <w:color w:val="0000FF"/>
              </w:rPr>
              <w:t>Millennium</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-2220595</wp:posOffset>
            </wp:positionV>
            <wp:extent cx="27940" cy="2454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2454275"/>
                    </a:xfrm>
                    <a:prstGeom prst="rect">
                      <a:avLst/>
                    </a:prstGeom>
                    <a:noFill/>
                  </pic:spPr>
                </pic:pic>
              </a:graphicData>
            </a:graphic>
          </wp:anchor>
        </w:drawing>
      </w:r>
    </w:p>
    <w:p>
      <w:pPr>
        <w:sectPr>
          <w:pgSz w:w="11900" w:h="16838" w:orient="portrait"/>
          <w:cols w:equalWidth="0" w:num="1">
            <w:col w:w="11080"/>
          </w:cols>
          <w:pgMar w:left="460" w:top="212"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204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770" cy="204978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3 and 4)</w:t>
            </w:r>
          </w:p>
        </w:tc>
        <w:tc>
          <w:tcPr>
            <w:tcW w:w="92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9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Symbotic</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14,378,979</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The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9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0000FF"/>
              </w:rPr>
              <w:t>14,378,979</w:t>
            </w:r>
          </w:p>
        </w:tc>
        <w:tc>
          <w:tcPr>
            <w:tcW w:w="7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Tilia Mill</w:t>
            </w:r>
          </w:p>
        </w:tc>
        <w:tc>
          <w:tcPr>
            <w:tcW w:w="0" w:type="dxa"/>
            <w:vAlign w:val="bottom"/>
          </w:tcPr>
          <w:p>
            <w:pPr>
              <w:spacing w:after="0"/>
              <w:rPr>
                <w:sz w:val="1"/>
                <w:szCs w:val="1"/>
                <w:color w:val="auto"/>
              </w:rPr>
            </w:pPr>
          </w:p>
        </w:tc>
      </w:tr>
      <w:tr>
        <w:trPr>
          <w:trHeight w:val="225"/>
        </w:trPr>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1"/>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Symbotic</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The</w:t>
            </w:r>
          </w:p>
        </w:tc>
        <w:tc>
          <w:tcPr>
            <w:tcW w:w="0" w:type="dxa"/>
            <w:vAlign w:val="bottom"/>
          </w:tcPr>
          <w:p>
            <w:pPr>
              <w:spacing w:after="0"/>
              <w:rPr>
                <w:sz w:val="1"/>
                <w:szCs w:val="1"/>
                <w:color w:val="auto"/>
              </w:rPr>
            </w:pPr>
          </w:p>
        </w:tc>
      </w:tr>
      <w:tr>
        <w:trPr>
          <w:trHeight w:val="73"/>
        </w:trPr>
        <w:tc>
          <w:tcPr>
            <w:tcW w:w="640" w:type="dxa"/>
            <w:vAlign w:val="bottom"/>
            <w:vMerge w:val="continue"/>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continue"/>
          </w:tcPr>
          <w:p>
            <w:pPr>
              <w:spacing w:after="0"/>
              <w:rPr>
                <w:sz w:val="6"/>
                <w:szCs w:val="6"/>
                <w:color w:val="auto"/>
              </w:rPr>
            </w:pPr>
          </w:p>
        </w:tc>
        <w:tc>
          <w:tcPr>
            <w:tcW w:w="920" w:type="dxa"/>
            <w:vAlign w:val="bottom"/>
            <w:vMerge w:val="restart"/>
          </w:tcPr>
          <w:p>
            <w:pPr>
              <w:jc w:val="right"/>
              <w:ind w:right="35"/>
              <w:spacing w:after="0" w:line="172" w:lineRule="exact"/>
              <w:rPr>
                <w:sz w:val="20"/>
                <w:szCs w:val="20"/>
                <w:color w:val="auto"/>
              </w:rPr>
            </w:pPr>
            <w:r>
              <w:rPr>
                <w:rFonts w:ascii="Times New Roman" w:cs="Times New Roman" w:eastAsia="Times New Roman" w:hAnsi="Times New Roman"/>
                <w:sz w:val="16"/>
                <w:szCs w:val="16"/>
                <w:color w:val="0000FF"/>
              </w:rPr>
              <w:t>12,062,032</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Serenade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Holdings</w:t>
            </w:r>
          </w:p>
        </w:tc>
        <w:tc>
          <w:tcPr>
            <w:tcW w:w="7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9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10,990,532</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6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QSST</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jc w:val="both"/>
        <w:ind w:left="20" w:right="120" w:hanging="5"/>
        <w:spacing w:after="0" w:line="25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15, 2026, the 2014 QSST F/B/O Perry Cohen (the "2014 QSST") distributed 384,222 shares of Class V-1 common stock, 12,469,262 shares of Class V-3 common stock and 12,853,484 paired Symbotic Holdings Units to other trusts for the benefit of the beneficiary of the 2014 QSST at the instruction of the trustee of the 2014 QSST. Mr. Ladensohn disclaims beneficial ownership of such securities. The filing of this Form 4 shall not be deemed an admission that the Reporting Person is the beneficial owner of such securities for purposes of Section 16 of the Exchange Act or for any other purpose.</w:t>
      </w:r>
    </w:p>
    <w:p>
      <w:pPr>
        <w:spacing w:after="0" w:line="18" w:lineRule="exact"/>
        <w:rPr>
          <w:rFonts w:ascii="Times New Roman" w:cs="Times New Roman" w:eastAsia="Times New Roman" w:hAnsi="Times New Roman"/>
          <w:sz w:val="12"/>
          <w:szCs w:val="12"/>
          <w:color w:val="008000"/>
        </w:rPr>
      </w:pPr>
    </w:p>
    <w:p>
      <w:pPr>
        <w:ind w:left="20" w:right="220" w:hanging="5"/>
        <w:spacing w:after="0" w:line="25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David A. Ladensohn may be considered the beneficial owner of shares of securities held of record by the 2014 QSST F/B/O Perry Cohen, in which Mr. Ladensohn is a 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p>
      <w:pPr>
        <w:spacing w:after="0" w:line="18" w:lineRule="exact"/>
        <w:rPr>
          <w:rFonts w:ascii="Times New Roman" w:cs="Times New Roman" w:eastAsia="Times New Roman" w:hAnsi="Times New Roman"/>
          <w:sz w:val="12"/>
          <w:szCs w:val="12"/>
          <w:color w:val="008000"/>
        </w:rPr>
      </w:pPr>
    </w:p>
    <w:p>
      <w:pPr>
        <w:ind w:left="20" w:right="300" w:hanging="5"/>
        <w:spacing w:after="0" w:line="270"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David A. Ladensohn may be considered the beneficial owner of shares of securities held of record by the Tilia MillTrust, in which Mr. Ladensohn is a co-trustee. Mr. Ladensohn disclaims beneficial ownership of such securities. The filing of this Form 4 shall not be deemed an admission that the Reporting Person is the beneficial owners of such securities for purposes of Section 16 of the Exchange Act or for any other purpose.</w:t>
      </w:r>
    </w:p>
    <w:p>
      <w:pPr>
        <w:spacing w:after="0" w:line="7" w:lineRule="exact"/>
        <w:rPr>
          <w:rFonts w:ascii="Times New Roman" w:cs="Times New Roman" w:eastAsia="Times New Roman" w:hAnsi="Times New Roman"/>
          <w:sz w:val="12"/>
          <w:szCs w:val="12"/>
          <w:color w:val="008000"/>
        </w:rPr>
      </w:pPr>
    </w:p>
    <w:p>
      <w:pPr>
        <w:ind w:left="20" w:right="120" w:hanging="5"/>
        <w:spacing w:after="0" w:line="270"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David A. Ladensohn may be considered the beneficial owner of shares of securities held of record by the Serenade QSST Trust, in which Mr. Ladensohn is a 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p>
      <w:pPr>
        <w:spacing w:after="0" w:line="7" w:lineRule="exact"/>
        <w:rPr>
          <w:rFonts w:ascii="Times New Roman" w:cs="Times New Roman" w:eastAsia="Times New Roman" w:hAnsi="Times New Roman"/>
          <w:sz w:val="12"/>
          <w:szCs w:val="12"/>
          <w:color w:val="008000"/>
        </w:rPr>
      </w:pPr>
    </w:p>
    <w:p>
      <w:pPr>
        <w:ind w:left="20" w:right="320" w:hanging="5"/>
        <w:spacing w:after="0" w:line="270"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David A. Ladensohn may be considered the beneficial owner of securities held of record by The RBC Millennium Trust, in which Mr. Ladensohn is a co-trustee.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p>
      <w:pPr>
        <w:spacing w:after="0" w:line="7" w:lineRule="exact"/>
        <w:rPr>
          <w:rFonts w:ascii="Times New Roman" w:cs="Times New Roman" w:eastAsia="Times New Roman" w:hAnsi="Times New Roman"/>
          <w:sz w:val="12"/>
          <w:szCs w:val="12"/>
          <w:color w:val="008000"/>
        </w:rPr>
      </w:pPr>
    </w:p>
    <w:p>
      <w:pPr>
        <w:ind w:left="20" w:right="160" w:hanging="5"/>
        <w:spacing w:after="0" w:line="243"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term "Symbotic Holdings Units" is used herein to represent limited liability company units of Symbotic Holdings and an equal number of paired shares of Class V-1 Common Stock or Class V-3 Common Stock of the Issuer, which, pursuant to the limited liability company agreement of Symbotic Holdings, are together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 or Class V-3 Common Stock, as applicable.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90"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Corey Dufresne, Attorney-in-</w:t>
            </w:r>
          </w:p>
        </w:tc>
        <w:tc>
          <w:tcPr>
            <w:tcW w:w="12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05/19/2026</w:t>
            </w:r>
          </w:p>
        </w:tc>
        <w:tc>
          <w:tcPr>
            <w:tcW w:w="0" w:type="dxa"/>
            <w:vAlign w:val="bottom"/>
          </w:tcPr>
          <w:p>
            <w:pPr>
              <w:spacing w:after="0"/>
              <w:rPr>
                <w:sz w:val="1"/>
                <w:szCs w:val="1"/>
                <w:color w:val="auto"/>
              </w:rPr>
            </w:pPr>
          </w:p>
        </w:tc>
      </w:tr>
      <w:tr>
        <w:trPr>
          <w:trHeight w:val="83"/>
        </w:trPr>
        <w:tc>
          <w:tcPr>
            <w:tcW w:w="1860" w:type="dxa"/>
            <w:vAlign w:val="bottom"/>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8"/>
              </w:rPr>
              <w:t>Fact for David A. Ladensohn</w:t>
            </w:r>
          </w:p>
        </w:tc>
        <w:tc>
          <w:tcPr>
            <w:tcW w:w="34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60" w:type="dxa"/>
            <w:vAlign w:val="bottom"/>
            <w:tcBorders>
              <w:bottom w:val="single" w:sz="8" w:color="auto"/>
            </w:tcBorders>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20" w:right="3960" w:hanging="5"/>
        <w:spacing w:after="0" w:line="319" w:lineRule="auto"/>
        <w:tabs>
          <w:tab w:leader="none" w:pos="14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2967"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2026-05-19T20:20:22Z</dcterms:created>
  <dcterms:modified xsi:type="dcterms:W3CDTF">2026-05-19T20:20:22Z</dcterms:modified>
</cp:coreProperties>
</file>