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60" w:after="283"/>
        <w:ind w:left="0" w:right="0" w:firstLine="36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before="60" w:after="60"/>
        <w:jc w:val="center"/>
        <w:rPr/>
      </w:pPr>
      <w:r>
        <w:rPr/>
      </w:r>
    </w:p>
    <w:tbl>
      <w:tblPr>
        <w:tblW w:w="2130" w:type="dxa"/>
        <w:jc w:val="center"/>
        <w:tblInd w:w="0" w:type="dxa"/>
        <w:tblLayout w:type="fixed"/>
        <w:tblCellMar>
          <w:top w:w="28" w:type="dxa"/>
          <w:left w:w="28" w:type="dxa"/>
          <w:bottom w:w="28" w:type="dxa"/>
          <w:right w:w="28" w:type="dxa"/>
        </w:tblCellMar>
      </w:tblPr>
      <w:tblGrid>
        <w:gridCol w:w="681"/>
        <w:gridCol w:w="599"/>
        <w:gridCol w:w="850"/>
      </w:tblGrid>
      <w:tr>
        <w:trPr/>
        <w:tc>
          <w:tcPr>
            <w:tcW w:w="6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ans-serif" w:hAnsi="Times New Roman;sans-serif"/>
                <w:b/>
                <w:color w:val="000000"/>
                <w:sz w:val="36"/>
              </w:rPr>
            </w:pPr>
            <w:r>
              <w:rPr>
                <w:rFonts w:ascii="Times New Roman;sans-serif" w:hAnsi="Times New Roman;sans-serif"/>
                <w:b/>
                <w:color w:val="000000"/>
                <w:sz w:val="36"/>
              </w:rPr>
              <w:t>FORM 10-Q</w:t>
            </w:r>
          </w:p>
        </w:tc>
      </w:tr>
    </w:tbl>
    <w:p>
      <w:pPr>
        <w:pStyle w:val="TextBody"/>
        <w:bidi w:val="0"/>
        <w:spacing w:before="60" w:after="283"/>
        <w:jc w:val="center"/>
        <w:rPr/>
      </w:pPr>
      <w:r>
        <w:rPr/>
      </w:r>
    </w:p>
    <w:p>
      <w:pPr>
        <w:pStyle w:val="TextBody"/>
        <w:bidi w:val="0"/>
        <w:spacing w:lineRule="auto" w:line="400" w:before="60" w:after="10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307"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June 24, 2023 </w:t>
      </w:r>
    </w:p>
    <w:p>
      <w:pPr>
        <w:pStyle w:val="TextBody"/>
        <w:bidi w:val="0"/>
        <w:spacing w:lineRule="auto" w:line="400" w:before="6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307"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______ to </w:t>
      </w:r>
    </w:p>
    <w:p>
      <w:pPr>
        <w:pStyle w:val="TextBody"/>
        <w:bidi w:val="0"/>
        <w:spacing w:before="60" w:after="283"/>
        <w:jc w:val="left"/>
        <w:rPr/>
      </w:pPr>
      <w:r>
        <w:rPr/>
      </w:r>
    </w:p>
    <w:p>
      <w:pPr>
        <w:pStyle w:val="TextBody"/>
        <w:bidi w:val="0"/>
        <w:spacing w:lineRule="auto" w:line="400"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001-40175 </w:t>
      </w:r>
    </w:p>
    <w:p>
      <w:pPr>
        <w:pStyle w:val="TextBody"/>
        <w:bidi w:val="0"/>
        <w:spacing w:before="60" w:after="283"/>
        <w:jc w:val="center"/>
        <w:rPr/>
      </w:pPr>
      <w:r>
        <w:rPr/>
      </w:r>
    </w:p>
    <w:p>
      <w:pPr>
        <w:pStyle w:val="TextBody"/>
        <w:bidi w:val="0"/>
        <w:spacing w:lineRule="auto" w:line="400" w:before="60" w:after="283"/>
        <w:jc w:val="center"/>
        <w:rPr>
          <w:rFonts w:ascii="Times New Roman;sans-serif" w:hAnsi="Times New Roman;sans-serif"/>
          <w:b/>
          <w:color w:val="000000"/>
          <w:sz w:val="36"/>
        </w:rPr>
      </w:pPr>
      <w:r>
        <w:rPr>
          <w:rFonts w:ascii="Times New Roman;sans-serif" w:hAnsi="Times New Roman;sans-serif"/>
          <w:b/>
          <w:color w:val="000000"/>
          <w:sz w:val="36"/>
        </w:rPr>
        <w:t xml:space="preserve">SYMBOTIC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10205" w:type="dxa"/>
        <w:jc w:val="left"/>
        <w:tblInd w:w="0" w:type="dxa"/>
        <w:tblLayout w:type="fixed"/>
        <w:tblCellMar>
          <w:top w:w="28" w:type="dxa"/>
          <w:left w:w="28" w:type="dxa"/>
          <w:bottom w:w="28" w:type="dxa"/>
          <w:right w:w="28" w:type="dxa"/>
        </w:tblCellMar>
      </w:tblPr>
      <w:tblGrid>
        <w:gridCol w:w="1027"/>
        <w:gridCol w:w="903"/>
        <w:gridCol w:w="912"/>
        <w:gridCol w:w="832"/>
        <w:gridCol w:w="832"/>
        <w:gridCol w:w="832"/>
        <w:gridCol w:w="832"/>
        <w:gridCol w:w="832"/>
        <w:gridCol w:w="848"/>
        <w:gridCol w:w="666"/>
        <w:gridCol w:w="666"/>
        <w:gridCol w:w="645"/>
        <w:gridCol w:w="109"/>
        <w:gridCol w:w="109"/>
        <w:gridCol w:w="160"/>
      </w:tblGrid>
      <w:tr>
        <w:trPr/>
        <w:tc>
          <w:tcPr>
            <w:tcW w:w="102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4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2"/>
              </w:rPr>
            </w:pPr>
            <w:r>
              <w:rPr>
                <w:rFonts w:ascii="Times New Roman;sans-serif" w:hAnsi="Times New Roman;sans-serif"/>
                <w:b/>
                <w:color w:val="000000"/>
                <w:sz w:val="22"/>
              </w:rPr>
              <w:t>Delaware</w:t>
            </w:r>
          </w:p>
        </w:tc>
        <w:tc>
          <w:tcPr>
            <w:tcW w:w="50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2"/>
              </w:rPr>
            </w:pPr>
            <w:r>
              <w:rPr>
                <w:rFonts w:ascii="Times New Roman;sans-serif" w:hAnsi="Times New Roman;sans-serif"/>
                <w:b/>
                <w:color w:val="000000"/>
                <w:sz w:val="22"/>
              </w:rPr>
              <w:t>98-1572401</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50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8" w:type="dxa"/>
            <w:gridSpan w:val="6"/>
            <w:vMerge w:val="restart"/>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22"/>
              </w:rPr>
            </w:pPr>
            <w:r>
              <w:rPr>
                <w:rFonts w:ascii="Times New Roman;sans-serif" w:hAnsi="Times New Roman;sans-serif"/>
                <w:b/>
                <w:color w:val="000000"/>
                <w:sz w:val="22"/>
              </w:rPr>
              <w:t>200 Research Drive</w:t>
            </w:r>
          </w:p>
          <w:p>
            <w:pPr>
              <w:pStyle w:val="TableContents"/>
              <w:bidi w:val="0"/>
              <w:spacing w:lineRule="auto" w:line="300" w:before="0" w:after="2"/>
              <w:jc w:val="center"/>
              <w:rPr>
                <w:rFonts w:ascii="Times New Roman;sans-serif" w:hAnsi="Times New Roman;sans-serif"/>
                <w:b/>
                <w:color w:val="000000"/>
                <w:sz w:val="22"/>
              </w:rPr>
            </w:pPr>
            <w:r>
              <w:rPr>
                <w:rFonts w:ascii="Times New Roman;sans-serif" w:hAnsi="Times New Roman;sans-serif"/>
                <w:b/>
                <w:color w:val="000000"/>
                <w:sz w:val="22"/>
              </w:rPr>
              <w:t xml:space="preserve">Wilmington, MA 01887 </w:t>
            </w:r>
          </w:p>
          <w:p>
            <w:pPr>
              <w:pStyle w:val="TableContents"/>
              <w:bidi w:val="0"/>
              <w:spacing w:lineRule="auto" w:line="300" w:before="0" w:after="2"/>
              <w:jc w:val="center"/>
              <w:rPr>
                <w:rFonts w:ascii="Times New Roman;sans-serif" w:hAnsi="Times New Roman;sans-serif"/>
                <w:b/>
                <w:color w:val="000000"/>
                <w:sz w:val="22"/>
              </w:rPr>
            </w:pPr>
            <w:r>
              <w:rPr>
                <w:rFonts w:ascii="Times New Roman;sans-serif" w:hAnsi="Times New Roman;sans-serif"/>
                <w:b/>
                <w:color w:val="000000"/>
                <w:sz w:val="22"/>
              </w:rPr>
              <w:t>(978) 284-2800</w:t>
            </w:r>
          </w:p>
        </w:tc>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8" w:type="dxa"/>
            <w:gridSpan w:val="6"/>
            <w:vMerge w:val="continue"/>
            <w:tcBorders/>
            <w:tcMar>
              <w:top w:w="0" w:type="dxa"/>
              <w:left w:w="0" w:type="dxa"/>
              <w:bottom w:w="0" w:type="dxa"/>
              <w:right w:w="0" w:type="dxa"/>
            </w:tcMar>
            <w:vAlign w:val="center"/>
          </w:tcPr>
          <w:p>
            <w:pPr>
              <w:pStyle w:val="Normal"/>
              <w:bidi w:val="0"/>
              <w:jc w:val="left"/>
              <w:rPr/>
            </w:pPr>
            <w:r>
              <w:rPr/>
            </w:r>
          </w:p>
        </w:tc>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8" w:type="dxa"/>
            <w:gridSpan w:val="6"/>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Including Zip Code, and Telephone Number, Including Area Code, of Registrant’s Principal Executive Offices)</w:t>
            </w:r>
          </w:p>
        </w:tc>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p>
      <w:pPr>
        <w:pStyle w:val="TextBody"/>
        <w:bidi w:val="0"/>
        <w:spacing w:before="60" w:after="283"/>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13360"/>
                <wp:effectExtent l="0" t="0" r="0" b="0"/>
                <wp:wrapNone/>
                <wp:docPr id="1" name="Frame1"/>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ind w:left="0" w:right="0" w:firstLine="360"/>
                        <w:jc w:val="center"/>
                        <w:rPr/>
                      </w:pPr>
                      <w:r>
                        <w:rPr/>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543"/>
        <w:gridCol w:w="1349"/>
        <w:gridCol w:w="1365"/>
        <w:gridCol w:w="109"/>
        <w:gridCol w:w="109"/>
        <w:gridCol w:w="109"/>
        <w:gridCol w:w="536"/>
        <w:gridCol w:w="536"/>
        <w:gridCol w:w="538"/>
        <w:gridCol w:w="109"/>
        <w:gridCol w:w="109"/>
        <w:gridCol w:w="109"/>
        <w:gridCol w:w="1077"/>
        <w:gridCol w:w="1077"/>
        <w:gridCol w:w="1530"/>
      </w:tblGrid>
      <w:tr>
        <w:trPr/>
        <w:tc>
          <w:tcPr>
            <w:tcW w:w="1543"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r>
      <w:tr>
        <w:trPr/>
        <w:tc>
          <w:tcPr>
            <w:tcW w:w="425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4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SYM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60" w:after="283"/>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r>
        <w:rPr>
          <w:color w:val="000000"/>
        </w:rPr>
        <w:t> </w:t>
      </w:r>
    </w:p>
    <w:p>
      <w:pPr>
        <w:pStyle w:val="TextBody"/>
        <w:bidi w:val="0"/>
        <w:spacing w:before="60" w:after="283"/>
        <w:jc w:val="left"/>
        <w:rPr/>
      </w:pPr>
      <w:r>
        <w:rPr/>
      </w:r>
    </w:p>
    <w:p>
      <w:pPr>
        <w:pStyle w:val="TextBody"/>
        <w:bidi w:val="0"/>
        <w:spacing w:lineRule="auto" w:line="288" w:before="60" w:after="283"/>
        <w:jc w:val="both"/>
        <w:rPr/>
      </w:pPr>
      <w:r>
        <w:rPr>
          <w:rFonts w:ascii="Times New Roman;sans-serif" w:hAnsi="Times New Roman;sans-serif"/>
          <w:b w:val="false"/>
          <w:color w:val="000000"/>
          <w:sz w:val="20"/>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r>
        <w:rPr>
          <w:color w:val="000000"/>
        </w:rPr>
        <w:t> </w:t>
      </w:r>
    </w:p>
    <w:p>
      <w:pPr>
        <w:pStyle w:val="TextBody"/>
        <w:bidi w:val="0"/>
        <w:spacing w:before="60" w:after="283"/>
        <w:jc w:val="both"/>
        <w:rPr/>
      </w:pPr>
      <w:r>
        <w:rPr/>
      </w:r>
    </w:p>
    <w:p>
      <w:pPr>
        <w:pStyle w:val="TextBody"/>
        <w:bidi w:val="0"/>
        <w:spacing w:lineRule="auto" w:line="288" w:before="60" w:after="10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W w:w="5626" w:type="dxa"/>
        <w:jc w:val="left"/>
        <w:tblInd w:w="0" w:type="dxa"/>
        <w:tblLayout w:type="fixed"/>
        <w:tblCellMar>
          <w:top w:w="28" w:type="dxa"/>
          <w:left w:w="28" w:type="dxa"/>
          <w:bottom w:w="28" w:type="dxa"/>
          <w:right w:w="28" w:type="dxa"/>
        </w:tblCellMar>
      </w:tblPr>
      <w:tblGrid>
        <w:gridCol w:w="695"/>
        <w:gridCol w:w="611"/>
        <w:gridCol w:w="613"/>
        <w:gridCol w:w="225"/>
        <w:gridCol w:w="225"/>
        <w:gridCol w:w="226"/>
        <w:gridCol w:w="769"/>
        <w:gridCol w:w="769"/>
        <w:gridCol w:w="772"/>
        <w:gridCol w:w="211"/>
        <w:gridCol w:w="211"/>
        <w:gridCol w:w="299"/>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676" w:type="dxa"/>
            <w:gridSpan w:val="3"/>
            <w:tcBorders/>
            <w:tcMar>
              <w:top w:w="0" w:type="dxa"/>
              <w:left w:w="0" w:type="dxa"/>
              <w:bottom w:w="0" w:type="dxa"/>
              <w:right w:w="0" w:type="dxa"/>
            </w:tcMar>
            <w:vAlign w:val="center"/>
          </w:tcPr>
          <w:p>
            <w:pPr>
              <w:pStyle w:val="TableContents"/>
              <w:bidi w:val="0"/>
              <w:spacing w:lineRule="auto" w:line="240" w:before="53" w:after="30"/>
              <w:ind w:left="0" w:right="0" w:firstLine="360"/>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721" w:type="dxa"/>
            <w:gridSpan w:val="3"/>
            <w:tcBorders/>
            <w:tcMar>
              <w:top w:w="0" w:type="dxa"/>
              <w:left w:w="0" w:type="dxa"/>
              <w:bottom w:w="0" w:type="dxa"/>
              <w:right w:w="0" w:type="dxa"/>
            </w:tcMar>
            <w:vAlign w:val="center"/>
          </w:tcPr>
          <w:p>
            <w:pPr>
              <w:pStyle w:val="TableContents"/>
              <w:bidi w:val="0"/>
              <w:spacing w:lineRule="auto" w:line="240" w:before="53" w:after="30"/>
              <w:ind w:left="0" w:right="0" w:firstLine="360"/>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676" w:type="dxa"/>
            <w:gridSpan w:val="3"/>
            <w:tcBorders/>
            <w:tcMar>
              <w:top w:w="0" w:type="dxa"/>
              <w:left w:w="0" w:type="dxa"/>
              <w:bottom w:w="0" w:type="dxa"/>
              <w:right w:w="0" w:type="dxa"/>
            </w:tcMar>
            <w:vAlign w:val="center"/>
          </w:tcPr>
          <w:p>
            <w:pPr>
              <w:pStyle w:val="TableContents"/>
              <w:bidi w:val="0"/>
              <w:spacing w:lineRule="auto" w:line="240" w:before="53" w:after="30"/>
              <w:ind w:left="0" w:right="0" w:firstLine="360"/>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721" w:type="dxa"/>
            <w:gridSpan w:val="3"/>
            <w:tcBorders/>
            <w:tcMar>
              <w:top w:w="0" w:type="dxa"/>
              <w:left w:w="0" w:type="dxa"/>
              <w:bottom w:w="0" w:type="dxa"/>
              <w:right w:w="0" w:type="dxa"/>
            </w:tcMar>
            <w:vAlign w:val="center"/>
          </w:tcPr>
          <w:p>
            <w:pPr>
              <w:pStyle w:val="TableContents"/>
              <w:bidi w:val="0"/>
              <w:spacing w:lineRule="auto" w:line="240" w:before="53" w:after="30"/>
              <w:ind w:left="0" w:right="0" w:firstLine="360"/>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721" w:type="dxa"/>
            <w:gridSpan w:val="3"/>
            <w:tcBorders/>
            <w:tcMar>
              <w:top w:w="0" w:type="dxa"/>
              <w:left w:w="0" w:type="dxa"/>
              <w:bottom w:w="0" w:type="dxa"/>
              <w:right w:w="0" w:type="dxa"/>
            </w:tcMar>
            <w:vAlign w:val="center"/>
          </w:tcPr>
          <w:p>
            <w:pPr>
              <w:pStyle w:val="TableContents"/>
              <w:bidi w:val="0"/>
              <w:spacing w:lineRule="auto" w:line="240" w:before="53" w:after="30"/>
              <w:ind w:left="0" w:right="0" w:firstLine="360"/>
              <w:jc w:val="center"/>
              <w:rPr>
                <w:color w:val="000000"/>
              </w:rPr>
            </w:pPr>
            <w:r>
              <w:rPr>
                <w:color w:val="000000"/>
              </w:rPr>
              <w:t>☒</w:t>
            </w:r>
          </w:p>
        </w:tc>
      </w:tr>
    </w:tbl>
    <w:p>
      <w:pPr>
        <w:pStyle w:val="TextBody"/>
        <w:bidi w:val="0"/>
        <w:spacing w:lineRule="auto" w:line="400" w:before="60" w:after="283"/>
        <w:jc w:val="center"/>
        <w:rPr>
          <w:color w:val="000000"/>
        </w:rPr>
      </w:pPr>
      <w:r>
        <w:rPr>
          <w:color w:val="000000"/>
        </w:rPr>
        <w:t>                </w:t>
      </w:r>
    </w:p>
    <w:p>
      <w:pPr>
        <w:pStyle w:val="TextBody"/>
        <w:bidi w:val="0"/>
        <w:spacing w:lineRule="auto" w:line="288" w:before="6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before="60" w:after="283"/>
        <w:jc w:val="left"/>
        <w:rPr/>
      </w:pPr>
      <w:r>
        <w:rPr/>
      </w:r>
    </w:p>
    <w:p>
      <w:pPr>
        <w:pStyle w:val="TextBody"/>
        <w:bidi w:val="0"/>
        <w:spacing w:lineRule="auto" w:line="307" w:before="60" w:after="283"/>
        <w:jc w:val="left"/>
        <w:rPr/>
      </w:pPr>
      <w:r>
        <w:rPr>
          <w:rFonts w:ascii="Times New Roman;sans-serif" w:hAnsi="Times New Roman;sans-serif"/>
          <w:b w:val="false"/>
          <w:color w:val="000000"/>
          <w:sz w:val="20"/>
        </w:rPr>
        <w:t>Indicate by check mark whether the registrant is a shell company (as defined in Rule 12b-2 of the Exchange Act). Yes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No  </w:t>
      </w:r>
      <w:r>
        <w:rPr>
          <w:color w:val="000000"/>
        </w:rPr>
        <w:t>☒</w:t>
      </w:r>
    </w:p>
    <w:p>
      <w:pPr>
        <w:pStyle w:val="TextBody"/>
        <w:bidi w:val="0"/>
        <w:spacing w:before="60" w:after="283"/>
        <w:jc w:val="left"/>
        <w:rPr/>
      </w:pPr>
      <w:r>
        <w:rPr/>
      </w:r>
    </w:p>
    <w:p>
      <w:pPr>
        <w:pStyle w:val="TextBody"/>
        <w:bidi w:val="0"/>
        <w:spacing w:lineRule="auto" w:line="400"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the number of shares outstanding of each of the issuer’s classes of common stock, as of the latest practicable date.</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August 1, 2023, the following shares of common stock were outstanding:</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80,858,798 shares of Class A common stock, par value $0.0001 per share</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67,459,831 shares of Class V-1 common stock, par value $0.0001 per share</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407,528,941 shares of Class V-3 common stock, par value $0.0001 per share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13360"/>
                <wp:effectExtent l="0" t="0" r="0" b="0"/>
                <wp:wrapNone/>
                <wp:docPr id="2" name="Frame2"/>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ind w:left="0" w:right="0" w:firstLine="360"/>
                        <w:jc w:val="center"/>
                        <w:rPr/>
                      </w:pPr>
                      <w:r>
                        <w:rPr/>
                      </w:r>
                    </w:p>
                  </w:txbxContent>
                </v:textbox>
                <w10:wrap type="none"/>
              </v:rect>
            </w:pict>
          </mc:Fallback>
        </mc:AlternateContent>
      </w:r>
    </w:p>
    <w:p>
      <w:pPr>
        <w:pStyle w:val="TextBody"/>
        <w:bidi w:val="0"/>
        <w:spacing w:before="60" w:after="283"/>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236"/>
        <w:gridCol w:w="207"/>
        <w:gridCol w:w="208"/>
        <w:gridCol w:w="3001"/>
        <w:gridCol w:w="2987"/>
        <w:gridCol w:w="2991"/>
        <w:gridCol w:w="167"/>
        <w:gridCol w:w="167"/>
        <w:gridCol w:w="241"/>
      </w:tblGrid>
      <w:tr>
        <w:trPr/>
        <w:tc>
          <w:tcPr>
            <w:tcW w:w="23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c>
          <w:tcPr>
            <w:tcW w:w="2987" w:type="dxa"/>
            <w:tcBorders/>
            <w:vAlign w:val="center"/>
          </w:tcPr>
          <w:p>
            <w:pPr>
              <w:pStyle w:val="TableContents"/>
              <w:bidi w:val="0"/>
              <w:spacing w:before="0" w:after="283"/>
              <w:jc w:val="left"/>
              <w:rPr>
                <w:sz w:val="4"/>
                <w:szCs w:val="4"/>
              </w:rPr>
            </w:pPr>
            <w:r>
              <w:rPr>
                <w:sz w:val="4"/>
                <w:szCs w:val="4"/>
              </w:rPr>
            </w:r>
          </w:p>
        </w:tc>
        <w:tc>
          <w:tcPr>
            <w:tcW w:w="299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pPr>
            <w:hyperlink w:anchor="icc5ff0f4f7584c1c9f7c92c4362a9638_10">
              <w:r>
                <w:rPr>
                  <w:rStyle w:val="InternetLink"/>
                  <w:rFonts w:ascii="Times New Roman;sans-serif" w:hAnsi="Times New Roman;sans-serif"/>
                  <w:b/>
                  <w:color w:val="0E32E1"/>
                  <w:sz w:val="20"/>
                  <w:u w:val="single"/>
                </w:rPr>
                <w:t>Part I - Financial Information</w:t>
              </w:r>
            </w:hyperlink>
          </w:p>
        </w:tc>
        <w:tc>
          <w:tcPr>
            <w:tcW w:w="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1. </w:t>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cc5ff0f4f7584c1c9f7c92c4362a9638_13">
              <w:r>
                <w:rPr>
                  <w:rStyle w:val="InternetLink"/>
                  <w:rFonts w:ascii="Times New Roman;sans-serif" w:hAnsi="Times New Roman;sans-serif"/>
                  <w:b w:val="false"/>
                  <w:color w:val="0000FF"/>
                  <w:sz w:val="20"/>
                  <w:u w:val="single"/>
                </w:rPr>
                <w:t>Financial Statements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pPr>
            <w:hyperlink w:anchor="icc5ff0f4f7584c1c9f7c92c4362a9638_13">
              <w:r>
                <w:rPr>
                  <w:rStyle w:val="InternetLink"/>
                  <w:rFonts w:ascii="Times New Roman;sans-serif" w:hAnsi="Times New Roman;sans-serif"/>
                  <w:b w:val="false"/>
                  <w:strike w:val="false"/>
                  <w:dstrike w:val="false"/>
                  <w:color w:val="000000"/>
                  <w:sz w:val="20"/>
                  <w:u w:val="none"/>
                  <w:effect w:val="none"/>
                </w:rPr>
                <w:t>1</w:t>
              </w:r>
            </w:hyperlink>
          </w:p>
        </w:tc>
      </w:tr>
      <w:tr>
        <w:trPr/>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cc5ff0f4f7584c1c9f7c92c4362a9638_13">
              <w:r>
                <w:rPr>
                  <w:rStyle w:val="InternetLink"/>
                  <w:rFonts w:ascii="Times New Roman;sans-serif" w:hAnsi="Times New Roman;sans-serif"/>
                  <w:b w:val="false"/>
                  <w:color w:val="0000FF"/>
                  <w:sz w:val="20"/>
                  <w:u w:val="single"/>
                </w:rPr>
                <w:t>Unaudited Condensed Consolidated Financial Statements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pPr>
            <w:hyperlink w:anchor="icc5ff0f4f7584c1c9f7c92c4362a9638_13">
              <w:r>
                <w:rPr>
                  <w:rStyle w:val="InternetLink"/>
                  <w:rFonts w:ascii="Times New Roman;sans-serif" w:hAnsi="Times New Roman;sans-serif"/>
                  <w:b w:val="false"/>
                  <w:strike w:val="false"/>
                  <w:dstrike w:val="false"/>
                  <w:color w:val="000000"/>
                  <w:sz w:val="20"/>
                  <w:u w:val="none"/>
                  <w:effect w:val="none"/>
                </w:rPr>
                <w:t>1</w:t>
              </w:r>
            </w:hyperlink>
          </w:p>
        </w:tc>
      </w:tr>
      <w:tr>
        <w:trPr/>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cc5ff0f4f7584c1c9f7c92c4362a9638_16">
              <w:r>
                <w:rPr>
                  <w:rStyle w:val="InternetLink"/>
                  <w:rFonts w:ascii="Times New Roman;sans-serif" w:hAnsi="Times New Roman;sans-serif"/>
                  <w:b w:val="false"/>
                  <w:color w:val="000080"/>
                  <w:sz w:val="20"/>
                  <w:u w:val="single"/>
                </w:rPr>
                <w:t xml:space="preserve">Unaudited Condensed Consolidated Balance Sheets as of </w:t>
              </w:r>
            </w:hyperlink>
            <w:hyperlink w:anchor="icc5ff0f4f7584c1c9f7c92c4362a9638_16">
              <w:r>
                <w:rPr>
                  <w:rStyle w:val="InternetLink"/>
                  <w:rFonts w:ascii="Times New Roman;sans-serif" w:hAnsi="Times New Roman;sans-serif"/>
                  <w:b w:val="false"/>
                  <w:color w:val="000080"/>
                  <w:sz w:val="20"/>
                  <w:u w:val="single"/>
                </w:rPr>
                <w:t>June 24</w:t>
              </w:r>
            </w:hyperlink>
            <w:hyperlink w:anchor="icc5ff0f4f7584c1c9f7c92c4362a9638_16">
              <w:r>
                <w:rPr>
                  <w:rStyle w:val="InternetLink"/>
                  <w:rFonts w:ascii="Times New Roman;sans-serif" w:hAnsi="Times New Roman;sans-serif"/>
                  <w:b w:val="false"/>
                  <w:color w:val="000080"/>
                  <w:sz w:val="20"/>
                  <w:u w:val="single"/>
                </w:rPr>
                <w:t>, 2023 and September 24, 2022</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pPr>
            <w:hyperlink w:anchor="icc5ff0f4f7584c1c9f7c92c4362a9638_16">
              <w:r>
                <w:rPr>
                  <w:rStyle w:val="InternetLink"/>
                  <w:rFonts w:ascii="Times New Roman;sans-serif" w:hAnsi="Times New Roman;sans-serif"/>
                  <w:b w:val="false"/>
                  <w:strike w:val="false"/>
                  <w:dstrike w:val="false"/>
                  <w:color w:val="000000"/>
                  <w:sz w:val="20"/>
                  <w:u w:val="none"/>
                  <w:effect w:val="none"/>
                </w:rPr>
                <w:t>1</w:t>
              </w:r>
            </w:hyperlink>
          </w:p>
        </w:tc>
      </w:tr>
      <w:tr>
        <w:trPr/>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icc5ff0f4f7584c1c9f7c92c4362a9638_19">
              <w:r>
                <w:rPr>
                  <w:rStyle w:val="InternetLink"/>
                  <w:rFonts w:ascii="Times New Roman;sans-serif" w:hAnsi="Times New Roman;sans-serif"/>
                  <w:b w:val="false"/>
                  <w:color w:val="000080"/>
                  <w:sz w:val="20"/>
                  <w:u w:val="single"/>
                </w:rPr>
                <w:t xml:space="preserve">Unaudited Condensed Consolidated Statements of Operations for the Three and </w:t>
              </w:r>
            </w:hyperlink>
            <w:hyperlink w:anchor="icc5ff0f4f7584c1c9f7c92c4362a9638_19">
              <w:r>
                <w:rPr>
                  <w:rStyle w:val="InternetLink"/>
                  <w:rFonts w:ascii="Times New Roman;sans-serif" w:hAnsi="Times New Roman;sans-serif"/>
                  <w:b w:val="false"/>
                  <w:color w:val="000080"/>
                  <w:sz w:val="20"/>
                  <w:u w:val="single"/>
                </w:rPr>
                <w:t>Nine</w:t>
              </w:r>
            </w:hyperlink>
            <w:hyperlink w:anchor="icc5ff0f4f7584c1c9f7c92c4362a9638_19">
              <w:r>
                <w:rPr>
                  <w:rStyle w:val="InternetLink"/>
                  <w:rFonts w:ascii="Times New Roman;sans-serif" w:hAnsi="Times New Roman;sans-serif"/>
                  <w:b w:val="false"/>
                  <w:color w:val="000080"/>
                  <w:sz w:val="20"/>
                  <w:u w:val="single"/>
                </w:rPr>
                <w:t xml:space="preserve"> Months Ended </w:t>
              </w:r>
            </w:hyperlink>
            <w:hyperlink w:anchor="icc5ff0f4f7584c1c9f7c92c4362a9638_19">
              <w:r>
                <w:rPr>
                  <w:rStyle w:val="InternetLink"/>
                  <w:rFonts w:ascii="Times New Roman;sans-serif" w:hAnsi="Times New Roman;sans-serif"/>
                  <w:b w:val="false"/>
                  <w:color w:val="000080"/>
                  <w:sz w:val="20"/>
                  <w:u w:val="single"/>
                </w:rPr>
                <w:t>June 24</w:t>
              </w:r>
            </w:hyperlink>
            <w:hyperlink w:anchor="icc5ff0f4f7584c1c9f7c92c4362a9638_19">
              <w:r>
                <w:rPr>
                  <w:rStyle w:val="InternetLink"/>
                  <w:rFonts w:ascii="Times New Roman;sans-serif" w:hAnsi="Times New Roman;sans-serif"/>
                  <w:b w:val="false"/>
                  <w:color w:val="000080"/>
                  <w:sz w:val="20"/>
                  <w:u w:val="single"/>
                </w:rPr>
                <w:t xml:space="preserve">, 2023 and </w:t>
              </w:r>
            </w:hyperlink>
            <w:hyperlink w:anchor="icc5ff0f4f7584c1c9f7c92c4362a9638_19">
              <w:r>
                <w:rPr>
                  <w:rStyle w:val="InternetLink"/>
                  <w:rFonts w:ascii="Times New Roman;sans-serif" w:hAnsi="Times New Roman;sans-serif"/>
                  <w:b w:val="false"/>
                  <w:color w:val="000080"/>
                  <w:sz w:val="20"/>
                  <w:u w:val="single"/>
                </w:rPr>
                <w:t>June 25</w:t>
              </w:r>
            </w:hyperlink>
            <w:hyperlink w:anchor="icc5ff0f4f7584c1c9f7c92c4362a9638_19">
              <w:r>
                <w:rPr>
                  <w:rStyle w:val="InternetLink"/>
                  <w:rFonts w:ascii="Times New Roman;sans-serif" w:hAnsi="Times New Roman;sans-serif"/>
                  <w:b w:val="false"/>
                  <w:color w:val="000080"/>
                  <w:sz w:val="20"/>
                  <w:u w:val="single"/>
                </w:rPr>
                <w:t>, 2022</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pPr>
            <w:hyperlink w:anchor="icc5ff0f4f7584c1c9f7c92c4362a9638_19">
              <w:r>
                <w:rPr>
                  <w:rStyle w:val="InternetLink"/>
                  <w:rFonts w:ascii="Times New Roman;sans-serif" w:hAnsi="Times New Roman;sans-serif"/>
                  <w:b w:val="false"/>
                  <w:strike w:val="false"/>
                  <w:dstrike w:val="false"/>
                  <w:color w:val="000000"/>
                  <w:sz w:val="20"/>
                  <w:u w:val="none"/>
                  <w:effect w:val="none"/>
                </w:rPr>
                <w:t>3</w:t>
              </w:r>
            </w:hyperlink>
          </w:p>
        </w:tc>
      </w:tr>
      <w:tr>
        <w:trPr/>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cc5ff0f4f7584c1c9f7c92c4362a9638_22">
              <w:r>
                <w:rPr>
                  <w:rStyle w:val="InternetLink"/>
                  <w:rFonts w:ascii="Times New Roman;sans-serif" w:hAnsi="Times New Roman;sans-serif"/>
                  <w:b w:val="false"/>
                  <w:color w:val="000080"/>
                  <w:sz w:val="20"/>
                  <w:u w:val="single"/>
                </w:rPr>
                <w:t xml:space="preserve">Unaudited Condensed Consolidated Statements of Comprehensive Loss for the Three and </w:t>
              </w:r>
            </w:hyperlink>
            <w:hyperlink w:anchor="icc5ff0f4f7584c1c9f7c92c4362a9638_22">
              <w:r>
                <w:rPr>
                  <w:rStyle w:val="InternetLink"/>
                  <w:rFonts w:ascii="Times New Roman;sans-serif" w:hAnsi="Times New Roman;sans-serif"/>
                  <w:b w:val="false"/>
                  <w:color w:val="000080"/>
                  <w:sz w:val="20"/>
                  <w:u w:val="single"/>
                </w:rPr>
                <w:t>Nine</w:t>
              </w:r>
            </w:hyperlink>
            <w:hyperlink w:anchor="icc5ff0f4f7584c1c9f7c92c4362a9638_22">
              <w:r>
                <w:rPr>
                  <w:rStyle w:val="InternetLink"/>
                  <w:rFonts w:ascii="Times New Roman;sans-serif" w:hAnsi="Times New Roman;sans-serif"/>
                  <w:b w:val="false"/>
                  <w:color w:val="000080"/>
                  <w:sz w:val="20"/>
                  <w:u w:val="single"/>
                </w:rPr>
                <w:t xml:space="preserve"> Months Ended </w:t>
              </w:r>
            </w:hyperlink>
            <w:hyperlink w:anchor="icc5ff0f4f7584c1c9f7c92c4362a9638_22">
              <w:r>
                <w:rPr>
                  <w:rStyle w:val="InternetLink"/>
                  <w:rFonts w:ascii="Times New Roman;sans-serif" w:hAnsi="Times New Roman;sans-serif"/>
                  <w:b w:val="false"/>
                  <w:color w:val="000080"/>
                  <w:sz w:val="20"/>
                  <w:u w:val="single"/>
                </w:rPr>
                <w:t>June 24</w:t>
              </w:r>
            </w:hyperlink>
            <w:hyperlink w:anchor="icc5ff0f4f7584c1c9f7c92c4362a9638_22">
              <w:r>
                <w:rPr>
                  <w:rStyle w:val="InternetLink"/>
                  <w:rFonts w:ascii="Times New Roman;sans-serif" w:hAnsi="Times New Roman;sans-serif"/>
                  <w:b w:val="false"/>
                  <w:color w:val="000080"/>
                  <w:sz w:val="20"/>
                  <w:u w:val="single"/>
                </w:rPr>
                <w:t xml:space="preserve">, 2023 and </w:t>
              </w:r>
            </w:hyperlink>
            <w:hyperlink w:anchor="icc5ff0f4f7584c1c9f7c92c4362a9638_22">
              <w:r>
                <w:rPr>
                  <w:rStyle w:val="InternetLink"/>
                  <w:rFonts w:ascii="Times New Roman;sans-serif" w:hAnsi="Times New Roman;sans-serif"/>
                  <w:b w:val="false"/>
                  <w:color w:val="000080"/>
                  <w:sz w:val="20"/>
                  <w:u w:val="single"/>
                </w:rPr>
                <w:t>June 25</w:t>
              </w:r>
            </w:hyperlink>
            <w:hyperlink w:anchor="icc5ff0f4f7584c1c9f7c92c4362a9638_22">
              <w:r>
                <w:rPr>
                  <w:rStyle w:val="InternetLink"/>
                  <w:rFonts w:ascii="Times New Roman;sans-serif" w:hAnsi="Times New Roman;sans-serif"/>
                  <w:b w:val="false"/>
                  <w:color w:val="000080"/>
                  <w:sz w:val="20"/>
                  <w:u w:val="single"/>
                </w:rPr>
                <w:t>, 2022</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pPr>
            <w:hyperlink w:anchor="icc5ff0f4f7584c1c9f7c92c4362a9638_22">
              <w:r>
                <w:rPr>
                  <w:rStyle w:val="InternetLink"/>
                  <w:rFonts w:ascii="Times New Roman;sans-serif" w:hAnsi="Times New Roman;sans-serif"/>
                  <w:b w:val="false"/>
                  <w:strike w:val="false"/>
                  <w:dstrike w:val="false"/>
                  <w:color w:val="000000"/>
                  <w:sz w:val="20"/>
                  <w:u w:val="none"/>
                  <w:effect w:val="none"/>
                </w:rPr>
                <w:t>4</w:t>
              </w:r>
            </w:hyperlink>
          </w:p>
        </w:tc>
      </w:tr>
      <w:tr>
        <w:trPr/>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cc5ff0f4f7584c1c9f7c92c4362a9638_25">
              <w:r>
                <w:rPr>
                  <w:rStyle w:val="InternetLink"/>
                  <w:rFonts w:ascii="Times New Roman;sans-serif" w:hAnsi="Times New Roman;sans-serif"/>
                  <w:b w:val="false"/>
                  <w:color w:val="000080"/>
                  <w:sz w:val="20"/>
                  <w:u w:val="single"/>
                </w:rPr>
                <w:t xml:space="preserve">Unaudited Condensed Consolidated Statements of Changes in Redeemable Preferred and Common Units and Equity (Deficit) for the Three and </w:t>
              </w:r>
            </w:hyperlink>
            <w:hyperlink w:anchor="icc5ff0f4f7584c1c9f7c92c4362a9638_25">
              <w:r>
                <w:rPr>
                  <w:rStyle w:val="InternetLink"/>
                  <w:rFonts w:ascii="Times New Roman;sans-serif" w:hAnsi="Times New Roman;sans-serif"/>
                  <w:b w:val="false"/>
                  <w:color w:val="000080"/>
                  <w:sz w:val="20"/>
                  <w:u w:val="single"/>
                </w:rPr>
                <w:t>Nine</w:t>
              </w:r>
            </w:hyperlink>
            <w:hyperlink w:anchor="icc5ff0f4f7584c1c9f7c92c4362a9638_25">
              <w:r>
                <w:rPr>
                  <w:rStyle w:val="InternetLink"/>
                  <w:rFonts w:ascii="Times New Roman;sans-serif" w:hAnsi="Times New Roman;sans-serif"/>
                  <w:b w:val="false"/>
                  <w:color w:val="000080"/>
                  <w:sz w:val="20"/>
                  <w:u w:val="single"/>
                </w:rPr>
                <w:t xml:space="preserve"> Months Ended </w:t>
              </w:r>
            </w:hyperlink>
            <w:hyperlink w:anchor="icc5ff0f4f7584c1c9f7c92c4362a9638_25">
              <w:r>
                <w:rPr>
                  <w:rStyle w:val="InternetLink"/>
                  <w:rFonts w:ascii="Times New Roman;sans-serif" w:hAnsi="Times New Roman;sans-serif"/>
                  <w:b w:val="false"/>
                  <w:color w:val="000080"/>
                  <w:sz w:val="20"/>
                  <w:u w:val="single"/>
                </w:rPr>
                <w:t>June 24</w:t>
              </w:r>
            </w:hyperlink>
            <w:hyperlink w:anchor="icc5ff0f4f7584c1c9f7c92c4362a9638_25">
              <w:r>
                <w:rPr>
                  <w:rStyle w:val="InternetLink"/>
                  <w:rFonts w:ascii="Times New Roman;sans-serif" w:hAnsi="Times New Roman;sans-serif"/>
                  <w:b w:val="false"/>
                  <w:color w:val="000080"/>
                  <w:sz w:val="20"/>
                  <w:u w:val="single"/>
                </w:rPr>
                <w:t xml:space="preserve">, 2023 and </w:t>
              </w:r>
            </w:hyperlink>
            <w:hyperlink w:anchor="icc5ff0f4f7584c1c9f7c92c4362a9638_25">
              <w:r>
                <w:rPr>
                  <w:rStyle w:val="InternetLink"/>
                  <w:rFonts w:ascii="Times New Roman;sans-serif" w:hAnsi="Times New Roman;sans-serif"/>
                  <w:b w:val="false"/>
                  <w:color w:val="000080"/>
                  <w:sz w:val="20"/>
                  <w:u w:val="single"/>
                </w:rPr>
                <w:t>June 25</w:t>
              </w:r>
            </w:hyperlink>
            <w:hyperlink w:anchor="icc5ff0f4f7584c1c9f7c92c4362a9638_25">
              <w:r>
                <w:rPr>
                  <w:rStyle w:val="InternetLink"/>
                  <w:rFonts w:ascii="Times New Roman;sans-serif" w:hAnsi="Times New Roman;sans-serif"/>
                  <w:b w:val="false"/>
                  <w:color w:val="000080"/>
                  <w:sz w:val="20"/>
                  <w:u w:val="single"/>
                </w:rPr>
                <w:t>, 2022</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pPr>
            <w:hyperlink w:anchor="icc5ff0f4f7584c1c9f7c92c4362a9638_25">
              <w:r>
                <w:rPr>
                  <w:rStyle w:val="InternetLink"/>
                  <w:rFonts w:ascii="Times New Roman;sans-serif" w:hAnsi="Times New Roman;sans-serif"/>
                  <w:b w:val="false"/>
                  <w:strike w:val="false"/>
                  <w:dstrike w:val="false"/>
                  <w:color w:val="000000"/>
                  <w:sz w:val="20"/>
                  <w:u w:val="none"/>
                  <w:effect w:val="none"/>
                </w:rPr>
                <w:t>5</w:t>
              </w:r>
            </w:hyperlink>
          </w:p>
        </w:tc>
      </w:tr>
      <w:tr>
        <w:trPr/>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cc5ff0f4f7584c1c9f7c92c4362a9638_28">
              <w:r>
                <w:rPr>
                  <w:rStyle w:val="InternetLink"/>
                  <w:rFonts w:ascii="Times New Roman;sans-serif" w:hAnsi="Times New Roman;sans-serif"/>
                  <w:b w:val="false"/>
                  <w:color w:val="000080"/>
                  <w:sz w:val="20"/>
                  <w:u w:val="single"/>
                </w:rPr>
                <w:t xml:space="preserve">Unaudited Condensed Consolidated Statements of Cash Flows for the </w:t>
              </w:r>
            </w:hyperlink>
            <w:hyperlink w:anchor="icc5ff0f4f7584c1c9f7c92c4362a9638_28">
              <w:r>
                <w:rPr>
                  <w:rStyle w:val="InternetLink"/>
                  <w:rFonts w:ascii="Times New Roman;sans-serif" w:hAnsi="Times New Roman;sans-serif"/>
                  <w:b w:val="false"/>
                  <w:color w:val="000080"/>
                  <w:sz w:val="20"/>
                  <w:u w:val="single"/>
                </w:rPr>
                <w:t>Nine</w:t>
              </w:r>
            </w:hyperlink>
            <w:hyperlink w:anchor="icc5ff0f4f7584c1c9f7c92c4362a9638_28">
              <w:r>
                <w:rPr>
                  <w:rStyle w:val="InternetLink"/>
                  <w:rFonts w:ascii="Times New Roman;sans-serif" w:hAnsi="Times New Roman;sans-serif"/>
                  <w:b w:val="false"/>
                  <w:color w:val="000080"/>
                  <w:sz w:val="20"/>
                  <w:u w:val="single"/>
                </w:rPr>
                <w:t xml:space="preserve"> Months Ended </w:t>
              </w:r>
            </w:hyperlink>
            <w:hyperlink w:anchor="icc5ff0f4f7584c1c9f7c92c4362a9638_28">
              <w:r>
                <w:rPr>
                  <w:rStyle w:val="InternetLink"/>
                  <w:rFonts w:ascii="Times New Roman;sans-serif" w:hAnsi="Times New Roman;sans-serif"/>
                  <w:b w:val="false"/>
                  <w:color w:val="000080"/>
                  <w:sz w:val="20"/>
                  <w:u w:val="single"/>
                </w:rPr>
                <w:t>June 24</w:t>
              </w:r>
            </w:hyperlink>
            <w:hyperlink w:anchor="icc5ff0f4f7584c1c9f7c92c4362a9638_28">
              <w:r>
                <w:rPr>
                  <w:rStyle w:val="InternetLink"/>
                  <w:rFonts w:ascii="Times New Roman;sans-serif" w:hAnsi="Times New Roman;sans-serif"/>
                  <w:b w:val="false"/>
                  <w:color w:val="000080"/>
                  <w:sz w:val="20"/>
                  <w:u w:val="single"/>
                </w:rPr>
                <w:t xml:space="preserve">, 2023 and </w:t>
              </w:r>
            </w:hyperlink>
            <w:hyperlink w:anchor="icc5ff0f4f7584c1c9f7c92c4362a9638_28">
              <w:r>
                <w:rPr>
                  <w:rStyle w:val="InternetLink"/>
                  <w:rFonts w:ascii="Times New Roman;sans-serif" w:hAnsi="Times New Roman;sans-serif"/>
                  <w:b w:val="false"/>
                  <w:color w:val="000080"/>
                  <w:sz w:val="20"/>
                  <w:u w:val="single"/>
                </w:rPr>
                <w:t>June 25</w:t>
              </w:r>
            </w:hyperlink>
            <w:hyperlink w:anchor="icc5ff0f4f7584c1c9f7c92c4362a9638_28">
              <w:r>
                <w:rPr>
                  <w:rStyle w:val="InternetLink"/>
                  <w:rFonts w:ascii="Times New Roman;sans-serif" w:hAnsi="Times New Roman;sans-serif"/>
                  <w:b w:val="false"/>
                  <w:color w:val="000080"/>
                  <w:sz w:val="20"/>
                  <w:u w:val="single"/>
                </w:rPr>
                <w:t>, 2022</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pPr>
            <w:hyperlink w:anchor="icc5ff0f4f7584c1c9f7c92c4362a9638_28">
              <w:r>
                <w:rPr>
                  <w:rStyle w:val="InternetLink"/>
                  <w:rFonts w:ascii="Times New Roman;sans-serif" w:hAnsi="Times New Roman;sans-serif"/>
                  <w:b w:val="false"/>
                  <w:strike w:val="false"/>
                  <w:dstrike w:val="false"/>
                  <w:color w:val="000000"/>
                  <w:sz w:val="20"/>
                  <w:u w:val="none"/>
                  <w:effect w:val="none"/>
                </w:rPr>
                <w:t>8</w:t>
              </w:r>
            </w:hyperlink>
          </w:p>
        </w:tc>
      </w:tr>
      <w:tr>
        <w:trPr/>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cc5ff0f4f7584c1c9f7c92c4362a9638_31">
              <w:r>
                <w:rPr>
                  <w:rStyle w:val="InternetLink"/>
                  <w:rFonts w:ascii="Times New Roman;sans-serif" w:hAnsi="Times New Roman;sans-serif"/>
                  <w:b w:val="false"/>
                  <w:color w:val="0000FF"/>
                  <w:sz w:val="20"/>
                  <w:u w:val="single"/>
                </w:rPr>
                <w:t>Notes to Unaudited Condensed Consolidated Financial Statements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right"/>
              <w:rPr/>
            </w:pPr>
            <w:hyperlink w:anchor="icc5ff0f4f7584c1c9f7c92c4362a9638_31">
              <w:r>
                <w:rPr>
                  <w:rStyle w:val="InternetLink"/>
                  <w:rFonts w:ascii="Times New Roman;sans-serif" w:hAnsi="Times New Roman;sans-serif"/>
                  <w:b w:val="false"/>
                  <w:strike w:val="false"/>
                  <w:dstrike w:val="false"/>
                  <w:color w:val="000000"/>
                  <w:sz w:val="20"/>
                  <w:u w:val="none"/>
                  <w:effect w:val="none"/>
                </w:rPr>
                <w:t>9</w:t>
              </w:r>
            </w:hyperlink>
          </w:p>
        </w:tc>
      </w:tr>
      <w:tr>
        <w:trPr/>
        <w:tc>
          <w:tcPr>
            <w:tcW w:w="6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cc5ff0f4f7584c1c9f7c92c4362a9638_82">
              <w:r>
                <w:rPr>
                  <w:rStyle w:val="InternetLink"/>
                  <w:rFonts w:ascii="Times New Roman;sans-serif" w:hAnsi="Times New Roman;sans-serif"/>
                  <w:b w:val="false"/>
                  <w:color w:val="0E32E1"/>
                  <w:sz w:val="20"/>
                  <w:u w:val="single"/>
                </w:rPr>
                <w:t>Management’s Discussion and Analysis of Financial Condition and Results of Operations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right"/>
              <w:rPr/>
            </w:pPr>
            <w:hyperlink w:anchor="icc5ff0f4f7584c1c9f7c92c4362a9638_82">
              <w:r>
                <w:rPr>
                  <w:rStyle w:val="InternetLink"/>
                  <w:rFonts w:ascii="Times New Roman;sans-serif" w:hAnsi="Times New Roman;sans-serif"/>
                  <w:b w:val="false"/>
                  <w:strike w:val="false"/>
                  <w:dstrike w:val="false"/>
                  <w:color w:val="000000"/>
                  <w:sz w:val="20"/>
                  <w:u w:val="none"/>
                  <w:effect w:val="none"/>
                </w:rPr>
                <w:t>23</w:t>
              </w:r>
            </w:hyperlink>
          </w:p>
        </w:tc>
      </w:tr>
      <w:tr>
        <w:trPr/>
        <w:tc>
          <w:tcPr>
            <w:tcW w:w="6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cc5ff0f4f7584c1c9f7c92c4362a9638_85">
              <w:r>
                <w:rPr>
                  <w:rStyle w:val="InternetLink"/>
                  <w:rFonts w:ascii="Times New Roman;sans-serif" w:hAnsi="Times New Roman;sans-serif"/>
                  <w:b w:val="false"/>
                  <w:color w:val="0E32E1"/>
                  <w:sz w:val="20"/>
                  <w:u w:val="single"/>
                </w:rPr>
                <w:t>Quantitative and Qualitative Disclosures About Market Risk</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right"/>
              <w:rPr/>
            </w:pPr>
            <w:hyperlink w:anchor="icc5ff0f4f7584c1c9f7c92c4362a9638_85">
              <w:r>
                <w:rPr>
                  <w:rStyle w:val="InternetLink"/>
                  <w:rFonts w:ascii="Times New Roman;sans-serif" w:hAnsi="Times New Roman;sans-serif"/>
                  <w:b w:val="false"/>
                  <w:strike w:val="false"/>
                  <w:dstrike w:val="false"/>
                  <w:color w:val="000000"/>
                  <w:sz w:val="20"/>
                  <w:u w:val="none"/>
                  <w:effect w:val="none"/>
                </w:rPr>
                <w:t>35</w:t>
              </w:r>
            </w:hyperlink>
          </w:p>
        </w:tc>
      </w:tr>
      <w:tr>
        <w:trPr/>
        <w:tc>
          <w:tcPr>
            <w:tcW w:w="6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cc5ff0f4f7584c1c9f7c92c4362a9638_88">
              <w:r>
                <w:rPr>
                  <w:rStyle w:val="InternetLink"/>
                  <w:rFonts w:ascii="Times New Roman;sans-serif" w:hAnsi="Times New Roman;sans-serif"/>
                  <w:b w:val="false"/>
                  <w:color w:val="0E32E1"/>
                  <w:sz w:val="20"/>
                  <w:u w:val="single"/>
                </w:rPr>
                <w:t>Controls and Procedures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pPr>
            <w:hyperlink w:anchor="icc5ff0f4f7584c1c9f7c92c4362a9638_88">
              <w:r>
                <w:rPr>
                  <w:rStyle w:val="InternetLink"/>
                  <w:rFonts w:ascii="Times New Roman;sans-serif" w:hAnsi="Times New Roman;sans-serif"/>
                  <w:b w:val="false"/>
                  <w:strike w:val="false"/>
                  <w:dstrike w:val="false"/>
                  <w:color w:val="000000"/>
                  <w:sz w:val="20"/>
                  <w:u w:val="none"/>
                  <w:effect w:val="none"/>
                </w:rPr>
                <w:t>35</w:t>
              </w:r>
            </w:hyperlink>
          </w:p>
        </w:tc>
      </w:tr>
      <w:tr>
        <w:trPr/>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pPr>
            <w:hyperlink w:anchor="icc5ff0f4f7584c1c9f7c92c4362a9638_91">
              <w:r>
                <w:rPr>
                  <w:rStyle w:val="InternetLink"/>
                  <w:rFonts w:ascii="Times New Roman;sans-serif" w:hAnsi="Times New Roman;sans-serif"/>
                  <w:b/>
                  <w:color w:val="0E32E1"/>
                  <w:sz w:val="20"/>
                  <w:u w:val="single"/>
                </w:rPr>
                <w:t>Part II - Other Information</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cc5ff0f4f7584c1c9f7c92c4362a9638_94">
              <w:r>
                <w:rPr>
                  <w:rStyle w:val="InternetLink"/>
                  <w:rFonts w:ascii="Times New Roman;sans-serif" w:hAnsi="Times New Roman;sans-serif"/>
                  <w:b w:val="false"/>
                  <w:color w:val="0E32E1"/>
                  <w:sz w:val="20"/>
                  <w:u w:val="single"/>
                </w:rPr>
                <w:t>Legal Proceedings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right"/>
              <w:rPr/>
            </w:pPr>
            <w:hyperlink w:anchor="icc5ff0f4f7584c1c9f7c92c4362a9638_94">
              <w:r>
                <w:rPr>
                  <w:rStyle w:val="InternetLink"/>
                  <w:rFonts w:ascii="Times New Roman;sans-serif" w:hAnsi="Times New Roman;sans-serif"/>
                  <w:b w:val="false"/>
                  <w:strike w:val="false"/>
                  <w:dstrike w:val="false"/>
                  <w:color w:val="000000"/>
                  <w:sz w:val="20"/>
                  <w:u w:val="none"/>
                  <w:effect w:val="none"/>
                </w:rPr>
                <w:t>35</w:t>
              </w:r>
            </w:hyperlink>
          </w:p>
        </w:tc>
      </w:tr>
      <w:tr>
        <w:trPr/>
        <w:tc>
          <w:tcPr>
            <w:tcW w:w="6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cc5ff0f4f7584c1c9f7c92c4362a9638_97">
              <w:r>
                <w:rPr>
                  <w:rStyle w:val="InternetLink"/>
                  <w:rFonts w:ascii="Times New Roman;sans-serif" w:hAnsi="Times New Roman;sans-serif"/>
                  <w:b w:val="false"/>
                  <w:color w:val="0E32E1"/>
                  <w:sz w:val="20"/>
                  <w:u w:val="single"/>
                </w:rPr>
                <w:t>Risk Factors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right"/>
              <w:rPr/>
            </w:pPr>
            <w:hyperlink w:anchor="icc5ff0f4f7584c1c9f7c92c4362a9638_97">
              <w:r>
                <w:rPr>
                  <w:rStyle w:val="InternetLink"/>
                  <w:rFonts w:ascii="Times New Roman;sans-serif" w:hAnsi="Times New Roman;sans-serif"/>
                  <w:b w:val="false"/>
                  <w:strike w:val="false"/>
                  <w:dstrike w:val="false"/>
                  <w:color w:val="000000"/>
                  <w:sz w:val="20"/>
                  <w:u w:val="none"/>
                  <w:effect w:val="none"/>
                </w:rPr>
                <w:t>35</w:t>
              </w:r>
            </w:hyperlink>
          </w:p>
        </w:tc>
      </w:tr>
      <w:tr>
        <w:trPr/>
        <w:tc>
          <w:tcPr>
            <w:tcW w:w="6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cc5ff0f4f7584c1c9f7c92c4362a9638_100">
              <w:r>
                <w:rPr>
                  <w:rStyle w:val="InternetLink"/>
                  <w:rFonts w:ascii="Times New Roman;sans-serif" w:hAnsi="Times New Roman;sans-serif"/>
                  <w:b w:val="false"/>
                  <w:color w:val="0E32E1"/>
                  <w:sz w:val="20"/>
                  <w:u w:val="single"/>
                </w:rPr>
                <w:t>Unregistered Sales of Equity Securities and Use of Proceeds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right"/>
              <w:rPr/>
            </w:pPr>
            <w:hyperlink w:anchor="icc5ff0f4f7584c1c9f7c92c4362a9638_100">
              <w:r>
                <w:rPr>
                  <w:rStyle w:val="InternetLink"/>
                  <w:rFonts w:ascii="Times New Roman;sans-serif" w:hAnsi="Times New Roman;sans-serif"/>
                  <w:b w:val="false"/>
                  <w:strike w:val="false"/>
                  <w:dstrike w:val="false"/>
                  <w:color w:val="000000"/>
                  <w:sz w:val="20"/>
                  <w:u w:val="none"/>
                  <w:effect w:val="none"/>
                </w:rPr>
                <w:t>36</w:t>
              </w:r>
            </w:hyperlink>
          </w:p>
        </w:tc>
      </w:tr>
      <w:tr>
        <w:trPr/>
        <w:tc>
          <w:tcPr>
            <w:tcW w:w="6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cc5ff0f4f7584c1c9f7c92c4362a9638_103">
              <w:r>
                <w:rPr>
                  <w:rStyle w:val="InternetLink"/>
                  <w:rFonts w:ascii="Times New Roman;sans-serif" w:hAnsi="Times New Roman;sans-serif"/>
                  <w:b w:val="false"/>
                  <w:color w:val="0E32E1"/>
                  <w:sz w:val="20"/>
                  <w:u w:val="single"/>
                </w:rPr>
                <w:t>Defaults Upon Senior Securities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right"/>
              <w:rPr/>
            </w:pPr>
            <w:hyperlink w:anchor="icc5ff0f4f7584c1c9f7c92c4362a9638_103">
              <w:r>
                <w:rPr>
                  <w:rStyle w:val="InternetLink"/>
                  <w:rFonts w:ascii="Times New Roman;sans-serif" w:hAnsi="Times New Roman;sans-serif"/>
                  <w:b w:val="false"/>
                  <w:strike w:val="false"/>
                  <w:dstrike w:val="false"/>
                  <w:color w:val="000000"/>
                  <w:sz w:val="20"/>
                  <w:u w:val="none"/>
                  <w:effect w:val="none"/>
                </w:rPr>
                <w:t>36</w:t>
              </w:r>
            </w:hyperlink>
          </w:p>
        </w:tc>
      </w:tr>
      <w:tr>
        <w:trPr/>
        <w:tc>
          <w:tcPr>
            <w:tcW w:w="6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cc5ff0f4f7584c1c9f7c92c4362a9638_106">
              <w:r>
                <w:rPr>
                  <w:rStyle w:val="InternetLink"/>
                  <w:rFonts w:ascii="Times New Roman;sans-serif" w:hAnsi="Times New Roman;sans-serif"/>
                  <w:b w:val="false"/>
                  <w:color w:val="0E32E1"/>
                  <w:sz w:val="20"/>
                  <w:u w:val="single"/>
                </w:rPr>
                <w:t>Mine Safety Disclosures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right"/>
              <w:rPr/>
            </w:pPr>
            <w:hyperlink w:anchor="icc5ff0f4f7584c1c9f7c92c4362a9638_106">
              <w:r>
                <w:rPr>
                  <w:rStyle w:val="InternetLink"/>
                  <w:rFonts w:ascii="Times New Roman;sans-serif" w:hAnsi="Times New Roman;sans-serif"/>
                  <w:b w:val="false"/>
                  <w:strike w:val="false"/>
                  <w:dstrike w:val="false"/>
                  <w:color w:val="000000"/>
                  <w:sz w:val="20"/>
                  <w:u w:val="none"/>
                  <w:effect w:val="none"/>
                </w:rPr>
                <w:t>36</w:t>
              </w:r>
            </w:hyperlink>
          </w:p>
        </w:tc>
      </w:tr>
      <w:tr>
        <w:trPr/>
        <w:tc>
          <w:tcPr>
            <w:tcW w:w="6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cc5ff0f4f7584c1c9f7c92c4362a9638_109">
              <w:r>
                <w:rPr>
                  <w:rStyle w:val="InternetLink"/>
                  <w:rFonts w:ascii="Times New Roman;sans-serif" w:hAnsi="Times New Roman;sans-serif"/>
                  <w:b w:val="false"/>
                  <w:color w:val="0E32E1"/>
                  <w:sz w:val="20"/>
                  <w:u w:val="single"/>
                </w:rPr>
                <w:t>Other Information</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right"/>
              <w:rPr/>
            </w:pPr>
            <w:hyperlink w:anchor="icc5ff0f4f7584c1c9f7c92c4362a9638_109">
              <w:r>
                <w:rPr>
                  <w:rStyle w:val="InternetLink"/>
                  <w:rFonts w:ascii="Times New Roman;sans-serif" w:hAnsi="Times New Roman;sans-serif"/>
                  <w:b w:val="false"/>
                  <w:strike w:val="false"/>
                  <w:dstrike w:val="false"/>
                  <w:color w:val="000000"/>
                  <w:sz w:val="20"/>
                  <w:u w:val="none"/>
                  <w:effect w:val="none"/>
                </w:rPr>
                <w:t>36</w:t>
              </w:r>
            </w:hyperlink>
          </w:p>
        </w:tc>
      </w:tr>
      <w:tr>
        <w:trPr/>
        <w:tc>
          <w:tcPr>
            <w:tcW w:w="6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cc5ff0f4f7584c1c9f7c92c4362a9638_112">
              <w:r>
                <w:rPr>
                  <w:rStyle w:val="InternetLink"/>
                  <w:rFonts w:ascii="Times New Roman;sans-serif" w:hAnsi="Times New Roman;sans-serif"/>
                  <w:b w:val="false"/>
                  <w:color w:val="0E32E1"/>
                  <w:sz w:val="20"/>
                  <w:u w:val="single"/>
                </w:rPr>
                <w:t>Exhibits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pPr>
            <w:hyperlink w:anchor="icc5ff0f4f7584c1c9f7c92c4362a9638_112">
              <w:r>
                <w:rPr>
                  <w:rStyle w:val="InternetLink"/>
                  <w:rFonts w:ascii="Times New Roman;sans-serif" w:hAnsi="Times New Roman;sans-serif"/>
                  <w:b w:val="false"/>
                  <w:strike w:val="false"/>
                  <w:dstrike w:val="false"/>
                  <w:color w:val="000000"/>
                  <w:sz w:val="20"/>
                  <w:u w:val="none"/>
                  <w:effect w:val="none"/>
                </w:rPr>
                <w:t>37</w:t>
              </w:r>
            </w:hyperlink>
          </w:p>
        </w:tc>
      </w:tr>
      <w:tr>
        <w:trPr/>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icc5ff0f4f7584c1c9f7c92c4362a9638_115">
              <w:r>
                <w:rPr>
                  <w:rStyle w:val="InternetLink"/>
                  <w:rFonts w:ascii="Times New Roman;sans-serif" w:hAnsi="Times New Roman;sans-serif"/>
                  <w:b w:val="false"/>
                  <w:color w:val="0E32E1"/>
                  <w:sz w:val="20"/>
                  <w:u w:val="single"/>
                </w:rPr>
                <w:t>Signatures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pPr>
            <w:hyperlink w:anchor="icc5ff0f4f7584c1c9f7c92c4362a9638_115">
              <w:r>
                <w:rPr>
                  <w:rStyle w:val="InternetLink"/>
                  <w:rFonts w:ascii="Times New Roman;sans-serif" w:hAnsi="Times New Roman;sans-serif"/>
                  <w:b w:val="false"/>
                  <w:strike w:val="false"/>
                  <w:dstrike w:val="false"/>
                  <w:color w:val="000000"/>
                  <w:sz w:val="20"/>
                  <w:u w:val="none"/>
                  <w:effect w:val="none"/>
                </w:rPr>
                <w:t>38</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84785"/>
                <wp:effectExtent l="0" t="0" r="0" b="0"/>
                <wp:wrapNone/>
                <wp:docPr id="3" name="Frame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40" w:before="0" w:after="200"/>
        <w:jc w:val="center"/>
        <w:rPr>
          <w:rFonts w:ascii="Times New Roman;sans-serif" w:hAnsi="Times New Roman;sans-serif"/>
          <w:b/>
          <w:color w:val="000000"/>
          <w:sz w:val="20"/>
        </w:rPr>
      </w:pPr>
      <w:r>
        <w:rPr>
          <w:rFonts w:ascii="Times New Roman;sans-serif" w:hAnsi="Times New Roman;sans-serif"/>
          <w:b/>
          <w:color w:val="000000"/>
          <w:sz w:val="20"/>
        </w:rPr>
        <w:t>CAUTIONARY NOTE ON FORWARD-LOOKING STATEMENTS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within the meaning of the Private Securities Litigation Reform Act of 1995, Section 27A of the Securities Act of 1933, as amended (the “Securities Act”), and Section 21E of the Securities Exchange Act of 1934, as amended (the “Exchange Act”). These statements include, but are not limited to, our expectations or predictions of future financial or business performance or conditions. Forward-looking statements are inherently subject to risks, uncertainties and assumptions. Generally, statements that are not historical facts, including statements concerning our possible or assumed future actions, business strategies, events, backlog, or results of operations, are forward-looking statements. These statements may be preceded by, followed by or include the words “believes,” “estimates,” “expects,” “projects,” “forecasts,” “may,” “will,” “should,” “seeks,” “plans,” “scheduled,” “anticipates,” or “intends” or similar expressions.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contained in this Quarterly Report on Form 10-Q include, but are not limited to, statements about our ability to, or expectations that we will: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meet the technical requirements of existing or future supply agreements with our customers, including with respect to existing backlog;</w:t>
      </w:r>
    </w:p>
    <w:p>
      <w:pPr>
        <w:pStyle w:val="TextBody"/>
        <w:bidi w:val="0"/>
        <w:spacing w:lineRule="auto" w:line="288" w:before="60" w:after="283"/>
        <w:ind w:left="0" w:right="0" w:firstLine="360"/>
        <w:jc w:val="left"/>
        <w:rPr/>
      </w:pPr>
      <w:r>
        <w:rPr>
          <w:color w:val="000000"/>
        </w:rPr>
        <w:t>•</w:t>
      </w:r>
      <w:r>
        <w:rPr>
          <w:rFonts w:ascii="Times New Roman;sans-serif" w:hAnsi="Times New Roman;sans-serif"/>
          <w:b w:val="false"/>
          <w:color w:val="000000"/>
          <w:sz w:val="20"/>
        </w:rPr>
        <w:t>expand our target customer base and maintain our existing customer base;</w:t>
      </w:r>
    </w:p>
    <w:p>
      <w:pPr>
        <w:pStyle w:val="TextBody"/>
        <w:bidi w:val="0"/>
        <w:spacing w:lineRule="auto" w:line="288" w:before="60" w:after="283"/>
        <w:ind w:left="0" w:right="0" w:firstLine="360"/>
        <w:jc w:val="left"/>
        <w:rPr/>
      </w:pPr>
      <w:r>
        <w:rPr>
          <w:color w:val="000000"/>
        </w:rPr>
        <w:t>•</w:t>
      </w:r>
      <w:r>
        <w:rPr>
          <w:rFonts w:ascii="Times New Roman;sans-serif" w:hAnsi="Times New Roman;sans-serif"/>
          <w:b w:val="false"/>
          <w:color w:val="000000"/>
          <w:sz w:val="20"/>
        </w:rPr>
        <w:t>realize the benefits expected from the GreenBox Transaction;</w:t>
      </w:r>
    </w:p>
    <w:p>
      <w:pPr>
        <w:pStyle w:val="TextBody"/>
        <w:bidi w:val="0"/>
        <w:spacing w:lineRule="auto" w:line="288" w:before="60" w:after="283"/>
        <w:ind w:left="0" w:right="0" w:firstLine="360"/>
        <w:jc w:val="left"/>
        <w:rPr/>
      </w:pPr>
      <w:r>
        <w:rPr>
          <w:color w:val="000000"/>
        </w:rPr>
        <w:t>•</w:t>
      </w:r>
      <w:r>
        <w:rPr>
          <w:rFonts w:ascii="Times New Roman;sans-serif" w:hAnsi="Times New Roman;sans-serif"/>
          <w:b w:val="false"/>
          <w:color w:val="000000"/>
          <w:sz w:val="20"/>
        </w:rPr>
        <w:t>anticipate industry trends;</w:t>
      </w:r>
    </w:p>
    <w:p>
      <w:pPr>
        <w:pStyle w:val="TextBody"/>
        <w:bidi w:val="0"/>
        <w:spacing w:lineRule="auto" w:line="288" w:before="60" w:after="283"/>
        <w:ind w:left="0" w:right="0" w:firstLine="360"/>
        <w:jc w:val="left"/>
        <w:rPr/>
      </w:pPr>
      <w:r>
        <w:rPr>
          <w:color w:val="000000"/>
        </w:rPr>
        <w:t>•</w:t>
      </w:r>
      <w:r>
        <w:rPr>
          <w:rFonts w:ascii="Times New Roman;sans-serif" w:hAnsi="Times New Roman;sans-serif"/>
          <w:b w:val="false"/>
          <w:color w:val="000000"/>
          <w:sz w:val="20"/>
        </w:rPr>
        <w:t>maintain and enhance our platform;</w:t>
      </w:r>
    </w:p>
    <w:p>
      <w:pPr>
        <w:pStyle w:val="TextBody"/>
        <w:bidi w:val="0"/>
        <w:spacing w:lineRule="auto" w:line="288" w:before="60" w:after="283"/>
        <w:ind w:left="0" w:right="0" w:firstLine="360"/>
        <w:jc w:val="left"/>
        <w:rPr/>
      </w:pPr>
      <w:r>
        <w:rPr>
          <w:color w:val="000000"/>
        </w:rPr>
        <w:t>•</w:t>
      </w:r>
      <w:r>
        <w:rPr>
          <w:rFonts w:ascii="Times New Roman;sans-serif" w:hAnsi="Times New Roman;sans-serif"/>
          <w:b w:val="false"/>
          <w:color w:val="000000"/>
          <w:sz w:val="20"/>
        </w:rPr>
        <w:t>maintain the listing of the Symbotic Class A Common Stock on NASDAQ;</w:t>
      </w:r>
    </w:p>
    <w:p>
      <w:pPr>
        <w:pStyle w:val="TextBody"/>
        <w:bidi w:val="0"/>
        <w:spacing w:lineRule="auto" w:line="288" w:before="60" w:after="283"/>
        <w:ind w:left="0" w:right="0" w:firstLine="360"/>
        <w:jc w:val="left"/>
        <w:rPr/>
      </w:pPr>
      <w:r>
        <w:rPr>
          <w:color w:val="000000"/>
        </w:rPr>
        <w:t>•</w:t>
      </w:r>
      <w:r>
        <w:rPr>
          <w:rFonts w:ascii="Times New Roman;sans-serif" w:hAnsi="Times New Roman;sans-serif"/>
          <w:b w:val="false"/>
          <w:color w:val="000000"/>
          <w:sz w:val="20"/>
        </w:rPr>
        <w:t>develop, design, and sell systems that are differentiated from those of competitors;</w:t>
      </w:r>
    </w:p>
    <w:p>
      <w:pPr>
        <w:pStyle w:val="TextBody"/>
        <w:bidi w:val="0"/>
        <w:spacing w:lineRule="auto" w:line="288" w:before="60" w:after="283"/>
        <w:ind w:left="0" w:right="0" w:firstLine="360"/>
        <w:jc w:val="left"/>
        <w:rPr/>
      </w:pPr>
      <w:r>
        <w:rPr>
          <w:color w:val="000000"/>
        </w:rPr>
        <w:t>•</w:t>
      </w:r>
      <w:r>
        <w:rPr>
          <w:rFonts w:ascii="Times New Roman;sans-serif" w:hAnsi="Times New Roman;sans-serif"/>
          <w:b w:val="false"/>
          <w:color w:val="000000"/>
          <w:sz w:val="20"/>
        </w:rPr>
        <w:t>execute our research and development strategy;</w:t>
      </w:r>
    </w:p>
    <w:p>
      <w:pPr>
        <w:pStyle w:val="TextBody"/>
        <w:bidi w:val="0"/>
        <w:spacing w:lineRule="auto" w:line="288" w:before="60" w:after="283"/>
        <w:ind w:left="0" w:right="0" w:firstLine="360"/>
        <w:jc w:val="left"/>
        <w:rPr/>
      </w:pPr>
      <w:r>
        <w:rPr>
          <w:color w:val="000000"/>
        </w:rPr>
        <w:t>•</w:t>
      </w:r>
      <w:r>
        <w:rPr>
          <w:rFonts w:ascii="Times New Roman;sans-serif" w:hAnsi="Times New Roman;sans-serif"/>
          <w:b w:val="false"/>
          <w:color w:val="000000"/>
          <w:sz w:val="20"/>
        </w:rPr>
        <w:t>acquire, maintain, protect, and enforce intellectual property;</w:t>
      </w:r>
    </w:p>
    <w:p>
      <w:pPr>
        <w:pStyle w:val="TextBody"/>
        <w:bidi w:val="0"/>
        <w:spacing w:lineRule="auto" w:line="288" w:before="60" w:after="283"/>
        <w:ind w:left="0" w:right="0" w:firstLine="360"/>
        <w:jc w:val="left"/>
        <w:rPr/>
      </w:pPr>
      <w:r>
        <w:rPr>
          <w:color w:val="000000"/>
        </w:rPr>
        <w:t>•</w:t>
      </w:r>
      <w:r>
        <w:rPr>
          <w:rFonts w:ascii="Times New Roman;sans-serif" w:hAnsi="Times New Roman;sans-serif"/>
          <w:b w:val="false"/>
          <w:color w:val="000000"/>
          <w:sz w:val="20"/>
        </w:rPr>
        <w:t>attract, train, and retain effective officers, key employees, or directors;</w:t>
      </w:r>
    </w:p>
    <w:p>
      <w:pPr>
        <w:pStyle w:val="TextBody"/>
        <w:bidi w:val="0"/>
        <w:spacing w:lineRule="auto" w:line="288" w:before="60" w:after="283"/>
        <w:ind w:left="0" w:right="0" w:firstLine="360"/>
        <w:jc w:val="left"/>
        <w:rPr/>
      </w:pPr>
      <w:r>
        <w:rPr>
          <w:color w:val="000000"/>
        </w:rPr>
        <w:t>•</w:t>
      </w:r>
      <w:r>
        <w:rPr>
          <w:rFonts w:ascii="Times New Roman;sans-serif" w:hAnsi="Times New Roman;sans-serif"/>
          <w:b w:val="false"/>
          <w:color w:val="000000"/>
          <w:sz w:val="20"/>
        </w:rPr>
        <w:t>comply with laws and regulations applicable to our business;</w:t>
      </w:r>
    </w:p>
    <w:p>
      <w:pPr>
        <w:pStyle w:val="TextBody"/>
        <w:bidi w:val="0"/>
        <w:spacing w:lineRule="auto" w:line="288" w:before="60" w:after="283"/>
        <w:ind w:left="0" w:right="0" w:firstLine="360"/>
        <w:jc w:val="left"/>
        <w:rPr/>
      </w:pPr>
      <w:r>
        <w:rPr>
          <w:color w:val="000000"/>
        </w:rPr>
        <w:t>•</w:t>
      </w:r>
      <w:r>
        <w:rPr>
          <w:rFonts w:ascii="Times New Roman;sans-serif" w:hAnsi="Times New Roman;sans-serif"/>
          <w:b w:val="false"/>
          <w:color w:val="000000"/>
          <w:sz w:val="20"/>
        </w:rPr>
        <w:t>stay abreast of modified or new laws and regulations applicable to our business;</w:t>
      </w:r>
    </w:p>
    <w:p>
      <w:pPr>
        <w:pStyle w:val="TextBody"/>
        <w:bidi w:val="0"/>
        <w:spacing w:lineRule="auto" w:line="288" w:before="60" w:after="283"/>
        <w:ind w:left="0" w:right="0" w:firstLine="360"/>
        <w:jc w:val="left"/>
        <w:rPr/>
      </w:pPr>
      <w:r>
        <w:rPr>
          <w:color w:val="000000"/>
        </w:rPr>
        <w:t>•</w:t>
      </w:r>
      <w:r>
        <w:rPr>
          <w:rFonts w:ascii="Times New Roman;sans-serif" w:hAnsi="Times New Roman;sans-serif"/>
          <w:b w:val="false"/>
          <w:color w:val="000000"/>
          <w:sz w:val="20"/>
        </w:rPr>
        <w:t>execute its growth strategy;</w:t>
      </w:r>
    </w:p>
    <w:p>
      <w:pPr>
        <w:pStyle w:val="TextBody"/>
        <w:bidi w:val="0"/>
        <w:spacing w:lineRule="auto" w:line="288" w:before="60" w:after="283"/>
        <w:ind w:left="0" w:right="0" w:firstLine="360"/>
        <w:jc w:val="left"/>
        <w:rPr/>
      </w:pPr>
      <w:r>
        <w:rPr>
          <w:color w:val="000000"/>
        </w:rPr>
        <w:t>•</w:t>
      </w:r>
      <w:r>
        <w:rPr>
          <w:rFonts w:ascii="Times New Roman;sans-serif" w:hAnsi="Times New Roman;sans-serif"/>
          <w:b w:val="false"/>
          <w:color w:val="000000"/>
          <w:sz w:val="20"/>
        </w:rPr>
        <w:t>successfully defend litigation;</w:t>
      </w:r>
    </w:p>
    <w:p>
      <w:pPr>
        <w:pStyle w:val="TextBody"/>
        <w:bidi w:val="0"/>
        <w:spacing w:lineRule="auto" w:line="288" w:before="60" w:after="283"/>
        <w:ind w:left="0" w:right="0" w:firstLine="360"/>
        <w:jc w:val="left"/>
        <w:rPr/>
      </w:pPr>
      <w:r>
        <w:rPr>
          <w:color w:val="000000"/>
        </w:rPr>
        <w:t>•</w:t>
      </w:r>
      <w:r>
        <w:rPr>
          <w:rFonts w:ascii="Times New Roman;sans-serif" w:hAnsi="Times New Roman;sans-serif"/>
          <w:b w:val="false"/>
          <w:color w:val="000000"/>
          <w:sz w:val="20"/>
        </w:rPr>
        <w:t>issue equity securities in connection with future transactions;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meet future liquidity requirements and, if applicable, comply with restrictive covenants related to long-term indebtedness;</w:t>
      </w:r>
    </w:p>
    <w:p>
      <w:pPr>
        <w:pStyle w:val="TextBody"/>
        <w:bidi w:val="0"/>
        <w:spacing w:lineRule="auto" w:line="288" w:before="60" w:after="283"/>
        <w:ind w:left="0" w:right="0" w:firstLine="360"/>
        <w:jc w:val="left"/>
        <w:rPr/>
      </w:pPr>
      <w:r>
        <w:rPr>
          <w:color w:val="000000"/>
        </w:rPr>
        <w:t>•</w:t>
      </w:r>
      <w:r>
        <w:rPr>
          <w:rFonts w:ascii="Times New Roman;sans-serif" w:hAnsi="Times New Roman;sans-serif"/>
          <w:b w:val="false"/>
          <w:color w:val="000000"/>
          <w:sz w:val="20"/>
        </w:rPr>
        <w:t>timely and effectively remediate any material weaknesses in our internal control over financial reporting;</w:t>
      </w:r>
    </w:p>
    <w:p>
      <w:pPr>
        <w:pStyle w:val="TextBody"/>
        <w:bidi w:val="0"/>
        <w:spacing w:lineRule="auto" w:line="288" w:before="60" w:after="283"/>
        <w:ind w:left="0" w:right="0" w:firstLine="360"/>
        <w:jc w:val="left"/>
        <w:rPr/>
      </w:pPr>
      <w:r>
        <w:rPr>
          <w:color w:val="000000"/>
        </w:rPr>
        <w:t>•</w:t>
      </w:r>
      <w:r>
        <w:rPr>
          <w:rFonts w:ascii="Times New Roman;sans-serif" w:hAnsi="Times New Roman;sans-serif"/>
          <w:b w:val="false"/>
          <w:color w:val="000000"/>
          <w:sz w:val="20"/>
        </w:rPr>
        <w:t>anticipate rapid technological changes; and</w:t>
      </w:r>
    </w:p>
    <w:p>
      <w:pPr>
        <w:pStyle w:val="TextBody"/>
        <w:bidi w:val="0"/>
        <w:spacing w:lineRule="auto" w:line="288" w:before="60" w:after="283"/>
        <w:ind w:left="0" w:right="0" w:firstLine="360"/>
        <w:jc w:val="left"/>
        <w:rPr/>
      </w:pPr>
      <w:r>
        <w:rPr>
          <w:color w:val="000000"/>
        </w:rPr>
        <w:t>•</w:t>
      </w:r>
      <w:r>
        <w:rPr>
          <w:rFonts w:ascii="Times New Roman;sans-serif" w:hAnsi="Times New Roman;sans-serif"/>
          <w:b w:val="false"/>
          <w:color w:val="000000"/>
          <w:sz w:val="20"/>
        </w:rPr>
        <w:t>effectively respond to general economic and business conditions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made in this Quarterly Report on Form 10-Q also include, but are not limited to, statements with respect to:</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future performance of our business and operations;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backlog;</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expectations regarding revenues, expenses, adjusted EBITDA loss and anticipated cash needs;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expectations regarding cash flow, liquidity and sources of funding;</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expectations regarding capital expenditures;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effects of pending and future legislation;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business disruption;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occurrence of any event, change or other circumstance that could give rise to the termination of the agreements entered into in connection with the GreenBox Transaction;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effect of the announcement of the GreenBox Transaction on the Company’s business relationships, performance, and business generally;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84785"/>
                <wp:effectExtent l="0" t="0" r="0" b="0"/>
                <wp:wrapNone/>
                <wp:docPr id="4" name="Frame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amount of the costs, fees, expenses and other charges related to the GreenBox Transaction;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risks related to the impact of the COVID-19 pandemic on the financial condition and results of operations of Symbotic;</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disruption to the business due to our dependency on certain customers;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increasing competition in the warehouse automation industry;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consequences associated with joint ventures and legislative and regulatory actions and reforms;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any delays in the design, production or launch of our systems and products;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failure to meet customers’ requirements under existing or future contracts or customers’ expectations as to price or pricing structure;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any defects in new products or enhancements to existing products;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the fluctuation of operating results from period to period due to a number of factors, including the pace of customer adoption of our new products and services and any changes in our product mix that shift too far into lower gross margin products. </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Such forward-looking statements involve risks and uncertainties that may cause actual events, results or performance to differ materially from those indicated by such statements. Certain of these risks are identified and discussed in our Annual Report on Form 10-K filed with the U.S. Securities and Exchange Commission (“SEC”) on December 9, 2022. These risk factors will be important to consider in determining future results and should be reviewed in their entirety. These forward-looking statements are expressed in good faith, and we believe there is a reasonable basis for them. However, there can be no assurance that the events, results or trends identified in these forward-looking statements will occur or be achieved. Forward-looking statements are provided for the purposes of assisting the reader in understanding our financial performance, financial position and cash flows as of and for periods ended on certain dates and to present information about management’s current expectations and plans relating to the future, and the reader is cautioned not to place undue reliance on these forward-looking statements because of their inherent uncertainty and to appreciate the limited purposes for which they are being used by management. While we believe that the assumptions and expectations reflected in the forward-looking statements are reasonable based on information currently available to management, there is no assurance that such assumptions and expectations will prove to have been correct. </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forward-looking statements made in this Quarterly Report on Form 10-Q relate only to events as of the date on which the statements are made and are based on the beliefs, estimates, expectations and opinions of management on that date. We are not under any obligation, and expressly disclaim any obligation, to update, alter or otherwise revise any forward-looking statements made in this Quarterly Report on Form 10-Q, whether as a result of new information, future events or otherwise, except as required by law. </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factors previously disclosed in our Annual Report on Form 10-K filed with the SEC on December 9, 2022, and those identified elsewhere in this Quarterly Report on Form 10-Q, the following factors, among others, could cause actual results to differ materially from forward-looking statements or historical performance: failure to realize the benefits expected from adding to Symbotic’s base of outsourcing partners; the effects of pending and future legislation; and risks related to the impact of the COVID-19 pandemic on the financial condition and results of operations of Symbotic.</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Annualized, pro forma, projected and estimated numbers are not forecasts and may not reflect actual results.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this Quarterly Report on Form 10-Q, the terms “Symbotic,” “we,” “us,” and “our” refer to Symbotic Inc. and its subsidiaries, unless the context indicates otherwise. </w:t>
      </w:r>
    </w:p>
    <w:p>
      <w:pPr>
        <w:pStyle w:val="TextBody"/>
        <w:bidi w:val="0"/>
        <w:spacing w:before="60" w:after="283"/>
        <w:ind w:left="0" w:right="0" w:firstLine="360"/>
        <w:jc w:val="left"/>
        <w:rPr/>
      </w:pPr>
      <w:r>
        <w:rPr/>
      </w:r>
    </w:p>
    <w:p>
      <w:pPr>
        <w:pStyle w:val="TextBody"/>
        <w:bidi w:val="0"/>
        <w:spacing w:before="6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84785"/>
                <wp:effectExtent l="0" t="0" r="0" b="0"/>
                <wp:wrapNone/>
                <wp:docPr id="5" name="Frame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w10:wrap type="none"/>
              </v:rect>
            </w:pict>
          </mc:Fallback>
        </mc:AlternateContent>
      </w:r>
    </w:p>
    <w:p>
      <w:pPr>
        <w:pStyle w:val="TextBody"/>
        <w:bidi w:val="0"/>
        <w:spacing w:lineRule="auto" w:line="288" w:before="60" w:after="283"/>
        <w:ind w:left="0" w:right="0" w:firstLine="360"/>
        <w:jc w:val="left"/>
        <w:rPr/>
      </w:pPr>
      <w:hyperlink w:anchor="icc5ff0f4f7584c1c9f7c92c4362a9638_7">
        <w:r>
          <w:rPr>
            <w:rStyle w:val="InternetLink"/>
            <w:rFonts w:ascii="Times New Roman;sans-serif" w:hAnsi="Times New Roman;sans-serif"/>
            <w:b w:val="false"/>
            <w:color w:val="0000FF"/>
            <w:sz w:val="20"/>
            <w:u w:val="single"/>
          </w:rPr>
          <w:t>Table of Contents</w:t>
        </w:r>
      </w:hyperlink>
    </w:p>
    <w:p>
      <w:pPr>
        <w:pStyle w:val="TextBody"/>
        <w:bidi w:val="0"/>
        <w:spacing w:before="6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pStyle w:val="TextBody"/>
        <w:bidi w:val="0"/>
        <w:spacing w:lineRule="auto" w:line="288" w:before="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Item 1. Unaudited Condensed Consolidated Financial Statements</w: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 xml:space="preserve">Symbotic Inc. </w:t>
      </w:r>
    </w:p>
    <w:p>
      <w:pPr>
        <w:pStyle w:val="TextBody"/>
        <w:bidi w:val="0"/>
        <w:spacing w:lineRule="auto" w:line="288" w:before="6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 xml:space="preserve">Unaudited Condensed Consolidated Balance Sheets </w:t>
      </w:r>
    </w:p>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2759"/>
        <w:gridCol w:w="2304"/>
        <w:gridCol w:w="2254"/>
        <w:gridCol w:w="211"/>
        <w:gridCol w:w="829"/>
        <w:gridCol w:w="109"/>
        <w:gridCol w:w="109"/>
        <w:gridCol w:w="109"/>
        <w:gridCol w:w="109"/>
        <w:gridCol w:w="249"/>
        <w:gridCol w:w="977"/>
        <w:gridCol w:w="186"/>
      </w:tblGrid>
      <w:tr>
        <w:trPr/>
        <w:tc>
          <w:tcPr>
            <w:tcW w:w="2759"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24, 2022</w:t>
            </w:r>
          </w:p>
        </w:tc>
      </w:tr>
      <w:tr>
        <w:trPr/>
        <w:tc>
          <w:tcPr>
            <w:tcW w:w="10205" w:type="dxa"/>
            <w:gridSpan w:val="12"/>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353,457 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accounts receivable</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101,816 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expenses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605,398 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at cost</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48,722 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(23,844)</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24,878 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969,740 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631,263 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EQUITY</w:t>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68,448 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47,312 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tax payable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current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394,244 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522,957 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long-term</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562,323 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12)</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3,000,000,000 shares authorized, 62,441,709 and 57,718,836 shares issued and outstanding at June 24, 2023 and September 24, 2022, respectively</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84785"/>
                <wp:effectExtent l="0" t="0" r="0" b="0"/>
                <wp:wrapNone/>
                <wp:docPr id="6" name="Frame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60" w:after="283"/>
        <w:ind w:left="0" w:right="0" w:firstLine="360"/>
        <w:jc w:val="left"/>
        <w:rPr/>
      </w:pPr>
      <w:hyperlink w:anchor="icc5ff0f4f7584c1c9f7c92c4362a9638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821"/>
        <w:gridCol w:w="2350"/>
        <w:gridCol w:w="2356"/>
        <w:gridCol w:w="211"/>
        <w:gridCol w:w="831"/>
        <w:gridCol w:w="109"/>
        <w:gridCol w:w="109"/>
        <w:gridCol w:w="109"/>
        <w:gridCol w:w="109"/>
        <w:gridCol w:w="211"/>
        <w:gridCol w:w="831"/>
        <w:gridCol w:w="158"/>
      </w:tblGrid>
      <w:tr>
        <w:trPr/>
        <w:tc>
          <w:tcPr>
            <w:tcW w:w="2821"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Class V-1 Common Stock, 1,000,000,000 shares authorized, 76,086,745 and 79,237,388 shares issued and outstanding at June 24, 2023 and September 24, 2022, respectively</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Class V-3 Common Stock, 450,000,000 shares authorized, 416,933,025 shares issued and outstanding at June 24, 2023 and September 24, 2022</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 - warrants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58,126 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1,237,865 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(1,286,569)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68,940 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969,740 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631,263 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360"/>
        <w:jc w:val="center"/>
        <w:rPr/>
      </w:pPr>
      <w:r>
        <w:rPr/>
      </w:r>
    </w:p>
    <w:p>
      <w:pPr>
        <w:pStyle w:val="TextBody"/>
        <w:bidi w:val="0"/>
        <w:spacing w:lineRule="auto" w:line="268" w:before="60" w:after="283"/>
        <w:ind w:left="0" w:right="0" w:firstLine="360"/>
        <w:jc w:val="center"/>
        <w:rPr/>
      </w:pPr>
      <w:r>
        <w:rPr>
          <w:rFonts w:ascii="Times New Roman;sans-serif" w:hAnsi="Times New Roman;sans-serif"/>
          <w:b w:val="false"/>
          <w:color w:val="000000"/>
          <w:sz w:val="20"/>
        </w:rPr>
        <w:t>The accompanying notes are an integral part of these unaudited condensed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84785"/>
                <wp:effectExtent l="0" t="0" r="0" b="0"/>
                <wp:wrapNone/>
                <wp:docPr id="7" name="Frame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60" w:after="283"/>
        <w:ind w:left="0" w:right="0" w:firstLine="360"/>
        <w:jc w:val="left"/>
        <w:rPr/>
      </w:pPr>
      <w:hyperlink w:anchor="icc5ff0f4f7584c1c9f7c92c4362a963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Symbotic Inc.</w:t>
      </w:r>
    </w:p>
    <w:p>
      <w:pPr>
        <w:pStyle w:val="TextBody"/>
        <w:bidi w:val="0"/>
        <w:spacing w:lineRule="auto" w:line="288" w:before="6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 xml:space="preserve">Unaudited Condensed Consolidated Statements of Operations </w:t>
      </w:r>
    </w:p>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information)</w:t>
      </w:r>
    </w:p>
    <w:p>
      <w:pPr>
        <w:pStyle w:val="TextBody"/>
        <w:bidi w:val="0"/>
        <w:spacing w:before="60" w:after="283"/>
        <w:ind w:left="0" w:right="0" w:firstLine="360"/>
        <w:jc w:val="center"/>
        <w:rPr/>
      </w:pPr>
      <w:r>
        <w:rPr/>
      </w:r>
    </w:p>
    <w:p>
      <w:pPr>
        <w:pStyle w:val="TextBody"/>
        <w:bidi w:val="0"/>
        <w:spacing w:before="60" w:after="283"/>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748"/>
        <w:gridCol w:w="1330"/>
        <w:gridCol w:w="1339"/>
        <w:gridCol w:w="219"/>
        <w:gridCol w:w="862"/>
        <w:gridCol w:w="109"/>
        <w:gridCol w:w="109"/>
        <w:gridCol w:w="109"/>
        <w:gridCol w:w="109"/>
        <w:gridCol w:w="219"/>
        <w:gridCol w:w="862"/>
        <w:gridCol w:w="109"/>
        <w:gridCol w:w="109"/>
        <w:gridCol w:w="109"/>
        <w:gridCol w:w="109"/>
        <w:gridCol w:w="219"/>
        <w:gridCol w:w="862"/>
        <w:gridCol w:w="109"/>
        <w:gridCol w:w="109"/>
        <w:gridCol w:w="109"/>
        <w:gridCol w:w="109"/>
        <w:gridCol w:w="219"/>
        <w:gridCol w:w="862"/>
        <w:gridCol w:w="156"/>
      </w:tblGrid>
      <w:tr>
        <w:trPr/>
        <w:tc>
          <w:tcPr>
            <w:tcW w:w="1748"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For the Nine Months Ended</w:t>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25, 2022</w:t>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Systems</w:t>
            </w:r>
          </w:p>
        </w:tc>
        <w:tc>
          <w:tcPr>
            <w:tcW w:w="219"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330,297 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maintenance and support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services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revenue: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maintenance and support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services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654,053 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285,982 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62,918 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148,985 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(86,067)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(85,831)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(85,831)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Legacy Warehouse unitholders prior to the Business Combination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share of Class A Common Stock:</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19"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Class A Common Stock outstanding:</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61,782,886 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50,664,146 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60,160,039 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50,664,146 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360"/>
        <w:jc w:val="center"/>
        <w:rPr/>
      </w:pPr>
      <w:r>
        <w:rPr/>
      </w:r>
    </w:p>
    <w:p>
      <w:pPr>
        <w:pStyle w:val="TextBody"/>
        <w:bidi w:val="0"/>
        <w:spacing w:lineRule="auto" w:line="268" w:before="60" w:after="283"/>
        <w:ind w:left="0" w:right="0" w:firstLine="360"/>
        <w:jc w:val="center"/>
        <w:rPr/>
      </w:pPr>
      <w:r>
        <w:rPr>
          <w:rFonts w:ascii="Times New Roman;sans-serif" w:hAnsi="Times New Roman;sans-serif"/>
          <w:b w:val="false"/>
          <w:color w:val="000000"/>
          <w:sz w:val="20"/>
        </w:rPr>
        <w:t>The accompanying notes are an integral part of these unaudited condensed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84785"/>
                <wp:effectExtent l="0" t="0" r="0" b="0"/>
                <wp:wrapNone/>
                <wp:docPr id="8" name="Frame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60" w:after="283"/>
        <w:ind w:left="0" w:right="0" w:firstLine="360"/>
        <w:jc w:val="left"/>
        <w:rPr/>
      </w:pPr>
      <w:hyperlink w:anchor="icc5ff0f4f7584c1c9f7c92c4362a963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Symbotic Inc.</w:t>
      </w:r>
    </w:p>
    <w:p>
      <w:pPr>
        <w:pStyle w:val="TextBody"/>
        <w:bidi w:val="0"/>
        <w:spacing w:lineRule="auto" w:line="288" w:before="6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 xml:space="preserve">Unaudited Condensed Consolidated Statements of Comprehensive Loss </w:t>
      </w:r>
    </w:p>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before="60" w:after="283"/>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783"/>
        <w:gridCol w:w="1453"/>
        <w:gridCol w:w="1476"/>
        <w:gridCol w:w="213"/>
        <w:gridCol w:w="769"/>
        <w:gridCol w:w="110"/>
        <w:gridCol w:w="109"/>
        <w:gridCol w:w="109"/>
        <w:gridCol w:w="109"/>
        <w:gridCol w:w="213"/>
        <w:gridCol w:w="769"/>
        <w:gridCol w:w="110"/>
        <w:gridCol w:w="109"/>
        <w:gridCol w:w="109"/>
        <w:gridCol w:w="109"/>
        <w:gridCol w:w="211"/>
        <w:gridCol w:w="864"/>
        <w:gridCol w:w="109"/>
        <w:gridCol w:w="109"/>
        <w:gridCol w:w="109"/>
        <w:gridCol w:w="109"/>
        <w:gridCol w:w="213"/>
        <w:gridCol w:w="769"/>
        <w:gridCol w:w="162"/>
      </w:tblGrid>
      <w:tr>
        <w:trPr/>
        <w:tc>
          <w:tcPr>
            <w:tcW w:w="1783"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For the Nine Months Ended</w:t>
            </w:r>
          </w:p>
        </w:tc>
      </w:tr>
      <w:tr>
        <w:trPr/>
        <w:tc>
          <w:tcPr>
            <w:tcW w:w="4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25, 2022</w:t>
            </w:r>
          </w:p>
        </w:tc>
      </w:tr>
      <w:tr>
        <w:trPr/>
        <w:tc>
          <w:tcPr>
            <w:tcW w:w="471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(39,077)</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(85,831)</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Legacy Warehouse unitholders prior to the Business Combination</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(34,730)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(4,347)</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Changes in unrealized gain on investments, net of income taxes of $— for the three and nine months ended June 24, 2023</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other comprehensive income (loss) attributable to Legacy Warehouse unitholders prior to the Business Combination</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other comprehensive income (loss) attributable to noncontrolling interests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attributable to common stockholders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(36,809)</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(32,973)</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(85,878)</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loss attributable to Legacy Warehouse unitholders prior to the Business Combination</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(72,097)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loss attributable to noncontrolling interests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loss attributable to common stockholders</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(4,095)</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360"/>
        <w:jc w:val="center"/>
        <w:rPr/>
      </w:pPr>
      <w:r>
        <w:rPr/>
      </w:r>
    </w:p>
    <w:p>
      <w:pPr>
        <w:pStyle w:val="TextBody"/>
        <w:bidi w:val="0"/>
        <w:spacing w:lineRule="auto" w:line="268" w:before="60" w:after="283"/>
        <w:ind w:left="0" w:right="0" w:firstLine="360"/>
        <w:jc w:val="center"/>
        <w:rPr/>
      </w:pPr>
      <w:r>
        <w:rPr>
          <w:rFonts w:ascii="Times New Roman;sans-serif" w:hAnsi="Times New Roman;sans-serif"/>
          <w:b w:val="false"/>
          <w:color w:val="000000"/>
          <w:sz w:val="20"/>
        </w:rPr>
        <w:t>The accompanying notes are an integral part of these unaudited condensed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84785"/>
                <wp:effectExtent l="0" t="0" r="0" b="0"/>
                <wp:wrapNone/>
                <wp:docPr id="9" name="Frame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60" w:after="283"/>
        <w:ind w:left="0" w:right="0" w:firstLine="360"/>
        <w:jc w:val="left"/>
        <w:rPr/>
      </w:pPr>
      <w:hyperlink w:anchor="icc5ff0f4f7584c1c9f7c92c4362a963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Symbotic Inc.</w:t>
      </w:r>
    </w:p>
    <w:p>
      <w:pPr>
        <w:pStyle w:val="TextBody"/>
        <w:bidi w:val="0"/>
        <w:spacing w:lineRule="auto" w:line="288" w:before="6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Changes in Redeemable Preferred and Common Units and Equity (Deficit)</w:t>
      </w:r>
    </w:p>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unit and share information)</w:t>
      </w:r>
    </w:p>
    <w:p>
      <w:pPr>
        <w:pStyle w:val="TextBody"/>
        <w:bidi w:val="0"/>
        <w:spacing w:before="60" w:after="283"/>
        <w:ind w:left="0" w:right="0" w:firstLine="360"/>
        <w:jc w:val="center"/>
        <w:rPr/>
      </w:pPr>
      <w:r>
        <w:rPr/>
      </w:r>
    </w:p>
    <w:p>
      <w:pPr>
        <w:pStyle w:val="TextBody"/>
        <w:bidi w:val="0"/>
        <w:spacing w:before="60" w:after="283"/>
        <w:ind w:left="0" w:right="0" w:firstLine="360"/>
        <w:jc w:val="center"/>
        <w:rPr/>
      </w:pPr>
      <w:r>
        <w:rPr/>
      </w:r>
    </w:p>
    <w:tbl>
      <w:tblPr>
        <w:tblW w:w="16765" w:type="dxa"/>
        <w:jc w:val="left"/>
        <w:tblInd w:w="0" w:type="dxa"/>
        <w:tblLayout w:type="fixed"/>
        <w:tblCellMar>
          <w:top w:w="28" w:type="dxa"/>
          <w:left w:w="28" w:type="dxa"/>
          <w:bottom w:w="28" w:type="dxa"/>
          <w:right w:w="28" w:type="dxa"/>
        </w:tblCellMar>
      </w:tblPr>
      <w:tblGrid>
        <w:gridCol w:w="755"/>
        <w:gridCol w:w="215"/>
        <w:gridCol w:w="216"/>
        <w:gridCol w:w="304"/>
        <w:gridCol w:w="304"/>
        <w:gridCol w:w="308"/>
        <w:gridCol w:w="109"/>
        <w:gridCol w:w="109"/>
        <w:gridCol w:w="109"/>
        <w:gridCol w:w="318"/>
        <w:gridCol w:w="324"/>
        <w:gridCol w:w="109"/>
        <w:gridCol w:w="109"/>
        <w:gridCol w:w="109"/>
        <w:gridCol w:w="109"/>
        <w:gridCol w:w="304"/>
        <w:gridCol w:w="304"/>
        <w:gridCol w:w="308"/>
        <w:gridCol w:w="109"/>
        <w:gridCol w:w="109"/>
        <w:gridCol w:w="109"/>
        <w:gridCol w:w="343"/>
        <w:gridCol w:w="299"/>
        <w:gridCol w:w="109"/>
        <w:gridCol w:w="109"/>
        <w:gridCol w:w="109"/>
        <w:gridCol w:w="109"/>
        <w:gridCol w:w="334"/>
        <w:gridCol w:w="334"/>
        <w:gridCol w:w="338"/>
        <w:gridCol w:w="109"/>
        <w:gridCol w:w="109"/>
        <w:gridCol w:w="109"/>
        <w:gridCol w:w="311"/>
        <w:gridCol w:w="331"/>
        <w:gridCol w:w="109"/>
        <w:gridCol w:w="109"/>
        <w:gridCol w:w="109"/>
        <w:gridCol w:w="109"/>
        <w:gridCol w:w="198"/>
        <w:gridCol w:w="652"/>
        <w:gridCol w:w="111"/>
        <w:gridCol w:w="109"/>
        <w:gridCol w:w="109"/>
        <w:gridCol w:w="109"/>
        <w:gridCol w:w="196"/>
        <w:gridCol w:w="871"/>
        <w:gridCol w:w="109"/>
        <w:gridCol w:w="109"/>
        <w:gridCol w:w="109"/>
        <w:gridCol w:w="109"/>
        <w:gridCol w:w="292"/>
        <w:gridCol w:w="851"/>
        <w:gridCol w:w="163"/>
        <w:gridCol w:w="109"/>
        <w:gridCol w:w="109"/>
        <w:gridCol w:w="109"/>
        <w:gridCol w:w="196"/>
        <w:gridCol w:w="886"/>
        <w:gridCol w:w="109"/>
        <w:gridCol w:w="109"/>
        <w:gridCol w:w="109"/>
        <w:gridCol w:w="109"/>
        <w:gridCol w:w="259"/>
        <w:gridCol w:w="856"/>
        <w:gridCol w:w="146"/>
        <w:gridCol w:w="327"/>
        <w:gridCol w:w="196"/>
        <w:gridCol w:w="646"/>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9" w:type="dxa"/>
            <w:gridSpan w:val="6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24, 2023</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Class A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Class V-1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Class V-3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 - Warrants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Total Equity (Deficit)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25, 2023</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61,283,689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77,080,090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416,933,025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58,126 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(2,086)</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(1,299,880)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19,073 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stock plans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164,675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Exchange of Class V-1 common stock</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993,345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(993,345)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32,840 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June 24, 2023</w:t>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62,441,709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76,086,745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416,933,025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58,126 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1,250,355 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(1,304,227)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19,155 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6765" w:type="dxa"/>
        <w:jc w:val="left"/>
        <w:tblInd w:w="0" w:type="dxa"/>
        <w:tblLayout w:type="fixed"/>
        <w:tblCellMar>
          <w:top w:w="28" w:type="dxa"/>
          <w:left w:w="28" w:type="dxa"/>
          <w:bottom w:w="28" w:type="dxa"/>
          <w:right w:w="28" w:type="dxa"/>
        </w:tblCellMar>
      </w:tblPr>
      <w:tblGrid>
        <w:gridCol w:w="630"/>
        <w:gridCol w:w="277"/>
        <w:gridCol w:w="279"/>
        <w:gridCol w:w="304"/>
        <w:gridCol w:w="304"/>
        <w:gridCol w:w="308"/>
        <w:gridCol w:w="109"/>
        <w:gridCol w:w="109"/>
        <w:gridCol w:w="109"/>
        <w:gridCol w:w="318"/>
        <w:gridCol w:w="324"/>
        <w:gridCol w:w="109"/>
        <w:gridCol w:w="109"/>
        <w:gridCol w:w="109"/>
        <w:gridCol w:w="109"/>
        <w:gridCol w:w="304"/>
        <w:gridCol w:w="304"/>
        <w:gridCol w:w="308"/>
        <w:gridCol w:w="109"/>
        <w:gridCol w:w="109"/>
        <w:gridCol w:w="109"/>
        <w:gridCol w:w="343"/>
        <w:gridCol w:w="299"/>
        <w:gridCol w:w="109"/>
        <w:gridCol w:w="109"/>
        <w:gridCol w:w="109"/>
        <w:gridCol w:w="109"/>
        <w:gridCol w:w="334"/>
        <w:gridCol w:w="334"/>
        <w:gridCol w:w="338"/>
        <w:gridCol w:w="109"/>
        <w:gridCol w:w="109"/>
        <w:gridCol w:w="109"/>
        <w:gridCol w:w="311"/>
        <w:gridCol w:w="331"/>
        <w:gridCol w:w="109"/>
        <w:gridCol w:w="109"/>
        <w:gridCol w:w="109"/>
        <w:gridCol w:w="109"/>
        <w:gridCol w:w="198"/>
        <w:gridCol w:w="652"/>
        <w:gridCol w:w="111"/>
        <w:gridCol w:w="109"/>
        <w:gridCol w:w="109"/>
        <w:gridCol w:w="109"/>
        <w:gridCol w:w="196"/>
        <w:gridCol w:w="871"/>
        <w:gridCol w:w="109"/>
        <w:gridCol w:w="109"/>
        <w:gridCol w:w="109"/>
        <w:gridCol w:w="109"/>
        <w:gridCol w:w="292"/>
        <w:gridCol w:w="851"/>
        <w:gridCol w:w="163"/>
        <w:gridCol w:w="109"/>
        <w:gridCol w:w="109"/>
        <w:gridCol w:w="109"/>
        <w:gridCol w:w="196"/>
        <w:gridCol w:w="886"/>
        <w:gridCol w:w="109"/>
        <w:gridCol w:w="109"/>
        <w:gridCol w:w="109"/>
        <w:gridCol w:w="109"/>
        <w:gridCol w:w="259"/>
        <w:gridCol w:w="856"/>
        <w:gridCol w:w="146"/>
        <w:gridCol w:w="327"/>
        <w:gridCol w:w="196"/>
        <w:gridCol w:w="646"/>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9" w:type="dxa"/>
            <w:gridSpan w:val="6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June 24, 2023</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Class A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Class V-1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Class V-3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 - Warrants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Total Equity (Deficit)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September 24, 2022</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57,718,836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79,237,388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416,933,025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1,237,865 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(2,294)</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(1,286,569)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61,756 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stock plans, net of shares withheld for employee taxes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1,841,753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employee stock purchase plan, net of shares withheld for employee taxes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Exchange of Class V-1 common stock</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2,782,949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(2,782,949)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Cancellation of Class V-1 common stock</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(367,694)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108,472 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121,762 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June 24, 2023</w:t>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62,441,709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76,086,745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416,933,025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58,126 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1,250,355 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(1,304,227)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19,155 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84785"/>
                <wp:effectExtent l="0" t="0" r="0" b="0"/>
                <wp:wrapNone/>
                <wp:docPr id="10" name="Frame1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60" w:after="283"/>
        <w:ind w:left="0" w:right="0" w:firstLine="360"/>
        <w:jc w:val="left"/>
        <w:rPr/>
      </w:pPr>
      <w:hyperlink w:anchor="icc5ff0f4f7584c1c9f7c92c4362a9638_7">
        <w:r>
          <w:rPr>
            <w:rStyle w:val="InternetLink"/>
            <w:rFonts w:ascii="Times New Roman;sans-serif" w:hAnsi="Times New Roman;sans-serif"/>
            <w:b w:val="false"/>
            <w:color w:val="0000FF"/>
            <w:sz w:val="20"/>
            <w:u w:val="single"/>
          </w:rPr>
          <w:t>Table of Contents</w:t>
        </w:r>
      </w:hyperlink>
    </w:p>
    <w:p>
      <w:pPr>
        <w:pStyle w:val="TextBody"/>
        <w:bidi w:val="0"/>
        <w:spacing w:before="60" w:after="283"/>
        <w:jc w:val="left"/>
        <w:rPr/>
      </w:pPr>
      <w:r>
        <w:rPr/>
      </w:r>
    </w:p>
    <w:p>
      <w:pPr>
        <w:pStyle w:val="TextBody"/>
        <w:bidi w:val="0"/>
        <w:spacing w:before="60" w:after="283"/>
        <w:jc w:val="left"/>
        <w:rPr/>
      </w:pPr>
      <w:r>
        <w:rPr/>
      </w:r>
    </w:p>
    <w:tbl>
      <w:tblPr>
        <w:tblW w:w="25259" w:type="dxa"/>
        <w:jc w:val="left"/>
        <w:tblInd w:w="0" w:type="dxa"/>
        <w:tblLayout w:type="fixed"/>
        <w:tblCellMar>
          <w:top w:w="28" w:type="dxa"/>
          <w:left w:w="28" w:type="dxa"/>
          <w:bottom w:w="28" w:type="dxa"/>
          <w:right w:w="28" w:type="dxa"/>
        </w:tblCellMar>
      </w:tblPr>
      <w:tblGrid>
        <w:gridCol w:w="638"/>
        <w:gridCol w:w="245"/>
        <w:gridCol w:w="183"/>
        <w:gridCol w:w="267"/>
        <w:gridCol w:w="267"/>
        <w:gridCol w:w="277"/>
        <w:gridCol w:w="109"/>
        <w:gridCol w:w="109"/>
        <w:gridCol w:w="109"/>
        <w:gridCol w:w="181"/>
        <w:gridCol w:w="616"/>
        <w:gridCol w:w="109"/>
        <w:gridCol w:w="109"/>
        <w:gridCol w:w="109"/>
        <w:gridCol w:w="109"/>
        <w:gridCol w:w="268"/>
        <w:gridCol w:w="268"/>
        <w:gridCol w:w="275"/>
        <w:gridCol w:w="109"/>
        <w:gridCol w:w="109"/>
        <w:gridCol w:w="109"/>
        <w:gridCol w:w="181"/>
        <w:gridCol w:w="616"/>
        <w:gridCol w:w="109"/>
        <w:gridCol w:w="109"/>
        <w:gridCol w:w="109"/>
        <w:gridCol w:w="109"/>
        <w:gridCol w:w="268"/>
        <w:gridCol w:w="268"/>
        <w:gridCol w:w="275"/>
        <w:gridCol w:w="109"/>
        <w:gridCol w:w="109"/>
        <w:gridCol w:w="109"/>
        <w:gridCol w:w="181"/>
        <w:gridCol w:w="616"/>
        <w:gridCol w:w="109"/>
        <w:gridCol w:w="109"/>
        <w:gridCol w:w="109"/>
        <w:gridCol w:w="109"/>
        <w:gridCol w:w="292"/>
        <w:gridCol w:w="292"/>
        <w:gridCol w:w="302"/>
        <w:gridCol w:w="109"/>
        <w:gridCol w:w="109"/>
        <w:gridCol w:w="109"/>
        <w:gridCol w:w="181"/>
        <w:gridCol w:w="616"/>
        <w:gridCol w:w="109"/>
        <w:gridCol w:w="109"/>
        <w:gridCol w:w="109"/>
        <w:gridCol w:w="109"/>
        <w:gridCol w:w="398"/>
        <w:gridCol w:w="398"/>
        <w:gridCol w:w="171"/>
        <w:gridCol w:w="109"/>
        <w:gridCol w:w="109"/>
        <w:gridCol w:w="109"/>
        <w:gridCol w:w="181"/>
        <w:gridCol w:w="406"/>
        <w:gridCol w:w="109"/>
        <w:gridCol w:w="109"/>
        <w:gridCol w:w="109"/>
        <w:gridCol w:w="109"/>
        <w:gridCol w:w="796"/>
        <w:gridCol w:w="167"/>
        <w:gridCol w:w="327"/>
        <w:gridCol w:w="181"/>
        <w:gridCol w:w="406"/>
        <w:gridCol w:w="109"/>
        <w:gridCol w:w="327"/>
        <w:gridCol w:w="871"/>
        <w:gridCol w:w="167"/>
        <w:gridCol w:w="327"/>
        <w:gridCol w:w="181"/>
        <w:gridCol w:w="406"/>
        <w:gridCol w:w="109"/>
        <w:gridCol w:w="327"/>
        <w:gridCol w:w="181"/>
        <w:gridCol w:w="541"/>
        <w:gridCol w:w="109"/>
        <w:gridCol w:w="327"/>
        <w:gridCol w:w="181"/>
        <w:gridCol w:w="721"/>
        <w:gridCol w:w="109"/>
        <w:gridCol w:w="327"/>
        <w:gridCol w:w="239"/>
        <w:gridCol w:w="636"/>
        <w:gridCol w:w="146"/>
        <w:gridCol w:w="327"/>
        <w:gridCol w:w="181"/>
        <w:gridCol w:w="736"/>
        <w:gridCol w:w="109"/>
        <w:gridCol w:w="327"/>
        <w:gridCol w:w="222"/>
        <w:gridCol w:w="664"/>
        <w:gridCol w:w="135"/>
        <w:gridCol w:w="327"/>
        <w:gridCol w:w="917"/>
        <w:gridCol w:w="154"/>
      </w:tblGrid>
      <w:tr>
        <w:trPr/>
        <w:tc>
          <w:tcPr>
            <w:tcW w:w="6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3" w:type="dxa"/>
            <w:gridSpan w:val="117"/>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 June 25, 2022</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6" w:type="dxa"/>
            <w:gridSpan w:val="3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Redeemable Preferred and Common Units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 - Warrants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Total Equity (Deficit)</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Common Units, Class C</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Preferred Units, Class B-1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Preferred Units, Class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Common Voting Units, Class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Common Shares, Class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Common Voting Shares, Class V-1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Common Voting Shares, Class V-3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Units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Units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Units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Units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March 26, 2022</w:t>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428,571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238,085 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470,482 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6,444,373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217,604 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(2,041)</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(1,248,771)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p>
            <w:pPr>
              <w:pStyle w:val="TableContents"/>
              <w:bidi w:val="0"/>
              <w:spacing w:lineRule="auto" w:line="300" w:before="0" w:after="283"/>
              <w:jc w:val="right"/>
              <w:rPr>
                <w:color w:val="000000"/>
              </w:rPr>
            </w:pPr>
            <w:r>
              <w:rPr>
                <w:color w:val="000000"/>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(1,033,208)</w:t>
            </w:r>
          </w:p>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Retroactive application of recapitalization ratio (1)</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24,493,538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24,041,299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47,508,299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388,481,909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Adjusted balance, beginning of period</w:t>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24,922,109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24,041,300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238,085 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47,508,300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470,482 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394,926,282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217,604 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(2,041)</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(1,248,771)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p>
            <w:pPr>
              <w:pStyle w:val="TableContents"/>
              <w:bidi w:val="0"/>
              <w:spacing w:lineRule="auto" w:line="300" w:before="0" w:after="283"/>
              <w:jc w:val="right"/>
              <w:rPr>
                <w:color w:val="000000"/>
              </w:rPr>
            </w:pPr>
            <w:r>
              <w:rPr>
                <w:color w:val="000000"/>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(1,033,208)</w:t>
            </w:r>
          </w:p>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Granted</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560,524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Forfeited</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(560,524)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Unit-based compensation</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Accretion of class C Units to redemption value</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Preferred Return</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Provision for warrants</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of warrants</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16,379,606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103,980 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 pre business combination</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(19,178)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loss pre business combination</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4"/>
              </w:rPr>
            </w:pPr>
            <w:r>
              <w:rPr>
                <w:rFonts w:ascii="Times New Roman;sans-serif" w:hAnsi="Times New Roman;sans-serif"/>
                <w:b w:val="false"/>
                <w:color w:val="000000"/>
                <w:sz w:val="14"/>
              </w:rPr>
              <w:t>Recapitalization of Preferred Units, Class C Units, Class A Voting Units, and creation of NCI (net of transaction costs of $37,104)</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(24,922,109)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(173,460)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(24,041,300)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(47,508,300)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(475,072)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(411,305,888)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(337,738)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60,844,573 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416,933,025 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1,191,567 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(301,973)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551,904 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4"/>
              </w:rPr>
            </w:pPr>
            <w:r>
              <w:rPr>
                <w:rFonts w:ascii="Times New Roman;sans-serif" w:hAnsi="Times New Roman;sans-serif"/>
                <w:b w:val="false"/>
                <w:color w:val="000000"/>
                <w:sz w:val="14"/>
              </w:rPr>
              <w:t>Recapitalization of SVF equity, PIPE, and FPA (net of transaction costs of $30,315)</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50,664,146 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381,276 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421,706 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 post business combination</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(12,383)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loss post business combination</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June 25, 2022</w:t>
            </w:r>
          </w:p>
        </w:tc>
        <w:tc>
          <w:tcPr>
            <w:tcW w:w="81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50,664,146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60,844,573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416,933,025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58,126 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1,231,992 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(2,139)</w:t>
            </w:r>
          </w:p>
        </w:tc>
        <w:tc>
          <w:tcPr>
            <w:tcW w:w="1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(1,281,020)</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66,116 </w:t>
            </w:r>
          </w:p>
        </w:tc>
        <w:tc>
          <w:tcPr>
            <w:tcW w:w="1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73,128 </w:t>
            </w:r>
          </w:p>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As part of the Business Combination, all per share information has been retroactively adjusted using the Exchange Ratio as stipulated by the Merger Agreement</w:t>
      </w:r>
    </w:p>
    <w:p>
      <w:pPr>
        <w:pStyle w:val="TextBody"/>
        <w:bidi w:val="0"/>
        <w:spacing w:before="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84785"/>
                <wp:effectExtent l="0" t="0" r="0" b="0"/>
                <wp:wrapNone/>
                <wp:docPr id="11" name="Frame1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60" w:after="283"/>
        <w:ind w:left="0" w:right="0" w:firstLine="360"/>
        <w:jc w:val="left"/>
        <w:rPr/>
      </w:pPr>
      <w:hyperlink w:anchor="icc5ff0f4f7584c1c9f7c92c4362a9638_7">
        <w:r>
          <w:rPr>
            <w:rStyle w:val="InternetLink"/>
            <w:rFonts w:ascii="Times New Roman;sans-serif" w:hAnsi="Times New Roman;sans-serif"/>
            <w:b w:val="false"/>
            <w:color w:val="0000FF"/>
            <w:sz w:val="20"/>
            <w:u w:val="single"/>
          </w:rPr>
          <w:t>Table of Contents</w:t>
        </w:r>
      </w:hyperlink>
    </w:p>
    <w:tbl>
      <w:tblPr>
        <w:tblW w:w="25184" w:type="dxa"/>
        <w:jc w:val="left"/>
        <w:tblInd w:w="0" w:type="dxa"/>
        <w:tblLayout w:type="fixed"/>
        <w:tblCellMar>
          <w:top w:w="28" w:type="dxa"/>
          <w:left w:w="28" w:type="dxa"/>
          <w:bottom w:w="28" w:type="dxa"/>
          <w:right w:w="28" w:type="dxa"/>
        </w:tblCellMar>
      </w:tblPr>
      <w:tblGrid>
        <w:gridCol w:w="606"/>
        <w:gridCol w:w="229"/>
        <w:gridCol w:w="231"/>
        <w:gridCol w:w="267"/>
        <w:gridCol w:w="267"/>
        <w:gridCol w:w="277"/>
        <w:gridCol w:w="109"/>
        <w:gridCol w:w="109"/>
        <w:gridCol w:w="109"/>
        <w:gridCol w:w="181"/>
        <w:gridCol w:w="616"/>
        <w:gridCol w:w="109"/>
        <w:gridCol w:w="109"/>
        <w:gridCol w:w="109"/>
        <w:gridCol w:w="109"/>
        <w:gridCol w:w="268"/>
        <w:gridCol w:w="268"/>
        <w:gridCol w:w="275"/>
        <w:gridCol w:w="109"/>
        <w:gridCol w:w="109"/>
        <w:gridCol w:w="109"/>
        <w:gridCol w:w="181"/>
        <w:gridCol w:w="616"/>
        <w:gridCol w:w="109"/>
        <w:gridCol w:w="109"/>
        <w:gridCol w:w="109"/>
        <w:gridCol w:w="109"/>
        <w:gridCol w:w="268"/>
        <w:gridCol w:w="268"/>
        <w:gridCol w:w="275"/>
        <w:gridCol w:w="109"/>
        <w:gridCol w:w="109"/>
        <w:gridCol w:w="109"/>
        <w:gridCol w:w="181"/>
        <w:gridCol w:w="616"/>
        <w:gridCol w:w="109"/>
        <w:gridCol w:w="109"/>
        <w:gridCol w:w="109"/>
        <w:gridCol w:w="109"/>
        <w:gridCol w:w="296"/>
        <w:gridCol w:w="296"/>
        <w:gridCol w:w="294"/>
        <w:gridCol w:w="109"/>
        <w:gridCol w:w="109"/>
        <w:gridCol w:w="109"/>
        <w:gridCol w:w="181"/>
        <w:gridCol w:w="541"/>
        <w:gridCol w:w="109"/>
        <w:gridCol w:w="109"/>
        <w:gridCol w:w="109"/>
        <w:gridCol w:w="109"/>
        <w:gridCol w:w="398"/>
        <w:gridCol w:w="398"/>
        <w:gridCol w:w="171"/>
        <w:gridCol w:w="109"/>
        <w:gridCol w:w="109"/>
        <w:gridCol w:w="109"/>
        <w:gridCol w:w="181"/>
        <w:gridCol w:w="406"/>
        <w:gridCol w:w="109"/>
        <w:gridCol w:w="109"/>
        <w:gridCol w:w="109"/>
        <w:gridCol w:w="109"/>
        <w:gridCol w:w="796"/>
        <w:gridCol w:w="167"/>
        <w:gridCol w:w="327"/>
        <w:gridCol w:w="181"/>
        <w:gridCol w:w="406"/>
        <w:gridCol w:w="109"/>
        <w:gridCol w:w="327"/>
        <w:gridCol w:w="871"/>
        <w:gridCol w:w="167"/>
        <w:gridCol w:w="327"/>
        <w:gridCol w:w="181"/>
        <w:gridCol w:w="406"/>
        <w:gridCol w:w="109"/>
        <w:gridCol w:w="327"/>
        <w:gridCol w:w="181"/>
        <w:gridCol w:w="541"/>
        <w:gridCol w:w="109"/>
        <w:gridCol w:w="327"/>
        <w:gridCol w:w="181"/>
        <w:gridCol w:w="721"/>
        <w:gridCol w:w="109"/>
        <w:gridCol w:w="327"/>
        <w:gridCol w:w="239"/>
        <w:gridCol w:w="636"/>
        <w:gridCol w:w="146"/>
        <w:gridCol w:w="327"/>
        <w:gridCol w:w="181"/>
        <w:gridCol w:w="736"/>
        <w:gridCol w:w="109"/>
        <w:gridCol w:w="327"/>
        <w:gridCol w:w="222"/>
        <w:gridCol w:w="664"/>
        <w:gridCol w:w="135"/>
        <w:gridCol w:w="327"/>
        <w:gridCol w:w="917"/>
        <w:gridCol w:w="154"/>
      </w:tblGrid>
      <w:tr>
        <w:trPr/>
        <w:tc>
          <w:tcPr>
            <w:tcW w:w="60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8" w:type="dxa"/>
            <w:gridSpan w:val="117"/>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Nine Months Ended June 25, 2022</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6" w:type="dxa"/>
            <w:gridSpan w:val="3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Redeemable Preferred and Common Units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 - Warrants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Total Equity (Deficit)</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Common Units, Class C</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Preferred Units, Class B-1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Preferred Units, Class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Common Voting Units, Class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Common Shares, Class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Common Voting Shares, Class V-1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Common Voting Shares, Class V-3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Units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Units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Units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Units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September 25, 2021</w:t>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428,571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144,975 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232,278 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459,007 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5,997,632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(2,092)</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(1,154,944)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p>
            <w:pPr>
              <w:pStyle w:val="TableContents"/>
              <w:bidi w:val="0"/>
              <w:spacing w:lineRule="auto" w:line="300" w:before="0" w:after="283"/>
              <w:jc w:val="right"/>
              <w:rPr>
                <w:color w:val="000000"/>
              </w:rPr>
            </w:pPr>
            <w:r>
              <w:rPr>
                <w:color w:val="000000"/>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(1,113,228)</w:t>
            </w:r>
          </w:p>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Retroactive application of recapitalization ratio (1)</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24,493,538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24,041,299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47,508,299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361,551,314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Adjusted balance, beginning of period</w:t>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24,922,109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144,975 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24,041,300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232,278 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47,508,300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459,007 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367,548,946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(2,092)</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(1,154,944)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p>
            <w:pPr>
              <w:pStyle w:val="TableContents"/>
              <w:bidi w:val="0"/>
              <w:spacing w:lineRule="auto" w:line="300" w:before="0" w:after="283"/>
              <w:jc w:val="right"/>
              <w:rPr>
                <w:color w:val="000000"/>
              </w:rPr>
            </w:pPr>
            <w:r>
              <w:rPr>
                <w:color w:val="000000"/>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(1,113,228)</w:t>
            </w:r>
          </w:p>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Granted</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1,052,952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Forfeited</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(1,052,952)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Unit-based compensation</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Accretion of Class C Units to redemption value</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(28,433)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Preferred Return</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(24,195)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Provision for warrants</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of warrants</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43,756,942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320,929 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277,776 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 pre business combination</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(72,134)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loss pre business combination</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4"/>
              </w:rPr>
            </w:pPr>
            <w:r>
              <w:rPr>
                <w:rFonts w:ascii="Times New Roman;sans-serif" w:hAnsi="Times New Roman;sans-serif"/>
                <w:b w:val="false"/>
                <w:color w:val="000000"/>
                <w:sz w:val="14"/>
              </w:rPr>
              <w:t>Recapitalization of Preferred Units, Class C Units, Class A Voting Units, and creation of NCI (net of transaction costs of $37,104)</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(24,922,109)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(173,460)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(24,041,300)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(47,508,300)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(475,072)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(411,305,888)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(337,738)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60,844,573 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416,933,025 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1,191,567 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(301,973)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551,904 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4"/>
              </w:rPr>
            </w:pPr>
            <w:r>
              <w:rPr>
                <w:rFonts w:ascii="Times New Roman;sans-serif" w:hAnsi="Times New Roman;sans-serif"/>
                <w:b w:val="false"/>
                <w:color w:val="000000"/>
                <w:sz w:val="14"/>
              </w:rPr>
              <w:t>Recapitalization of SVF equity, PIPE, and FPA (net of transaction costs of $30,315)</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50,664,146 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381,276 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421,706 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 post business combination</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(12,383)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loss post business combination</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June 25, 2022</w:t>
            </w:r>
          </w:p>
        </w:tc>
        <w:tc>
          <w:tcPr>
            <w:tcW w:w="81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50,664,146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60,844,573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416,933,025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58,126 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1,231,992 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(2,139)</w:t>
            </w:r>
          </w:p>
        </w:tc>
        <w:tc>
          <w:tcPr>
            <w:tcW w:w="1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(1,281,020)</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66,116 </w:t>
            </w:r>
          </w:p>
        </w:tc>
        <w:tc>
          <w:tcPr>
            <w:tcW w:w="1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73,128 </w:t>
            </w:r>
          </w:p>
          <w:p>
            <w:pPr>
              <w:pStyle w:val="TableContents"/>
              <w:bidi w:val="0"/>
              <w:spacing w:before="0" w:after="283"/>
              <w:jc w:val="left"/>
              <w:rPr>
                <w:sz w:val="4"/>
                <w:szCs w:val="4"/>
              </w:rPr>
            </w:pPr>
            <w:r>
              <w:rPr>
                <w:sz w:val="4"/>
                <w:szCs w:val="4"/>
              </w:rPr>
            </w:r>
          </w:p>
        </w:tc>
      </w:tr>
    </w:tbl>
    <w:p>
      <w:pPr>
        <w:pStyle w:val="TextBody"/>
        <w:bidi w:val="0"/>
        <w:spacing w:lineRule="auto" w:line="268" w:before="6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As part of the Business Combination, all per share information has been retroactively adjusted using the Exchange Ratio as stipulated by the Merger Agreement</w:t>
      </w:r>
    </w:p>
    <w:p>
      <w:pPr>
        <w:pStyle w:val="TextBody"/>
        <w:bidi w:val="0"/>
        <w:spacing w:lineRule="auto" w:line="26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84785"/>
                <wp:effectExtent l="0" t="0" r="0" b="0"/>
                <wp:wrapNone/>
                <wp:docPr id="12" name="Frame1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60" w:after="283"/>
        <w:ind w:left="0" w:right="0" w:firstLine="360"/>
        <w:jc w:val="left"/>
        <w:rPr/>
      </w:pPr>
      <w:hyperlink w:anchor="icc5ff0f4f7584c1c9f7c92c4362a963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Symbotic Inc.</w:t>
      </w:r>
    </w:p>
    <w:p>
      <w:pPr>
        <w:pStyle w:val="TextBody"/>
        <w:bidi w:val="0"/>
        <w:spacing w:lineRule="auto" w:line="288" w:before="6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Cash Flows</w:t>
      </w:r>
    </w:p>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before="60" w:after="283"/>
        <w:ind w:left="0" w:right="0" w:firstLine="360"/>
        <w:jc w:val="left"/>
        <w:rPr/>
      </w:pPr>
      <w:r>
        <w:rPr/>
      </w:r>
    </w:p>
    <w:tbl>
      <w:tblPr>
        <w:tblW w:w="9931" w:type="dxa"/>
        <w:jc w:val="center"/>
        <w:tblInd w:w="0" w:type="dxa"/>
        <w:tblLayout w:type="fixed"/>
        <w:tblCellMar>
          <w:top w:w="28" w:type="dxa"/>
          <w:left w:w="28" w:type="dxa"/>
          <w:bottom w:w="28" w:type="dxa"/>
          <w:right w:w="28" w:type="dxa"/>
        </w:tblCellMar>
      </w:tblPr>
      <w:tblGrid>
        <w:gridCol w:w="2599"/>
        <w:gridCol w:w="2289"/>
        <w:gridCol w:w="2296"/>
        <w:gridCol w:w="211"/>
        <w:gridCol w:w="901"/>
        <w:gridCol w:w="109"/>
        <w:gridCol w:w="109"/>
        <w:gridCol w:w="109"/>
        <w:gridCol w:w="109"/>
        <w:gridCol w:w="212"/>
        <w:gridCol w:w="832"/>
        <w:gridCol w:w="155"/>
      </w:tblGrid>
      <w:tr>
        <w:trPr/>
        <w:tc>
          <w:tcPr>
            <w:tcW w:w="2599"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For the Nine Months Ended</w:t>
            </w:r>
          </w:p>
        </w:tc>
      </w:tr>
      <w:tr>
        <w:trPr/>
        <w:tc>
          <w:tcPr>
            <w:tcW w:w="7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25, 2022</w:t>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(85,831)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by (used in) operating activities: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(gains) / losses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abandonment of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impairment of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(93,944)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(43,069)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expenses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(96,729)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maturity of marketable securities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marketable securities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Class A Common Units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for taxes related to net share settlement of stock-based compensation awards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issuance of common stock under employee stock purchase plan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equity infusion from the Business Combination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384,672 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interest from non-controlling interest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warrants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362,448 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 beginning of period</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411,662 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288" w:before="60" w:after="283"/>
        <w:jc w:val="center"/>
        <w:rPr/>
      </w:pPr>
      <w:r>
        <w:rPr>
          <w:rFonts w:ascii="Times New Roman;sans-serif" w:hAnsi="Times New Roman;sans-serif"/>
          <w:b w:val="false"/>
          <w:color w:val="000000"/>
          <w:sz w:val="20"/>
        </w:rPr>
        <w:t>The accompanying notes are an integral part of these unaudited condensed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84785"/>
                <wp:effectExtent l="0" t="0" r="0" b="0"/>
                <wp:wrapNone/>
                <wp:docPr id="13" name="Frame1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60" w:after="283"/>
        <w:ind w:left="0" w:right="0" w:firstLine="360"/>
        <w:jc w:val="left"/>
        <w:rPr/>
      </w:pPr>
      <w:hyperlink w:anchor="icc5ff0f4f7584c1c9f7c92c4362a9638_7">
        <w:r>
          <w:rPr>
            <w:rStyle w:val="InternetLink"/>
            <w:rFonts w:ascii="Times New Roman;sans-serif" w:hAnsi="Times New Roman;sans-serif"/>
            <w:b w:val="false"/>
            <w:color w:val="0000FF"/>
            <w:sz w:val="20"/>
            <w:u w:val="single"/>
          </w:rPr>
          <w:t>Table of Contents</w:t>
        </w:r>
      </w:hyperlink>
    </w:p>
    <w:p>
      <w:pPr>
        <w:pStyle w:val="TextBody"/>
        <w:bidi w:val="0"/>
        <w:spacing w:lineRule="auto" w:line="240" w:before="240" w:after="2"/>
        <w:jc w:val="center"/>
        <w:rPr>
          <w:rFonts w:ascii="Times New Roman;sans-serif" w:hAnsi="Times New Roman;sans-serif"/>
          <w:b/>
          <w:color w:val="000000"/>
          <w:sz w:val="20"/>
        </w:rPr>
      </w:pPr>
      <w:r>
        <w:rPr>
          <w:rFonts w:ascii="Times New Roman;sans-serif" w:hAnsi="Times New Roman;sans-serif"/>
          <w:b/>
          <w:color w:val="000000"/>
          <w:sz w:val="20"/>
        </w:rPr>
        <w:t>Symbotic Inc.</w:t>
      </w:r>
    </w:p>
    <w:p>
      <w:pPr>
        <w:pStyle w:val="TextBody"/>
        <w:bidi w:val="0"/>
        <w:spacing w:lineRule="auto" w:line="240" w:before="2" w:after="2"/>
        <w:jc w:val="center"/>
        <w:rPr>
          <w:rFonts w:ascii="Times New Roman;sans-serif" w:hAnsi="Times New Roman;sans-serif"/>
          <w:b/>
          <w:color w:val="000000"/>
          <w:sz w:val="18"/>
        </w:rPr>
      </w:pPr>
      <w:r>
        <w:rPr>
          <w:rFonts w:ascii="Times New Roman;sans-serif" w:hAnsi="Times New Roman;sans-serif"/>
          <w:b/>
          <w:color w:val="000000"/>
          <w:sz w:val="18"/>
        </w:rPr>
        <w:t xml:space="preserve">Notes to Unaudited Condensed Consolidated Financial Statements </w:t>
      </w:r>
    </w:p>
    <w:p>
      <w:pPr>
        <w:pStyle w:val="TextBody"/>
        <w:bidi w:val="0"/>
        <w:spacing w:before="60" w:after="283"/>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1. Organization and Operations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SVF Investment Corp. 3, formerly known as SVF Investment III Corp. (“SVF 3” and, after the Domestication as described below, “Symbotic” or the “Company”), was a blank check company incorporated as a Cayman Islands exempted company on December 11, 2020. SVF 3 was incorporated for the purpose of effecting a merger, share exchange, asset acquisition, share purchase, reorganization, or similar business combination with one or more businesses. Warehouse Technologies LLC (“Legacy Warehouse”), a New Hampshire limited liability company, was formed in December 2006 to make investments in companies that develop new technologies to improve operating efficiencies in modern warehouses. Symbotic LLC (“Symbotic US”), a technology company that develops and commercializes innovative technologies for use within warehouse operations and Symbotic Group Holdings, ULC (“Symbotic Canada”) were wholly owned subsidiaries of Legacy Warehouse. On December 12, 2021, (i) SVF 3 entered into an Agreement and Plan of Merger (the “Merger Agreement”) with Legacy Warehouse, Symbotic Holdings LLC, a Delaware limited liability company (“Symbotic Holdings”), and Saturn Acquisition (DE) Corp., a Delaware corporation and wholly owned subsidiary of SVF 3 (“Merger Sub”), and (ii) Legacy Warehouse entered into an Agreement and Plan of Merger (the “Company Merger Agreement”) with Symbotic Holdings. </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June 7, 2022, as contemplated by the Company Merger Agreement, Legacy Warehouse merged with and into Symbotic Holdings (the “Company Reorganization”), with Symbotic Holdings surviving the merger (“Interim Symbotic”). Immediately following such merger, on June 7, 2022, as contemplated by the Merger Agreement, SVF 3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SVF 3 was transferred by way of continuation from the Cayman Islands and domesticated as a Delaware corporation, changing its name to “Symbotic Inc.” (the “Domestication”). Immediately following the Domestication of SVF 3, on June 7, 2022, as contemplated by the Merger Agreement, SVF 3, Symbotic Holdings, and Merger Sub merged with and into Interim Symbotic (the “Merger” and, together with the Company Reorganization, the “Business Combination”), with Interim Symbotic surviving the merger as a subsidiary of Symbotic (“New Symbotic Holdings”).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Symbotic is an automation technology company established to develop technologies to improve operating efficiencies in modern warehouses. The Company’s vision is to make the supply chain work better for everyone. The Company does this by developing innovative, end-to-end technology solutions that dramatically improve supply chain operations. The Company currently automates the processing of pallets and cases in large warehouses or distribution centers for some of the largest retail companies in the world. Its systems enhance operations at the front end of the supply chain, and therefore benefit all supply partners further down the chain, irrespective of fulfillment strategy. </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headquarters are located in Wilmington, Massachusetts, and its Canadian headquarters are located in Montreal, Quebec.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 and Consolidation</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condensed consolidated financial statements have been prepared in U.S. dollars, in accordance with accounting principles generally accepted in the United States of America (“GAAP”). Certain information and note disclosures normally included in the Company’s annual audited consolidated financial statements and accompanying notes prepared in accordance with GAAP have been condensed in, or omitted from, these interim financial statements. Accordingly, these unaudited condensed consolidated financial statements included herein should be read in conjunction with the audited consolidated financial statements and accompanying notes thereto as of and for the year ended September 24, 2022, which are included within the Company’s Annual Report on Form 10-K, filed with the SEC on December 9, 2022. The September 24, 2022 consolidated balance sheet included herein is derived from the Company’s audited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84785"/>
                <wp:effectExtent l="0" t="0" r="0" b="0"/>
                <wp:wrapNone/>
                <wp:docPr id="14" name="Frame1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60" w:after="283"/>
        <w:ind w:left="0" w:right="0" w:firstLine="360"/>
        <w:jc w:val="left"/>
        <w:rPr/>
      </w:pPr>
      <w:hyperlink w:anchor="icc5ff0f4f7584c1c9f7c92c4362a963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include the accounts of the Company and its wholly owned subsidiaries and majority-owned subsidiaries and reflect all adjustments (consisting solely of normal, recurring adjustments) which are, in the opinion of management, necessary for a fair statement of results for the interim periods presented. All intercompany balances and transactions have been eliminated in consolidation. The consolidated financial statements include 100% of the accounts of wholly owned and majority-owned subsidiaries and the ownership interest of the minority investor is recorded as a non-controlling interest in a subsidiary. The results of operations for the interim periods presented are not necessarily indicative of the results to be expected for any future period or the entire fiscal year.</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operates and reports using a 52-53 week fiscal year ending on the last Saturday of September of each calendar year. Each of the Company’s fiscal quarters end on the last Saturday of the third month of each quarter.</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unaudited condensed consolidated financial statements in conformity with GAAP requires management to make estimates, judgments, and assumptions that affect the reported amounts of assets, liabilities, revenue, and expenses, and the amounts disclosed in the related notes to the consolidated financial statements. Actual results and outcomes may differ materially from management’s estimates, judgments, and assumptions. Significant estimates, judgments, and assumptions used in these financial statements include, but are not limited to, those related to revenue, useful lives and realizability of long-lived assets, accounting for income taxes and related valuation allowances, and stock-based compensation. Estimates are periodically reviewed in light of changes in circumstances, facts, and experience.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Significant Accounting Policies</w:t>
      </w:r>
    </w:p>
    <w:p>
      <w:pPr>
        <w:pStyle w:val="TextBody"/>
        <w:bidi w:val="0"/>
        <w:spacing w:lineRule="auto" w:line="288" w:before="60" w:after="283"/>
        <w:ind w:left="0" w:right="0" w:firstLine="360"/>
        <w:jc w:val="left"/>
        <w:rPr/>
      </w:pPr>
      <w:r>
        <w:rPr>
          <w:rFonts w:ascii="Times New Roman;sans-serif" w:hAnsi="Times New Roman;sans-serif"/>
          <w:b w:val="false"/>
          <w:color w:val="000000"/>
          <w:sz w:val="20"/>
        </w:rPr>
        <w:t xml:space="preserve">The Company’s significant accounting policies are described in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to the audited consolidated financial statements and related notes thereto as of and for the year ended September 24, 2022. Except as noted below, there have been no material changes to the significant accounting policies during the nine month period ended June 24, 2023.</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Leases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determines if an arrangement is a lease at its inception. When the arrangements include lease and non-lease components, the Company separates them and does not account for them as a single lease component. Leases with an initial term of less than 12 months are not reported on the balance sheet, but rather recognized as lease expense on a straight-line basis over the lease term. Arrangements may include options to extend or terminate the lease arrangement. These options are included in the lease term used to establish right-of-use (“ROU”) assets and lease liabilities when it is reasonably certain they will be exercised. The Company will reassess expected lease terms based on changes in circumstances that indicate options may be more or less likely to be exercised. </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lease arrangements that include variable rental payments. The future variability of these payments and adjustments are unknown and therefore are not included in minimum rental payments used to determine the ROU assets and lease liabilities. The Company has lease arrangements where it makes separate payments to the lessor based on the lessor’s common area maintenance expenses, property and casualty insurance costs, property taxes assessed on the property, and other variable expenses. Variable rental payments are recognized in the period in which their associated obligation is incurred. </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most of the Company’s lease arrangements do not provide an implicit interest rate, an incremental borrowing rate is applied in determining the present value of future payments. The Company’s incremental borrowing rate is selected based upon information available at the lease commencement date, and represents the Company’s estimate of an interest rate that it would be able to obtain from a lender to borrow, on a collateralized basis, over a similar term to obtain an asset of similar value in a similar economic environment. </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ROU assets are reported as “Other long-term assets” and lease liabilities are reported as “Other current liabilities” and “Other long-term liabilities” on the consolidated balance sheets. Operating lease expense is recognized on a straight-line basis over the lease term and is included in “Selling, general, and administrative expenses” in the consolidated statements of operations. Variable lease expense is included in “Selling, general, and administrative expenses” in the consolidated statements of operations.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Presentation of Restricted Cash</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cash consists of collateral required for a credit card processing program. The short-term or long-term classification is determined in accordance with the required amount of time the cash is to be held as collateral, which is short-term for less than 12 months, and long-term for greater than 12 months from the balance sheet date. As the cash is required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84785"/>
                <wp:effectExtent l="0" t="0" r="0" b="0"/>
                <wp:wrapNone/>
                <wp:docPr id="15" name="Frame1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60" w:after="283"/>
        <w:ind w:left="0" w:right="0" w:firstLine="360"/>
        <w:jc w:val="left"/>
        <w:rPr/>
      </w:pPr>
      <w:hyperlink w:anchor="icc5ff0f4f7584c1c9f7c92c4362a963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 held as collateral for a period which is greater than 12 months from June 24, 2023, it is presented in other long-term assets. The following table summarizes the end-of-period cash and cash equivalents from the Company’s Consolidated Balance Sheets and the total cash, cash equivalents, and restricted cash as presented on the accompanying Consolidated Statements of Cash Flows (in thousands):</w:t>
      </w:r>
    </w:p>
    <w:tbl>
      <w:tblPr>
        <w:tblW w:w="9234" w:type="dxa"/>
        <w:jc w:val="left"/>
        <w:tblInd w:w="0" w:type="dxa"/>
        <w:tblLayout w:type="fixed"/>
        <w:tblCellMar>
          <w:top w:w="28" w:type="dxa"/>
          <w:left w:w="28" w:type="dxa"/>
          <w:bottom w:w="28" w:type="dxa"/>
          <w:right w:w="28" w:type="dxa"/>
        </w:tblCellMar>
      </w:tblPr>
      <w:tblGrid>
        <w:gridCol w:w="2374"/>
        <w:gridCol w:w="2082"/>
        <w:gridCol w:w="2098"/>
        <w:gridCol w:w="212"/>
        <w:gridCol w:w="833"/>
        <w:gridCol w:w="109"/>
        <w:gridCol w:w="109"/>
        <w:gridCol w:w="109"/>
        <w:gridCol w:w="109"/>
        <w:gridCol w:w="212"/>
        <w:gridCol w:w="832"/>
        <w:gridCol w:w="155"/>
      </w:tblGrid>
      <w:tr>
        <w:trPr/>
        <w:tc>
          <w:tcPr>
            <w:tcW w:w="2374"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6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25, 2022</w:t>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411,662 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classified in:</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shown in the statement of cash flows</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411,662 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Volume of Business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concentration in the volume of purchases it conducts with its suppliers. For the three and nine months ended June 24, 2023, there was one supplier that accounted for greater than 10% of total purchases, and the aggregate purchases amounted to $63.7 million and $127.8 million, respectively. There were no suppliers that accounted for greater than 10% of total purchases for the three and nine months ended June 25, 2022. </w:t>
      </w:r>
    </w:p>
    <w:p>
      <w:pPr>
        <w:pStyle w:val="TextBody"/>
        <w:bidi w:val="0"/>
        <w:spacing w:lineRule="auto" w:line="240" w:before="120" w:after="2"/>
        <w:jc w:val="both"/>
        <w:rPr>
          <w:rFonts w:ascii="Times New Roman;sans-serif" w:hAnsi="Times New Roman;sans-serif"/>
          <w:b w:val="false"/>
          <w:i/>
          <w:color w:val="000000"/>
          <w:sz w:val="20"/>
        </w:rPr>
      </w:pPr>
      <w:r>
        <w:rPr>
          <w:rFonts w:ascii="Times New Roman;sans-serif" w:hAnsi="Times New Roman;sans-serif"/>
          <w:b w:val="false"/>
          <w:i/>
          <w:color w:val="000000"/>
          <w:sz w:val="20"/>
        </w:rPr>
        <w:t>Emerging Growth Company</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an emerging growth company (“EGC”), as defined in Section 2(a) of the Securities Act of 1933, as modified by the Jumpstart Our Business Startups Act of 2012 (the “JOBS Act”). Section 102(b)(1) of the JOBS Act exempts EGCs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EGC can elect to opt out of the extended transition period and comply with the requirements that apply to non-EGCs but any such an election to opt out is irrevocable. The Company has not elected to opt out of such extended transition period which means that when a financial accounting standard is issued or revised and it has different application dates for public or private companies, the Company, as an EGC, can adopt the new or revised standard at the time private companies adopt the new or revised standard. The Company will be eligible to use this extended transition period under the JOBS Act until the earlier of the date it (i) is no longer an EGC or (ii) affirmatively and irrevocably opts out of the extended transition period provided in the JOBS Act. As a result, the Company’s financial statements may not be comparable to the financial statements of issuers who are required to comply with the effective dates for new or revised accounting standards that are applicable to public companies, which may make comparison of the Company’s financials to those of other public companies more difficult.</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will cease to be an EGC on the date that is the earliest of (i) the end of the fiscal year in which total annual gross revenue exceeds $1.235 billion, (ii) the last day of the Company’s fiscal year following March 11, 2026 (the fifth anniversary of the date on which SVF 3 consummated the initial public offering of SVF 3), (iii) the date on which the Company has issued more than $1.0 billion in non-convertible debt during the preceding three-year period; or (iv) the end of the fiscal year in which the market value of the Company’s common stock held by non-affiliates exceeds $700 million as of the last business day of the most recently completed second fiscal quarter. As of the last business day of the most recently completed second fiscal quarter ended March 25, 2023, the market value of the Company’s common stock held by non-affiliates was approximately $517.3 million (based on the closing sales price of the Class A common stock on March 24, 2023 of $21.68), and therefore, the Company expects to continue to be an EGC as of the end of the current fiscal year ended September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84785"/>
                <wp:effectExtent l="0" t="0" r="0" b="0"/>
                <wp:wrapNone/>
                <wp:docPr id="16" name="Frame1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60" w:after="283"/>
        <w:ind w:left="0" w:right="0" w:firstLine="360"/>
        <w:jc w:val="left"/>
        <w:rPr/>
      </w:pPr>
      <w:hyperlink w:anchor="icc5ff0f4f7584c1c9f7c92c4362a9638_7">
        <w:r>
          <w:rPr>
            <w:rStyle w:val="InternetLink"/>
            <w:rFonts w:ascii="Times New Roman;sans-serif" w:hAnsi="Times New Roman;sans-serif"/>
            <w:b w:val="false"/>
            <w:color w:val="0000FF"/>
            <w:sz w:val="20"/>
            <w:u w:val="single"/>
          </w:rPr>
          <w:t>Table of Contents</w:t>
        </w:r>
      </w:hyperlink>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Adopted Accounting Pronouncements</w:t>
      </w:r>
    </w:p>
    <w:p>
      <w:pPr>
        <w:pStyle w:val="TextBody"/>
        <w:bidi w:val="0"/>
        <w:spacing w:lineRule="auto" w:line="288" w:before="60" w:after="283"/>
        <w:ind w:left="0" w:right="0" w:firstLine="360"/>
        <w:jc w:val="left"/>
        <w:rPr/>
      </w:pPr>
      <w:r>
        <w:rPr>
          <w:rFonts w:ascii="Times New Roman;sans-serif" w:hAnsi="Times New Roman;sans-serif"/>
          <w:b w:val="false"/>
          <w:color w:val="000000"/>
          <w:sz w:val="20"/>
        </w:rPr>
        <w:t xml:space="preserve">In February 2016, the Financial Accounting Standards Board (“FASB”) issued Accounting Standards Update (“ASU”) No. 2016-02, </w:t>
      </w:r>
      <w:r>
        <w:rPr>
          <w:rFonts w:ascii="Times New Roman;sans-serif" w:hAnsi="Times New Roman;sans-serif"/>
          <w:b w:val="false"/>
          <w:i/>
          <w:color w:val="000000"/>
          <w:sz w:val="20"/>
        </w:rPr>
        <w:t xml:space="preserve">Leases </w:t>
      </w:r>
      <w:r>
        <w:rPr>
          <w:rFonts w:ascii="Times New Roman;sans-serif" w:hAnsi="Times New Roman;sans-serif"/>
          <w:b w:val="false"/>
          <w:color w:val="000000"/>
          <w:sz w:val="20"/>
        </w:rPr>
        <w:t xml:space="preserve">(“ASU 2016-02”). The ASU requires lessees to recognize the assets and liabilities on their balance sheet for the rights and obligations created by most leases and continue to recognize expenses on their income statements over the lease term. In July 2018, the FASB issued ASU 2018-11, </w:t>
      </w:r>
      <w:r>
        <w:rPr>
          <w:rFonts w:ascii="Times New Roman;sans-serif" w:hAnsi="Times New Roman;sans-serif"/>
          <w:b w:val="false"/>
          <w:i/>
          <w:color w:val="000000"/>
          <w:sz w:val="20"/>
        </w:rPr>
        <w:t>Leases (Topic 842): Targeted Improvements</w:t>
      </w:r>
      <w:r>
        <w:rPr>
          <w:rFonts w:ascii="Times New Roman;sans-serif" w:hAnsi="Times New Roman;sans-serif"/>
          <w:b w:val="false"/>
          <w:color w:val="000000"/>
          <w:sz w:val="20"/>
        </w:rPr>
        <w:t xml:space="preserve">, which provides entities with a new transition method where comparative periods presented in the financial statements in the period of adoption will not need to be restated. Under this new transition method, an entity initially applies the provisions of the standard at the adoption date, versus at the beginning of the earliest period presented, and recognizes a cumulative-effect adjustment to the opening balance of retained earnings in the period of adoption. The Company adopted ASU 2016-02 and ASU 2018-11 on September 25, 2022, as required by the ASUs, and utilized the cumulative effect adjustment approach, which did not result in an adjustment to the Company’s opening balance of retained earnings. At adoption, the Company recognized ROU assets and lease liabilities of $5.5 million and $6.4 million, respectively, on the balance sheet at September 25, 2022. The new standard did not materially impact the statements of operations, cash flows, or stockholders’ equity (deficit). In addition, the Company provides expanded disclosures related to its leasing arrangements in accordance with these ASUs. Refer to Note 5,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for additional information.</w:t>
      </w:r>
    </w:p>
    <w:p>
      <w:pPr>
        <w:pStyle w:val="TextBody"/>
        <w:bidi w:val="0"/>
        <w:spacing w:lineRule="auto" w:line="288" w:before="60" w:after="283"/>
        <w:ind w:left="0" w:right="0" w:firstLine="360"/>
        <w:jc w:val="left"/>
        <w:rPr/>
      </w:pPr>
      <w:r>
        <w:rPr>
          <w:rFonts w:ascii="Times New Roman;sans-serif" w:hAnsi="Times New Roman;sans-serif"/>
          <w:b w:val="false"/>
          <w:color w:val="000000"/>
          <w:sz w:val="20"/>
        </w:rPr>
        <w:t xml:space="preserve">In December 2019, the FASB issued ASU No. 2019-12, </w:t>
      </w:r>
      <w:r>
        <w:rPr>
          <w:rFonts w:ascii="Times New Roman;sans-serif" w:hAnsi="Times New Roman;sans-serif"/>
          <w:b w:val="false"/>
          <w:i/>
          <w:color w:val="000000"/>
          <w:sz w:val="20"/>
        </w:rPr>
        <w:t xml:space="preserve">Income Taxes—Simplifying the Accounting for Income Taxes </w:t>
      </w:r>
      <w:r>
        <w:rPr>
          <w:rFonts w:ascii="Times New Roman;sans-serif" w:hAnsi="Times New Roman;sans-serif"/>
          <w:b w:val="false"/>
          <w:color w:val="000000"/>
          <w:sz w:val="20"/>
        </w:rPr>
        <w:t xml:space="preserve">(“ASU 2019-12”). ASU 2019-12 simplifies the accounting for income taxes by removing certain exceptions to the general principles as well as clarifying and amending existing guidance to improve consistent application. The guidance is effective to the Company for fiscal years beginning after December 15, 2021, and for interim periods within fiscal years beginning after December 15, 2022, with early adoption permitted. The Company adopted ASU 2019-12 on September 25, 2022 and there was not a material impact of the adoption to the Company’s financial statements. </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Pronouncements</w:t>
      </w:r>
    </w:p>
    <w:p>
      <w:pPr>
        <w:pStyle w:val="TextBody"/>
        <w:bidi w:val="0"/>
        <w:spacing w:lineRule="auto" w:line="288" w:before="60" w:after="283"/>
        <w:ind w:left="0" w:right="0" w:firstLine="360"/>
        <w:jc w:val="left"/>
        <w:rPr/>
      </w:pPr>
      <w:r>
        <w:rPr>
          <w:rFonts w:ascii="Times New Roman;sans-serif" w:hAnsi="Times New Roman;sans-serif"/>
          <w:b w:val="false"/>
          <w:color w:val="000000"/>
          <w:sz w:val="20"/>
        </w:rPr>
        <w:t xml:space="preserve">In June 2016, the FASB issued ASU No. 2016-13, </w:t>
      </w:r>
      <w:r>
        <w:rPr>
          <w:rFonts w:ascii="Times New Roman;sans-serif" w:hAnsi="Times New Roman;sans-serif"/>
          <w:b w:val="false"/>
          <w:i/>
          <w:color w:val="000000"/>
          <w:sz w:val="20"/>
        </w:rPr>
        <w:t>Measurement of Credit Losses on Financial Instruments</w:t>
      </w:r>
      <w:r>
        <w:rPr>
          <w:rFonts w:ascii="Times New Roman;sans-serif" w:hAnsi="Times New Roman;sans-serif"/>
          <w:b w:val="false"/>
          <w:color w:val="000000"/>
          <w:sz w:val="20"/>
        </w:rPr>
        <w:t>, which amends the impairment model by requiring entities to use a forward-looking approach based on expected losses rather than incurred losses to estimate credit losses on certain types of financial instruments. This may result in the earlier recognition of allowances for losses. The guidance is effective to the Company for fiscal years beginning after December 15, 2022, including interim periods within those fiscal years, with early adoption permitted. The Company does not expect the new standard to have a material impact on its consolidated financial statements.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recent accounting pronouncements that are or will be applicable to the Company did not, or are not expected to, have a material impact on the Company’s present or future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283"/>
        <w:jc w:val="both"/>
        <w:rPr>
          <w:rFonts w:ascii="Times New Roman;sans-serif" w:hAnsi="Times New Roman;sans-serif"/>
          <w:b/>
          <w:color w:val="000000"/>
          <w:sz w:val="20"/>
        </w:rPr>
      </w:pPr>
      <w:r>
        <w:rPr>
          <w:rFonts w:ascii="Times New Roman;sans-serif" w:hAnsi="Times New Roman;sans-serif"/>
          <w:b/>
          <w:color w:val="000000"/>
          <w:sz w:val="20"/>
        </w:rPr>
        <w:t>3. Noncontrolling Interests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 represent the portion of net assets in consolidated entities that are not owned by the Company. Following the Business Combination, Legacy Warehouse unitholders hold their economic interests directly in New Symbotic Holdings. Upon completion of the Business Combination, Symbotic Inc. issued to Legacy Warehouse unitholders an aggregate of 60,844,573 shares of Symbotic Class V-1 Common Stock and 416,933,025 shares of Symbotic Class V-3 Common Stock, each of which is exchangeable, together with a New Symbotic Holdings Common Unit, into an equal number of Class A Common Stock. Class V-1 and Class V-3 Common Stock are non-economic voting shares in Symbotic Inc. where Class V-1 Common Stock have one vote per share and Class V-3 Common Stock have three votes per share. Class V-3 Common Stock can convert into Class V-1 Common Stock in certain situations, including automatically, seven years following the Business Combination. Pursuant to the Merger Agreement, the Company issued an additional 20,000,000 New Symbotic Common Units and an equal number of shares of Symbotic Class V-1 Common Stock to Legacy Warehouse unitholders as earnout shares in July and August 2022 upon the achievement of triggering events specified in the Merger Agreement tied to the volume weighted average price of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84785"/>
                <wp:effectExtent l="0" t="0" r="0" b="0"/>
                <wp:wrapNone/>
                <wp:docPr id="17" name="Frame1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60" w:after="283"/>
        <w:ind w:left="0" w:right="0" w:firstLine="360"/>
        <w:jc w:val="left"/>
        <w:rPr/>
      </w:pPr>
      <w:hyperlink w:anchor="icc5ff0f4f7584c1c9f7c92c4362a963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ownership of Symbotic Inc. stock for the three months ended June 24, 2023.</w:t>
      </w:r>
    </w:p>
    <w:tbl>
      <w:tblPr>
        <w:tblW w:w="10205" w:type="dxa"/>
        <w:jc w:val="left"/>
        <w:tblInd w:w="0" w:type="dxa"/>
        <w:tblLayout w:type="fixed"/>
        <w:tblCellMar>
          <w:top w:w="28" w:type="dxa"/>
          <w:left w:w="28" w:type="dxa"/>
          <w:bottom w:w="28" w:type="dxa"/>
          <w:right w:w="28" w:type="dxa"/>
        </w:tblCellMar>
      </w:tblPr>
      <w:tblGrid>
        <w:gridCol w:w="615"/>
        <w:gridCol w:w="331"/>
        <w:gridCol w:w="333"/>
        <w:gridCol w:w="649"/>
        <w:gridCol w:w="446"/>
        <w:gridCol w:w="301"/>
        <w:gridCol w:w="109"/>
        <w:gridCol w:w="109"/>
        <w:gridCol w:w="109"/>
        <w:gridCol w:w="922"/>
        <w:gridCol w:w="329"/>
        <w:gridCol w:w="330"/>
        <w:gridCol w:w="109"/>
        <w:gridCol w:w="109"/>
        <w:gridCol w:w="109"/>
        <w:gridCol w:w="593"/>
        <w:gridCol w:w="593"/>
        <w:gridCol w:w="171"/>
        <w:gridCol w:w="109"/>
        <w:gridCol w:w="109"/>
        <w:gridCol w:w="109"/>
        <w:gridCol w:w="334"/>
        <w:gridCol w:w="200"/>
        <w:gridCol w:w="499"/>
        <w:gridCol w:w="109"/>
        <w:gridCol w:w="109"/>
        <w:gridCol w:w="109"/>
        <w:gridCol w:w="353"/>
        <w:gridCol w:w="220"/>
        <w:gridCol w:w="548"/>
        <w:gridCol w:w="109"/>
        <w:gridCol w:w="109"/>
        <w:gridCol w:w="109"/>
        <w:gridCol w:w="233"/>
        <w:gridCol w:w="233"/>
        <w:gridCol w:w="337"/>
      </w:tblGrid>
      <w:tr>
        <w:trPr/>
        <w:tc>
          <w:tcPr>
            <w:tcW w:w="61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Class V-1 and Class V-3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Class V-1 and Class V-3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61,283,689 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494,013,115 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555,296,804 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164,675 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164,675 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993,345 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(993,345)</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109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62,441,709 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493,019,770 </w:t>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555,461,479 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ownership of Symbotic Inc. stock for the nine months ended June 24, 2023.</w:t>
      </w:r>
    </w:p>
    <w:tbl>
      <w:tblPr>
        <w:tblW w:w="10205" w:type="dxa"/>
        <w:jc w:val="left"/>
        <w:tblInd w:w="0" w:type="dxa"/>
        <w:tblLayout w:type="fixed"/>
        <w:tblCellMar>
          <w:top w:w="28" w:type="dxa"/>
          <w:left w:w="28" w:type="dxa"/>
          <w:bottom w:w="28" w:type="dxa"/>
          <w:right w:w="28" w:type="dxa"/>
        </w:tblCellMar>
      </w:tblPr>
      <w:tblGrid>
        <w:gridCol w:w="615"/>
        <w:gridCol w:w="331"/>
        <w:gridCol w:w="333"/>
        <w:gridCol w:w="649"/>
        <w:gridCol w:w="446"/>
        <w:gridCol w:w="301"/>
        <w:gridCol w:w="109"/>
        <w:gridCol w:w="109"/>
        <w:gridCol w:w="109"/>
        <w:gridCol w:w="922"/>
        <w:gridCol w:w="329"/>
        <w:gridCol w:w="330"/>
        <w:gridCol w:w="109"/>
        <w:gridCol w:w="109"/>
        <w:gridCol w:w="109"/>
        <w:gridCol w:w="593"/>
        <w:gridCol w:w="593"/>
        <w:gridCol w:w="171"/>
        <w:gridCol w:w="109"/>
        <w:gridCol w:w="109"/>
        <w:gridCol w:w="109"/>
        <w:gridCol w:w="334"/>
        <w:gridCol w:w="200"/>
        <w:gridCol w:w="499"/>
        <w:gridCol w:w="109"/>
        <w:gridCol w:w="109"/>
        <w:gridCol w:w="109"/>
        <w:gridCol w:w="353"/>
        <w:gridCol w:w="220"/>
        <w:gridCol w:w="548"/>
        <w:gridCol w:w="109"/>
        <w:gridCol w:w="109"/>
        <w:gridCol w:w="109"/>
        <w:gridCol w:w="233"/>
        <w:gridCol w:w="233"/>
        <w:gridCol w:w="337"/>
      </w:tblGrid>
      <w:tr>
        <w:trPr/>
        <w:tc>
          <w:tcPr>
            <w:tcW w:w="61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Class V-1 and Class V-3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Class V-1 and Class V-3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57,718,836 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496,170,413 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553,889,249 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1,939,924 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1,939,924 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2,782,949 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(2,782,949)</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(367,694)</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(367,694)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109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62,441,709 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493,019,770 </w:t>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555,461,479 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4. Revenue</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generates revenue through its design and installation of modular inventory management systems (the “Systems”) to automate customers’ depalletizing, storage, selection, and palletization warehousing processes. The Systems have both a hardware component and an embedded software component that enables the system to be programmed to operate within specific customer environments. The Company enters into contracts with customers that can include various combinations of services to design and install the Systems. These services are generally distinct and accounted for as separate performance obligations. As a result, each customer contract may contain multiple performance obligations. The Company determines whether performance obligations are distinct based on whether the customer can benefit from the product or service on its own or together with other resources that are readily available and whether the Company’s commitment to provide the services to the customer is separately identifiable from other obligations in the contract. </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upon transfer of control of promised goods or services in a contract with a customer, generally as title and risk of loss pass to the customer, in an amount that reflects the consideration the Company expects to receive in exchange for those products or services. Revenue is recognized only to the extent that it is probable that a significant reversal of revenue will not occur and when collection is considered probable. In instances where the timing of revenue recognition differs from the timing of invoicing, the Company has determined its contracts do not include a significant financing component. Taxes collected from customers, which are subsequently remitted to governmental authorities, are excluded from revenue. Shipping and handling costs billed to customers are included in revenue and the related costs are included in cost of revenue when control transfers to the customer. The Company presents amounts collected from customers for sales and other taxes net of the related amounts remitted.</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design, assembly, and installation of a System includes substantive customer-specified acceptance criteria that allow the customer to accept or reject systems that do not meet the customer’s specifications. When the Company cannot objectively determine that acceptance criteria will be met upon contract inception, revenue relating to systems is deferred and recognized at a point in time upon final acceptance from the customer. If acceptance can be reasonably certain upon contract inception, revenue is recognized over time based on an input method, using a cost-to-cost measure of progress.</w:t>
      </w:r>
    </w:p>
    <w:p>
      <w:pPr>
        <w:pStyle w:val="TextBody"/>
        <w:bidi w:val="0"/>
        <w:spacing w:lineRule="auto" w:line="240" w:before="120" w:after="2"/>
        <w:jc w:val="both"/>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disaggregation of revenue based on product and service type on the consolidated statements of operations as it believes these categories best depict how the nature, amount, timing, and uncertainty of revenue and cash flows are affected by economic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84785"/>
                <wp:effectExtent l="0" t="0" r="0" b="0"/>
                <wp:wrapNone/>
                <wp:docPr id="18" name="Frame1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60" w:after="283"/>
        <w:ind w:left="0" w:right="0" w:firstLine="360"/>
        <w:jc w:val="left"/>
        <w:rPr/>
      </w:pPr>
      <w:hyperlink w:anchor="icc5ff0f4f7584c1c9f7c92c4362a9638_7">
        <w:r>
          <w:rPr>
            <w:rStyle w:val="InternetLink"/>
            <w:rFonts w:ascii="Times New Roman;sans-serif" w:hAnsi="Times New Roman;sans-serif"/>
            <w:b w:val="false"/>
            <w:color w:val="0000FF"/>
            <w:sz w:val="20"/>
            <w:u w:val="single"/>
          </w:rPr>
          <w:t>Table of Contents</w:t>
        </w:r>
      </w:hyperlink>
    </w:p>
    <w:p>
      <w:pPr>
        <w:pStyle w:val="TextBody"/>
        <w:bidi w:val="0"/>
        <w:spacing w:lineRule="auto" w:line="240" w:before="120" w:after="2"/>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Balances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accounts receivable, unbilled accounts receivable, and contract liabilities from contracts with customers (in thousands):</w:t>
      </w:r>
    </w:p>
    <w:tbl>
      <w:tblPr>
        <w:tblW w:w="5620" w:type="dxa"/>
        <w:jc w:val="left"/>
        <w:tblInd w:w="0" w:type="dxa"/>
        <w:tblLayout w:type="fixed"/>
        <w:tblCellMar>
          <w:top w:w="28" w:type="dxa"/>
          <w:left w:w="28" w:type="dxa"/>
          <w:bottom w:w="28" w:type="dxa"/>
          <w:right w:w="28" w:type="dxa"/>
        </w:tblCellMar>
      </w:tblPr>
      <w:tblGrid>
        <w:gridCol w:w="902"/>
        <w:gridCol w:w="792"/>
        <w:gridCol w:w="795"/>
        <w:gridCol w:w="212"/>
        <w:gridCol w:w="833"/>
        <w:gridCol w:w="109"/>
        <w:gridCol w:w="109"/>
        <w:gridCol w:w="109"/>
        <w:gridCol w:w="109"/>
        <w:gridCol w:w="292"/>
        <w:gridCol w:w="1145"/>
        <w:gridCol w:w="213"/>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24, 2022</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3,412 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accounts receivable</w:t>
            </w:r>
          </w:p>
        </w:tc>
        <w:tc>
          <w:tcPr>
            <w:tcW w:w="212"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101,816 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21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425,709 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 in the opening and closing balances of the Company’s contract liabilities primarily results from the timing difference between the Company’s performance and customer payments. The Company’s performance obligations are typically satisfied over time as work is performed. Payment from customers can vary, and is often received in advance of satisfaction of the performance obligations, resulting in a contract liability balance. During the nine months ended June 24, 2023 and June 25, 2022, the Company recognized $314.9 million and $305.7 million, respectively, of the contract liability balance as revenue upon transfer of the products or services to customers. </w:t>
      </w:r>
    </w:p>
    <w:p>
      <w:pPr>
        <w:pStyle w:val="TextBody"/>
        <w:bidi w:val="0"/>
        <w:spacing w:lineRule="auto" w:line="240" w:before="120" w:after="2"/>
        <w:jc w:val="both"/>
        <w:rPr>
          <w:rFonts w:ascii="Times New Roman;sans-serif" w:hAnsi="Times New Roman;sans-serif"/>
          <w:b w:val="false"/>
          <w:i/>
          <w:color w:val="000000"/>
          <w:sz w:val="20"/>
        </w:rPr>
      </w:pPr>
      <w:r>
        <w:rPr>
          <w:rFonts w:ascii="Times New Roman;sans-serif" w:hAnsi="Times New Roman;sans-serif"/>
          <w:b w:val="false"/>
          <w:i/>
          <w:color w:val="000000"/>
          <w:sz w:val="20"/>
        </w:rPr>
        <w:t>Remaining Performance Obligations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 represent the aggregate amount of the transaction price allocated to performance obligations not delivered, or partially undelivered, at the end of the reporting period. Remaining performance obligations include deferred revenue plus unbilled amounts not yet recorded in deferred revenue. Remaining performance obligation estimates are subject to change and are affected by several factors, including terminations, changes in scope of contracts, periodic revalidation, adjustments for revenue that have not materialized, adjustments for inflation, and adjustments for currency. For contracts with a duration of greater than one year, the transaction price allocated to performance obligations that are unsatisfied as of June 24, 2023 was $12.0 billion, which is primarily comprised of undelivered or partially undelivered Systems under contract, and which a substantial majority relates to undelivered or partially undelivered Systems in connection with the Master Automation Agreement with Walmart Inc. (“Walmart”) to implement Systems in all of Walmart’s 42 regional distribution centers. The definition of remaining performance obligations excludes: (i) any variable consideration, including future adjustments for inflation or deflation, and (ii) those contracts that provide the customer with the right to cancel or terminate the contract without incurring a substantial penalty. The Company expects to recognize approximately 12% of its remaining performance obligations as revenue in the next 12 months, approximately 80% of its remaining performance obligations as revenue within 5 years, and the remaining thereafter, which is dependent on the timing of System installation timelines. The Company does not disclose the value of remaining performance obligations for contracts with an original expected duration of one year or less.</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Significant Customers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June 24, 2023, there was one customer that individually accounted for 10% or more of total revenue. For the three and nine months ended June 25, 2022, there was one customer that accounted for 10% or more of total revenue. The following table represents this customer’s aggregate percent of total revenue for each of the three and nine month periods.</w:t>
      </w:r>
    </w:p>
    <w:tbl>
      <w:tblPr>
        <w:tblW w:w="6944" w:type="dxa"/>
        <w:jc w:val="left"/>
        <w:tblInd w:w="0" w:type="dxa"/>
        <w:tblLayout w:type="fixed"/>
        <w:tblCellMar>
          <w:top w:w="28" w:type="dxa"/>
          <w:left w:w="28" w:type="dxa"/>
          <w:bottom w:w="28" w:type="dxa"/>
          <w:right w:w="28" w:type="dxa"/>
        </w:tblCellMar>
      </w:tblPr>
      <w:tblGrid>
        <w:gridCol w:w="391"/>
        <w:gridCol w:w="344"/>
        <w:gridCol w:w="345"/>
        <w:gridCol w:w="257"/>
        <w:gridCol w:w="257"/>
        <w:gridCol w:w="641"/>
        <w:gridCol w:w="146"/>
        <w:gridCol w:w="146"/>
        <w:gridCol w:w="146"/>
        <w:gridCol w:w="257"/>
        <w:gridCol w:w="257"/>
        <w:gridCol w:w="641"/>
        <w:gridCol w:w="109"/>
        <w:gridCol w:w="109"/>
        <w:gridCol w:w="109"/>
        <w:gridCol w:w="257"/>
        <w:gridCol w:w="257"/>
        <w:gridCol w:w="640"/>
        <w:gridCol w:w="138"/>
        <w:gridCol w:w="138"/>
        <w:gridCol w:w="138"/>
        <w:gridCol w:w="255"/>
        <w:gridCol w:w="256"/>
        <w:gridCol w:w="710"/>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25, 2022</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A</w:t>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93.0 </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84785"/>
                <wp:effectExtent l="0" t="0" r="0" b="0"/>
                <wp:wrapNone/>
                <wp:docPr id="19" name="Frame1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60" w:after="283"/>
        <w:ind w:left="0" w:right="0" w:firstLine="360"/>
        <w:jc w:val="left"/>
        <w:rPr/>
      </w:pPr>
      <w:hyperlink w:anchor="icc5ff0f4f7584c1c9f7c92c4362a963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24, 2023, two customers accounted for over 10% of the Company’s accounts receivable balance, and three customers accounted for over 10% of the Company’s accounts receivable balance at September 24, 2022. The following table represents these customers’ aggregate percent of total accounts receivable. The symbol “n/a” indicates that such customer’s accounts receivable balance at the period indicated within the table did not exceed 10% of the Company’s accounts receivable balance. </w:t>
      </w:r>
    </w:p>
    <w:tbl>
      <w:tblPr>
        <w:tblW w:w="7195" w:type="dxa"/>
        <w:jc w:val="left"/>
        <w:tblInd w:w="0" w:type="dxa"/>
        <w:tblLayout w:type="fixed"/>
        <w:tblCellMar>
          <w:top w:w="28" w:type="dxa"/>
          <w:left w:w="28" w:type="dxa"/>
          <w:bottom w:w="28" w:type="dxa"/>
          <w:right w:w="28" w:type="dxa"/>
        </w:tblCellMar>
      </w:tblPr>
      <w:tblGrid>
        <w:gridCol w:w="1472"/>
        <w:gridCol w:w="1295"/>
        <w:gridCol w:w="1298"/>
        <w:gridCol w:w="257"/>
        <w:gridCol w:w="257"/>
        <w:gridCol w:w="640"/>
        <w:gridCol w:w="109"/>
        <w:gridCol w:w="109"/>
        <w:gridCol w:w="109"/>
        <w:gridCol w:w="336"/>
        <w:gridCol w:w="336"/>
        <w:gridCol w:w="977"/>
      </w:tblGrid>
      <w:tr>
        <w:trPr/>
        <w:tc>
          <w:tcPr>
            <w:tcW w:w="1472"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24, 2022</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A</w:t>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B</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97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w:t>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97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w:t>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640"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Percent of Total Accounts Receivable</w:t>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concentration in the volume of business transacted with these customers may lead to a material impact on the Company’s results from operations if a total or partial loss of the business relationship were to occur. As of the date of the issuance of these financial statements, the Company is not aware of any specific event or circumstance which would result in a material adverse impact to its results of operations or liquidity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ans-serif" w:hAnsi="Times New Roman;sans-serif"/>
          <w:b/>
          <w:color w:val="000000"/>
          <w:sz w:val="20"/>
        </w:rPr>
      </w:pPr>
      <w:r>
        <w:rPr>
          <w:rFonts w:ascii="Times New Roman;sans-serif" w:hAnsi="Times New Roman;sans-serif"/>
          <w:b/>
          <w:color w:val="000000"/>
          <w:sz w:val="20"/>
        </w:rPr>
        <w:t>5. Leases</w:t>
      </w:r>
    </w:p>
    <w:p>
      <w:pPr>
        <w:pStyle w:val="TextBody"/>
        <w:bidi w:val="0"/>
        <w:spacing w:lineRule="auto" w:line="288" w:before="60" w:after="283"/>
        <w:ind w:left="0" w:right="0" w:firstLine="360"/>
        <w:jc w:val="left"/>
        <w:rPr/>
      </w:pPr>
      <w:r>
        <w:rPr>
          <w:rFonts w:ascii="Times New Roman;sans-serif" w:hAnsi="Times New Roman;sans-serif"/>
          <w:b w:val="false"/>
          <w:color w:val="000000"/>
          <w:sz w:val="20"/>
        </w:rPr>
        <w:t xml:space="preserve">In connection with the adoption of ASUs 2016-02 and 2018-11 (see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xml:space="preserve">), the Company updated its policy for recognizing leases under ASC Topic 842. A summary of the updated policy is included in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xml:space="preserve">. Prior to September 25, 2022, the Company accounted for leases under ASC Topic 840, </w:t>
      </w:r>
      <w:r>
        <w:rPr>
          <w:rFonts w:ascii="Times New Roman;sans-serif" w:hAnsi="Times New Roman;sans-serif"/>
          <w:b w:val="false"/>
          <w:i/>
          <w:color w:val="000000"/>
          <w:sz w:val="20"/>
        </w:rPr>
        <w:t>Leases</w:t>
      </w:r>
      <w:r>
        <w:rPr>
          <w:rFonts w:ascii="Times New Roman;sans-serif" w:hAnsi="Times New Roman;sans-serif"/>
          <w:b w:val="false"/>
          <w:color w:val="000000"/>
          <w:sz w:val="20"/>
        </w:rPr>
        <w:t>.</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Lease Portfolio</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leases office space in Wilmington, MA, Douglas, GA, and Montreal, QC through operating lease arrangements. The Company has no finance lease agreements. The operating lease arrangements expire at various dates through June 2026.</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Impact of Adoption</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utilized the cumulative effect adjustment method of adoption and, accordingly, recorded ROU assets and lease liabilities of $5.5 million and $6.4 million, respectively, on the balance sheet at September 25, 2022. The Company elected the following practical expedients in accordance with ASC Topic 842: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Reassessment elections - The Company elected the package of practical expedients, and did not reassess whether any existing contracts are or contain a lease, provided a lease analysis was conducted under ASC Topic 840. To the extent leases were identified under ASC Topic 840, the Company did not reassess the classification of those leases. Additionally, to the extent initial direct costs were capitalized under ASC Topic 840 and are not amortized as a result of the implementation of ASC Topic 842, they were not reassessed.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Short-term lease election - ASC Topic 842 allows lessees an option to not recognize ROU assets and lease liabilities arising from short-term leases. A short-term lease is defined as a lease with an initial term of 12 months or less. The Company elected to not recognize short-term leases as ROU assets and lease liabilities on the balance sheet. All short-term leases which are not included on the Company’s balance sheet will be recognized within lease expense. Leases that have an initial term of 12 months or less with an option for renewal will need to be assessed in order to determine if the lease qualifies for the short-term lease exception. If the option is reasonably certain to be exercised, the lease does not qualify as a short-term lease.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84785"/>
                <wp:effectExtent l="0" t="0" r="0" b="0"/>
                <wp:wrapNone/>
                <wp:docPr id="20" name="Frame2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60" w:after="283"/>
        <w:ind w:left="0" w:right="0" w:firstLine="360"/>
        <w:jc w:val="left"/>
        <w:rPr/>
      </w:pPr>
      <w:hyperlink w:anchor="icc5ff0f4f7584c1c9f7c92c4362a963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balance sheet location of the Company’s operating leases (in thousands):</w:t>
      </w:r>
    </w:p>
    <w:tbl>
      <w:tblPr>
        <w:tblW w:w="5024" w:type="dxa"/>
        <w:jc w:val="left"/>
        <w:tblInd w:w="0" w:type="dxa"/>
        <w:tblLayout w:type="fixed"/>
        <w:tblCellMar>
          <w:top w:w="28" w:type="dxa"/>
          <w:left w:w="28" w:type="dxa"/>
          <w:bottom w:w="28" w:type="dxa"/>
          <w:right w:w="28" w:type="dxa"/>
        </w:tblCellMar>
      </w:tblPr>
      <w:tblGrid>
        <w:gridCol w:w="1384"/>
        <w:gridCol w:w="1213"/>
        <w:gridCol w:w="1227"/>
        <w:gridCol w:w="258"/>
        <w:gridCol w:w="754"/>
        <w:gridCol w:w="188"/>
      </w:tblGrid>
      <w:tr>
        <w:trPr/>
        <w:tc>
          <w:tcPr>
            <w:tcW w:w="1384"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assets:</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258"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258"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maturities of the Company’s operating lease liabilities as of June 24, 2023, presented under ASC Topic 842 (in thousands):</w:t>
      </w:r>
    </w:p>
    <w:tbl>
      <w:tblPr>
        <w:tblW w:w="3929" w:type="dxa"/>
        <w:jc w:val="left"/>
        <w:tblInd w:w="0" w:type="dxa"/>
        <w:tblLayout w:type="fixed"/>
        <w:tblCellMar>
          <w:top w:w="28" w:type="dxa"/>
          <w:left w:w="28" w:type="dxa"/>
          <w:bottom w:w="28" w:type="dxa"/>
          <w:right w:w="28" w:type="dxa"/>
        </w:tblCellMar>
      </w:tblPr>
      <w:tblGrid>
        <w:gridCol w:w="989"/>
        <w:gridCol w:w="868"/>
        <w:gridCol w:w="872"/>
        <w:gridCol w:w="258"/>
        <w:gridCol w:w="754"/>
        <w:gridCol w:w="188"/>
      </w:tblGrid>
      <w:tr>
        <w:trPr/>
        <w:tc>
          <w:tcPr>
            <w:tcW w:w="98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fiscal year 2023</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2024</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2025</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2026</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2027 and thereafter</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payments</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5,546 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Implied interest</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24, 2023, the weighted-average remaining lease term and the weighted-average incremental borrowing rate of the Company’s operating leases was approximately 2.6 years and 7.5%, respectively. Operating cash flows for amounts included in the measurement of the Company’s operating lease liabilities were $1.7 million for the nine months ended June 24,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6. Inventories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at June 24, 2023 and September 24, 2022 consist of the following (in thousands):</w:t>
      </w:r>
    </w:p>
    <w:tbl>
      <w:tblPr>
        <w:tblW w:w="5770" w:type="dxa"/>
        <w:jc w:val="center"/>
        <w:tblInd w:w="0" w:type="dxa"/>
        <w:tblLayout w:type="fixed"/>
        <w:tblCellMar>
          <w:top w:w="28" w:type="dxa"/>
          <w:left w:w="28" w:type="dxa"/>
          <w:bottom w:w="28" w:type="dxa"/>
          <w:right w:w="28" w:type="dxa"/>
        </w:tblCellMar>
      </w:tblPr>
      <w:tblGrid>
        <w:gridCol w:w="955"/>
        <w:gridCol w:w="841"/>
        <w:gridCol w:w="843"/>
        <w:gridCol w:w="212"/>
        <w:gridCol w:w="833"/>
        <w:gridCol w:w="109"/>
        <w:gridCol w:w="109"/>
        <w:gridCol w:w="109"/>
        <w:gridCol w:w="109"/>
        <w:gridCol w:w="320"/>
        <w:gridCol w:w="1096"/>
        <w:gridCol w:w="234"/>
      </w:tblGrid>
      <w:tr>
        <w:trPr/>
        <w:tc>
          <w:tcPr>
            <w:tcW w:w="95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24, 2022</w:t>
            </w:r>
          </w:p>
        </w:tc>
      </w:tr>
      <w:tr>
        <w:trPr/>
        <w:tc>
          <w:tcPr>
            <w:tcW w:w="2639"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 and components</w:t>
            </w:r>
          </w:p>
        </w:tc>
        <w:tc>
          <w:tcPr>
            <w:tcW w:w="212"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164,569 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88,999 </w:t>
            </w:r>
          </w:p>
        </w:tc>
        <w:tc>
          <w:tcPr>
            <w:tcW w:w="234"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212"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166,877 </w:t>
            </w:r>
          </w:p>
        </w:tc>
        <w:tc>
          <w:tcPr>
            <w:tcW w:w="109"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91,900 </w:t>
            </w:r>
          </w:p>
        </w:tc>
        <w:tc>
          <w:tcPr>
            <w:tcW w:w="234"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pPr>
      <w:r>
        <w:rPr>
          <w:rFonts w:ascii="Times New Roman;sans-serif" w:hAnsi="Times New Roman;sans-serif"/>
          <w:b w:val="false"/>
          <w:color w:val="000000"/>
          <w:sz w:val="20"/>
        </w:rPr>
        <w:t xml:space="preserve">During the second quarter of fiscal year 2023, inventory impairment charges of $5.2 million were recorded resulting from management’s commitment to actions to restructure certain parts of the Company within the U.S. and Canada, as further described in Note 8, </w:t>
      </w:r>
      <w:r>
        <w:rPr>
          <w:rFonts w:ascii="Times New Roman;sans-serif" w:hAnsi="Times New Roman;sans-serif"/>
          <w:b w:val="false"/>
          <w:i/>
          <w:color w:val="000000"/>
          <w:sz w:val="20"/>
        </w:rPr>
        <w:t>Severance Charges</w:t>
      </w:r>
      <w:r>
        <w:rPr>
          <w:rFonts w:ascii="Times New Roman;sans-serif" w:hAnsi="Times New Roman;sans-serif"/>
          <w:b w:val="false"/>
          <w:color w:val="000000"/>
          <w:sz w:val="20"/>
        </w:rPr>
        <w:t>. These impairment charges were recorded within Systems Cost of Revenue in the Consolidated Statements of Operations. No additional charges were incurred during the third quarter of fiscal year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7. Property and Equipment</w:t>
      </w:r>
    </w:p>
    <w:p>
      <w:pPr>
        <w:pStyle w:val="TextBody"/>
        <w:bidi w:val="0"/>
        <w:spacing w:lineRule="auto" w:line="288" w:before="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at June 24, 2023 and September 24, 2022 consists of the following (in thousands):</w:t>
      </w:r>
    </w:p>
    <w:tbl>
      <w:tblPr>
        <w:tblW w:w="9476" w:type="dxa"/>
        <w:jc w:val="left"/>
        <w:tblInd w:w="0" w:type="dxa"/>
        <w:tblLayout w:type="fixed"/>
        <w:tblCellMar>
          <w:top w:w="28" w:type="dxa"/>
          <w:left w:w="28" w:type="dxa"/>
          <w:bottom w:w="28" w:type="dxa"/>
          <w:right w:w="28" w:type="dxa"/>
        </w:tblCellMar>
      </w:tblPr>
      <w:tblGrid>
        <w:gridCol w:w="2298"/>
        <w:gridCol w:w="2017"/>
        <w:gridCol w:w="2029"/>
        <w:gridCol w:w="234"/>
        <w:gridCol w:w="800"/>
        <w:gridCol w:w="121"/>
        <w:gridCol w:w="109"/>
        <w:gridCol w:w="109"/>
        <w:gridCol w:w="109"/>
        <w:gridCol w:w="320"/>
        <w:gridCol w:w="1096"/>
        <w:gridCol w:w="234"/>
      </w:tblGrid>
      <w:tr>
        <w:trPr/>
        <w:tc>
          <w:tcPr>
            <w:tcW w:w="2298"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24, 2022</w:t>
            </w:r>
          </w:p>
        </w:tc>
      </w:tr>
      <w:tr>
        <w:trPr/>
        <w:tc>
          <w:tcPr>
            <w:tcW w:w="6344"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 furniture and fixtures, and test equipment</w:t>
            </w:r>
          </w:p>
        </w:tc>
        <w:tc>
          <w:tcPr>
            <w:tcW w:w="234"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66,576 </w:t>
            </w:r>
          </w:p>
        </w:tc>
        <w:tc>
          <w:tcPr>
            <w:tcW w:w="121"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45,818 </w:t>
            </w:r>
          </w:p>
        </w:tc>
        <w:tc>
          <w:tcPr>
            <w:tcW w:w="234"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w:t>
            </w:r>
          </w:p>
        </w:tc>
        <w:tc>
          <w:tcPr>
            <w:tcW w:w="1034"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69,496 </w:t>
            </w:r>
          </w:p>
        </w:tc>
        <w:tc>
          <w:tcPr>
            <w:tcW w:w="121"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48,722 </w:t>
            </w:r>
          </w:p>
        </w:tc>
        <w:tc>
          <w:tcPr>
            <w:tcW w:w="234"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(23,844)</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34"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40,913 </w:t>
            </w:r>
          </w:p>
        </w:tc>
        <w:tc>
          <w:tcPr>
            <w:tcW w:w="12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24,878 </w:t>
            </w:r>
          </w:p>
        </w:tc>
        <w:tc>
          <w:tcPr>
            <w:tcW w:w="234"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84785"/>
                <wp:effectExtent l="0" t="0" r="0" b="0"/>
                <wp:wrapNone/>
                <wp:docPr id="21" name="Frame2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60" w:after="283"/>
        <w:ind w:left="0" w:right="0" w:firstLine="360"/>
        <w:jc w:val="left"/>
        <w:rPr/>
      </w:pPr>
      <w:hyperlink w:anchor="icc5ff0f4f7584c1c9f7c92c4362a963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June 24, 2023, depreciation expense was $1.5 million and $4.7 million, respectively. For the three and nine months ended June 25, 2022, depreciation expense was $1.3 million and $3.9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283"/>
        <w:jc w:val="both"/>
        <w:rPr>
          <w:rFonts w:ascii="Times New Roman;sans-serif" w:hAnsi="Times New Roman;sans-serif"/>
          <w:b/>
          <w:color w:val="000000"/>
          <w:sz w:val="20"/>
        </w:rPr>
      </w:pPr>
      <w:r>
        <w:rPr>
          <w:rFonts w:ascii="Times New Roman;sans-serif" w:hAnsi="Times New Roman;sans-serif"/>
          <w:b/>
          <w:color w:val="000000"/>
          <w:sz w:val="20"/>
        </w:rPr>
        <w:t>8. Severance Charges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second quarter of fiscal year 2023, management committed to actions to restructure certain parts of the Company within the U.S. and Canada to better position the Company to become more agile in delivering its solutions through various outsourcing partnerships. As a result, certain headcount reductions were necessary, and the Company recognized less than $0.1 million and $2.3 million of expense associated with these actions, which is included within selling, general, and administrative expenses on the Consolidated Statements of Operations for the three and nine months ended June 24, 2023, respectively. The charges related to these actions are expected to be substantially completed within the fiscal year. The costs incurred related to employee severance are recorded as a liability when it is probable that employees will be entitled to termination benefits and the amounts can be reasonably estimated. The liability related to these charges is included in accrued expenses and other current liabilities in the Consolidated Balance Sheets. </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activity related to the Company’s severance liability as of June 24, 2023 (in thousands). The Company did not have material severance activity for the period ended September 24, 2022. </w:t>
      </w:r>
    </w:p>
    <w:tbl>
      <w:tblPr>
        <w:tblW w:w="4709" w:type="dxa"/>
        <w:jc w:val="left"/>
        <w:tblInd w:w="0" w:type="dxa"/>
        <w:tblLayout w:type="fixed"/>
        <w:tblCellMar>
          <w:top w:w="28" w:type="dxa"/>
          <w:left w:w="28" w:type="dxa"/>
          <w:bottom w:w="28" w:type="dxa"/>
          <w:right w:w="28" w:type="dxa"/>
        </w:tblCellMar>
      </w:tblPr>
      <w:tblGrid>
        <w:gridCol w:w="1269"/>
        <w:gridCol w:w="1118"/>
        <w:gridCol w:w="1122"/>
        <w:gridCol w:w="258"/>
        <w:gridCol w:w="754"/>
        <w:gridCol w:w="188"/>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liability at September 25, 2022</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charges</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and other</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(5,458)</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liability at June 24, 2023</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283"/>
        <w:jc w:val="both"/>
        <w:rPr>
          <w:rFonts w:ascii="Times New Roman;sans-serif" w:hAnsi="Times New Roman;sans-serif"/>
          <w:b/>
          <w:color w:val="000000"/>
          <w:sz w:val="20"/>
        </w:rPr>
      </w:pPr>
      <w:r>
        <w:rPr>
          <w:rFonts w:ascii="Times New Roman;sans-serif" w:hAnsi="Times New Roman;sans-serif"/>
          <w:b/>
          <w:color w:val="000000"/>
          <w:sz w:val="20"/>
        </w:rPr>
        <w:t>9. Income Taxes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U.S. federal income taxes, in addition to state and local income taxes, with respect to its allocable share of any taxable income or loss of Symbotic Holdings, LLC. The remaining share of Symbotic Holdings income or loss is non-taxable to the Company and is not reflected in current or deferred income taxes. The Company’s foreign subsidiaries are subject to income tax in their local jurisdictions.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financial reporting predecessor, Legacy Warehouse, was a limited liability company that was treated as a partnership for U.S. federal income tax purposes and for most applicable state and local income tax purposes. As a partnership, Legacy Warehouse was not subject to U.S. federal and certain state and local income taxes. Any taxable income or loss generated by Legacy Warehouse was passed through to and included in the taxable income or loss of its members on a pro rata basis, subject to applicable tax regulations. No provision, except for certain foreign subsidiaries which are taxed in their respective foreign jurisdictions, was made in the consolidated financial statements for income taxes. Because Legacy Warehouse was the Company’s financial reporting predecessor and not subject to entity level income tax, and because its foreign subsidiaries had a full valuation allowance against their deferred tax assets, no current or deferred income tax provision or benefit was recorded for the three or nine months ended June 25, 2022. </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June 24, 2023, the Company recorded less than a $0.1 million current income tax expense and a $0.2 million current income tax expense, respectively. The Company incurred a pre-tax loss for the three and nine month periods and recorded a full valuation allowance against its deferred tax assets, but incurred state tax expense by Symbotic US at the flow-through entity level. The effective tax rate for the nine months ended June 24, 2023 is (0.15)% and differs from the federal statutory income tax rate primarily due to the flow-through entity level state taxes and the effect of the full valuation allowance against its net federal, state, and foreign deferred taxes.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24, 2023, the Company continues to conclude that the negative evidence regarding its ability to realize its deferred tax assets outweighs the positive evidence, and the Company has a full valuation allowance against its federal, state, and foreign net deferred tax assets. The Company has a history of cumulative pre-tax losses for the three previous fiscal years which it believes represents significant negative evidence in evaluating whether its deferred tax assets are realizable. Given these cumulative losses, lack of forecast history, the competitive environment, and uncertainty of general economic conditions, the Company does not believe it can rely on projections of future taxable income exclusive of reversing taxable temporary differences to support the realization of its deferred tax assets. In upcoming quarters, the Company will continue to evaluate both the positive and negative evidence surrounding its ability to realize its deferred tax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84785"/>
                <wp:effectExtent l="0" t="0" r="0" b="0"/>
                <wp:wrapNone/>
                <wp:docPr id="22" name="Frame2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60" w:after="283"/>
        <w:ind w:left="0" w:right="0" w:firstLine="360"/>
        <w:jc w:val="left"/>
        <w:rPr/>
      </w:pPr>
      <w:hyperlink w:anchor="icc5ff0f4f7584c1c9f7c92c4362a9638_7">
        <w:r>
          <w:rPr>
            <w:rStyle w:val="InternetLink"/>
            <w:rFonts w:ascii="Times New Roman;sans-serif" w:hAnsi="Times New Roman;sans-serif"/>
            <w:b w:val="false"/>
            <w:color w:val="0000FF"/>
            <w:sz w:val="20"/>
            <w:u w:val="single"/>
          </w:rPr>
          <w:t>Table of Contents</w:t>
        </w:r>
      </w:hyperlink>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Tax Receivable Agreement</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24, 2023 future payments under the Tax Receivable Agreement (“TRA”) with respect to the purchase of Symbotic Holdings Units which occurred as part of or subsequent to the Business Combination are expected to be $127.0 million. Payments made under the TRA represent payments that otherwise would have been made to taxing authorities in the absence of attributes obtained by the Company as a result of exchanges by its pre-IPO members. Such amounts will be paid only when a cash tax savings is realized as a result of attributes subject to the TRA. That is, payments under the TRA are only expected to be made in periods following the filing of a tax return in which the Company is able to utilize certain tax benefits to reduce its cash taxes paid to a taxing authority. The impact of any changes in the projected obligations under the TRA as a result of changes in the geographic mix of the Company’s earnings, changes in tax legislation and tax rates or other factors that may impact the Company’s tax savings will be reflected in income or loss before taxes on the consolidated statement of operations in the period in which the change occurs. As of June 24, 2023, no TRA liability was recorded based on current projections of future taxable income taking into consideration the Company’s full valuation allowance against its net deferred tax asset.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283"/>
        <w:jc w:val="both"/>
        <w:rPr>
          <w:rFonts w:ascii="Times New Roman;sans-serif" w:hAnsi="Times New Roman;sans-serif"/>
          <w:b/>
          <w:color w:val="000000"/>
          <w:sz w:val="20"/>
        </w:rPr>
      </w:pPr>
      <w:r>
        <w:rPr>
          <w:rFonts w:ascii="Times New Roman;sans-serif" w:hAnsi="Times New Roman;sans-serif"/>
          <w:b/>
          <w:color w:val="000000"/>
          <w:sz w:val="20"/>
        </w:rPr>
        <w:t>10. Fair Value Measures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Level 1 – inputs to the valuation methodology are quoted prices (unadjusted) for an identical asset or liability in an active market </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Level 2 – inputs to the valuation methodology include quoted prices for a similar asset or liability in an active market or model-derived valuations in which all significant inputs are observable for substantially the full term of the asset or liability </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 inputs to the valuation methodology are unobservable and significant to the fair value measurement of the asset or liability </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financial assets measured and recorded at fair value on a recurring basis using the above input categories as of June 24, 2023 and September 24, 2022 (in thousands):</w:t>
      </w:r>
    </w:p>
    <w:tbl>
      <w:tblPr>
        <w:tblW w:w="11128" w:type="dxa"/>
        <w:jc w:val="center"/>
        <w:tblInd w:w="0" w:type="dxa"/>
        <w:tblLayout w:type="fixed"/>
        <w:tblCellMar>
          <w:top w:w="28" w:type="dxa"/>
          <w:left w:w="28" w:type="dxa"/>
          <w:bottom w:w="28" w:type="dxa"/>
          <w:right w:w="28" w:type="dxa"/>
        </w:tblCellMar>
      </w:tblPr>
      <w:tblGrid>
        <w:gridCol w:w="435"/>
        <w:gridCol w:w="224"/>
        <w:gridCol w:w="227"/>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406"/>
        <w:gridCol w:w="109"/>
        <w:gridCol w:w="109"/>
        <w:gridCol w:w="109"/>
        <w:gridCol w:w="109"/>
        <w:gridCol w:w="211"/>
        <w:gridCol w:w="82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24, 2022</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516,869 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333,388 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333,388 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no liabilities measured and recorded at fair value on a recurring basis as of June 24, 2023 and September 24, 2022.</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investments purchased with an original maturity of three months or less to be cash equivalents. The fair value of the Company’s investments in certain money market funds is their face value and such instruments are classified as Level 1 and are included in cash and cash equivalents on the consolidated balance sheets. At June 24, 2023, Level 2 securities were priced by pricing vendors. These pricing vendors utilize the most recent observable market information in pricing these securities or, if specific prices are not available for these securities, use other observable inputs like market transactions involving identical or comparable securities.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At June 24, 2023, the amortized cost of the Company’s U.S. Treasury securities is $331.2 million, with unrealized gains of $4.0 million and no unrealized losses, resulting in a fair value of $335.2 million. As applicable, when making the determination as to whether unrealized losses are other-than-temporary, the Company considers the length of time and extent to which each investment has been in an unrealized loss position, the financial condition and near-term prospects of the issuers, the issuers’ credit rating, and the time to maturity. Included in the amortized cost of $331.2 million is $78.7 million of cash and cash equivalents related to U.S. Treasury securities with an original maturity of three months or less.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84785"/>
                <wp:effectExtent l="0" t="0" r="0" b="0"/>
                <wp:wrapNone/>
                <wp:docPr id="23" name="Frame2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60" w:after="283"/>
        <w:ind w:left="0" w:right="0" w:firstLine="360"/>
        <w:jc w:val="left"/>
        <w:rPr/>
      </w:pPr>
      <w:hyperlink w:anchor="icc5ff0f4f7584c1c9f7c92c4362a963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11. Related Party Transactions</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Insurance Coverage </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first quarter of fiscal year 2023, the Company was covered under the C&amp;S Wholesale Grocers, Inc. (“C&amp;S”) workers’ compensation, general liability, auto liability risk, and technology errors and omissions insurance which C&amp;S managed through the utilization of high deductible insurance policies. C&amp;S is an affiliate of the Company as the same individual, certain of his family members and certain affiliated entities and trusts of the individual and his family members, in the aggregate, control both entities. The Company paid $0.7 million and $1.7 million to C&amp;S related to this insurance coverage during the three and nine months ended June 25, 2022. The amounts were expensed to operations as incurred.</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Aircraft Time Sharing Agreement</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2021 and May 2022, the Company entered into aircraft time-sharing agreements with C&amp;S whereby the Company’s officials, employees, and guests are permitted to use the two C&amp;S aircrafts on an as-needed and as-available basis, with no minimum usage being required. As there is no defined period of time stated within these aircraft time-sharing agreements, the Company does not consider these to meet the definition of a lease, and as such, records payments in the period in which the obligation for the payment is incurred. For the three and nine months ended June 24, 2023, the Company incurred expense of $0.2 million and $0.6 million, respectively. For the three and nine months ended June 25, 2022, the Company incurred expense of $0.2 million related to these aircraft time-sharing agreements.</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Usage of Facility and Employee Services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fiscal year 2022, the Company entered into a license arrangement with C&amp;S whereby C&amp;S is providing receiving and logistics services for the Company within a C&amp;S distribution facility. The arrangement also provides for C&amp;S employees assisting with certain of the Company’s operations. For the three and nine months ended June 24, 2023, the Company incurred $1.0 million and $2.0 million, respectively, of expense related to this arrangement.</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Customer Contracts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customer contracts with C&amp;S relating to systems implementation, software maintenance services and the operations of a warehouse automation system. For the three and nine months ended June 24, 2023, revenue of $1.4 million and $14.1 million was recognized, respectively, relating to these customer contracts. For the three and nine months ended June 25, 2022, revenue of $0.9 million and $2.6 million was recognized, respectively, relating to these customer contracts. There were no accounts receivable due from C&amp;S at June 24, 2023 and September 24, 2022. There was $9.5 million of deferred revenue relating to contracts with C&amp;S at June 24, 2023 and $0.5 million of deferred revenue relating to contracts with C&amp;S at September 24,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12. Commitments and Contingencies</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Contingencies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for any loss contingencies arising from claims, assessments, litigation, fines, penalties, and other matters are recorded when it is probable that the liability has been incurred and the amount of the liability can be reasonably estimated. As of June 24, 2023, the Company has made appropriate provisions related to such matters and does not believe that such matters will have a material adverse effect on the Company’s consolidated operations, financial position, or liquidity.</w:t>
      </w:r>
    </w:p>
    <w:p>
      <w:pPr>
        <w:pStyle w:val="TextBody"/>
        <w:bidi w:val="0"/>
        <w:spacing w:lineRule="auto" w:line="240" w:before="120" w:after="2"/>
        <w:jc w:val="both"/>
        <w:rPr>
          <w:rFonts w:ascii="Times New Roman;sans-serif" w:hAnsi="Times New Roman;sans-serif"/>
          <w:b w:val="false"/>
          <w:i/>
          <w:color w:val="000000"/>
          <w:sz w:val="20"/>
        </w:rPr>
      </w:pPr>
      <w:r>
        <w:rPr>
          <w:rFonts w:ascii="Times New Roman;sans-serif" w:hAnsi="Times New Roman;sans-serif"/>
          <w:b w:val="false"/>
          <w:i/>
          <w:color w:val="000000"/>
          <w:sz w:val="20"/>
        </w:rPr>
        <w:t>Indemnifications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the Company enters into various contracts under which it may agree to indemnify other parties for losses incurred from certain events as defined in the relevant contract, such as litigation, regulatory penalties, or claims relating to past performance. Such indemnification obligations may not be subject to maximum loss clauses. The Company has never incurred costs to defend lawsuits or settle claims related to these indemnification obligations. As a result, the Company believes the estimated fair value of these obligations is minimal. Accordingly, the Company has no liabilities recorded for these obligations as of June 24, 2023 and September 24,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84785"/>
                <wp:effectExtent l="0" t="0" r="0" b="0"/>
                <wp:wrapNone/>
                <wp:docPr id="24" name="Frame2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60" w:after="283"/>
        <w:ind w:left="0" w:right="0" w:firstLine="360"/>
        <w:jc w:val="left"/>
        <w:rPr/>
      </w:pPr>
      <w:hyperlink w:anchor="icc5ff0f4f7584c1c9f7c92c4362a9638_7">
        <w:r>
          <w:rPr>
            <w:rStyle w:val="InternetLink"/>
            <w:rFonts w:ascii="Times New Roman;sans-serif" w:hAnsi="Times New Roman;sans-serif"/>
            <w:b w:val="false"/>
            <w:color w:val="0000FF"/>
            <w:sz w:val="20"/>
            <w:u w:val="single"/>
          </w:rPr>
          <w:t>Table of Contents</w:t>
        </w:r>
      </w:hyperlink>
    </w:p>
    <w:p>
      <w:pPr>
        <w:pStyle w:val="TextBody"/>
        <w:bidi w:val="0"/>
        <w:spacing w:lineRule="auto" w:line="240" w:before="120" w:after="2"/>
        <w:jc w:val="both"/>
        <w:rPr>
          <w:rFonts w:ascii="Times New Roman;sans-serif" w:hAnsi="Times New Roman;sans-serif"/>
          <w:b w:val="false"/>
          <w:i/>
          <w:color w:val="000000"/>
          <w:sz w:val="20"/>
        </w:rPr>
      </w:pPr>
      <w:r>
        <w:rPr>
          <w:rFonts w:ascii="Times New Roman;sans-serif" w:hAnsi="Times New Roman;sans-serif"/>
          <w:b w:val="false"/>
          <w:i/>
          <w:color w:val="000000"/>
          <w:sz w:val="20"/>
        </w:rPr>
        <w:t>Warranty</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a limited warranty on its warehouse automation systems and has established a reserve for warranty obligations based on estimated warranty costs. The reserve is included as part of accrued expenses and other long-term liabilities in the accompanying consolidated balance sheets. </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Activity related to the warranty accrual is as follows (in thousands): </w:t>
      </w:r>
    </w:p>
    <w:tbl>
      <w:tblPr>
        <w:tblW w:w="8284" w:type="dxa"/>
        <w:jc w:val="left"/>
        <w:tblInd w:w="0" w:type="dxa"/>
        <w:tblLayout w:type="fixed"/>
        <w:tblCellMar>
          <w:top w:w="28" w:type="dxa"/>
          <w:left w:w="28" w:type="dxa"/>
          <w:bottom w:w="28" w:type="dxa"/>
          <w:right w:w="28" w:type="dxa"/>
        </w:tblCellMar>
      </w:tblPr>
      <w:tblGrid>
        <w:gridCol w:w="956"/>
        <w:gridCol w:w="840"/>
        <w:gridCol w:w="843"/>
        <w:gridCol w:w="234"/>
        <w:gridCol w:w="800"/>
        <w:gridCol w:w="121"/>
        <w:gridCol w:w="109"/>
        <w:gridCol w:w="109"/>
        <w:gridCol w:w="109"/>
        <w:gridCol w:w="260"/>
        <w:gridCol w:w="760"/>
        <w:gridCol w:w="134"/>
        <w:gridCol w:w="109"/>
        <w:gridCol w:w="109"/>
        <w:gridCol w:w="109"/>
        <w:gridCol w:w="234"/>
        <w:gridCol w:w="800"/>
        <w:gridCol w:w="121"/>
        <w:gridCol w:w="109"/>
        <w:gridCol w:w="109"/>
        <w:gridCol w:w="109"/>
        <w:gridCol w:w="258"/>
        <w:gridCol w:w="754"/>
        <w:gridCol w:w="188"/>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25, 2022</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usage</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14,056 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5,498 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14,056 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5,498 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13. Net Loss per Share</w:t>
      </w:r>
    </w:p>
    <w:p>
      <w:pPr>
        <w:pStyle w:val="TextBody"/>
        <w:bidi w:val="0"/>
        <w:spacing w:lineRule="auto" w:line="288" w:before="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of Class A common stock is computed by dividing net loss attributable to common shareholders by the weighted-average number of shares of Class A common stock outstanding during the period. Diluted earnings per share of Class A common stock is computed by dividing net loss attributable to common shareholders adjusted for the assumed exchange of all potentially dilutive securities, by the weighted-average number of shares of Class A common stock outstanding adjusted to give effect to potentially dilutive elements.</w:t>
      </w:r>
    </w:p>
    <w:p>
      <w:pPr>
        <w:pStyle w:val="TextBody"/>
        <w:bidi w:val="0"/>
        <w:spacing w:lineRule="auto" w:line="288" w:before="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Business Combination, the membership structure of Warehouse Technologies LLC included units which shared in the profits and losses of Warehouse Technologies LLC. The Company analyzed the calculation of earnings per unit for periods prior to the Business Combination and determined that it resulted in values that would not be meaningful to the users of these unaudited condensed consolidated financial statements. Therefore, earnings per share information has not been presented for periods prior to the Business Combination on June 7, 2022.</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reconciliations of the numerators and denominators used to compute basic and diluted earnings per share of Class A common stock (in thousands, except per share information): </w:t>
      </w:r>
    </w:p>
    <w:tbl>
      <w:tblPr>
        <w:tblW w:w="10205" w:type="dxa"/>
        <w:jc w:val="left"/>
        <w:tblInd w:w="0" w:type="dxa"/>
        <w:tblLayout w:type="fixed"/>
        <w:tblCellMar>
          <w:top w:w="28" w:type="dxa"/>
          <w:left w:w="28" w:type="dxa"/>
          <w:bottom w:w="28" w:type="dxa"/>
          <w:right w:w="28" w:type="dxa"/>
        </w:tblCellMar>
      </w:tblPr>
      <w:tblGrid>
        <w:gridCol w:w="1896"/>
        <w:gridCol w:w="1395"/>
        <w:gridCol w:w="1403"/>
        <w:gridCol w:w="214"/>
        <w:gridCol w:w="774"/>
        <w:gridCol w:w="110"/>
        <w:gridCol w:w="109"/>
        <w:gridCol w:w="109"/>
        <w:gridCol w:w="109"/>
        <w:gridCol w:w="214"/>
        <w:gridCol w:w="774"/>
        <w:gridCol w:w="110"/>
        <w:gridCol w:w="109"/>
        <w:gridCol w:w="109"/>
        <w:gridCol w:w="109"/>
        <w:gridCol w:w="211"/>
        <w:gridCol w:w="866"/>
        <w:gridCol w:w="109"/>
        <w:gridCol w:w="109"/>
        <w:gridCol w:w="109"/>
        <w:gridCol w:w="109"/>
        <w:gridCol w:w="214"/>
        <w:gridCol w:w="773"/>
        <w:gridCol w:w="161"/>
      </w:tblGrid>
      <w:tr>
        <w:trPr/>
        <w:tc>
          <w:tcPr>
            <w:tcW w:w="1896"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25, 2022</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Numerator - basic and diluted</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(85,831)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Warehouse Technologies LLC unitholders prior to the Business Combination</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the noncontrolling interest post Business Combination</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(34,730)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(4,347)</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Denominator - basic and diluted</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Class A common shares outstanding</w:t>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61,782,886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50,664,146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60,160,039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50,664,146</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share of Class A common stock - basic and diluted</w:t>
            </w:r>
          </w:p>
        </w:tc>
        <w:tc>
          <w:tcPr>
            <w:tcW w:w="2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Class V-1 Common Stock and Class V-3 Common Stock do not participate in the earnings or losses of the Company and are therefore not participating securities. As such, separate presentation of basic and diluted earnings per share of Class V-1 Common Stock and Class V-3 Common Stock under the two-class method has not been presented.</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 the Company incurred net losses for each of the periods presented, diluted net loss per share is the same as basic net loss per share. All of the Company’s unvested RSUs and shares issuable under the ESPP, as well as the Warrant Units were excluded in the calculation of diluted net loss per share as the effect would be anti-dilutive. </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the treasury stock method and the average market price per share during the period for calculating any potential dilutive effect of the RSUs, ESPP and Warrant Units. The average stock price for the three and nine months ended June 24, 2023 was $31.38 and $19.57, respectively. For the three months ended June 24, 2023, there were 8,772,211 and 10,812,360 potentially dilutive common stock equivalents related to the RSUs and Warrant Units, respectively.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84785"/>
                <wp:effectExtent l="0" t="0" r="0" b="0"/>
                <wp:wrapNone/>
                <wp:docPr id="25" name="Frame2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60" w:after="283"/>
        <w:ind w:left="0" w:right="0" w:firstLine="360"/>
        <w:jc w:val="left"/>
        <w:rPr/>
      </w:pPr>
      <w:hyperlink w:anchor="icc5ff0f4f7584c1c9f7c92c4362a963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nine months ended June 24, 2023, there were 4,610,536, 7,758,999, and 550 potentially dilutive common stock equivalents related to the RSUs, Warrant Units, and ESPP,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14. Stock-Based Compensation and Warrant Units</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Employee Stock Purchase Plan</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June 3, 2022, the Company’s stockholders approved, and on June 7, 2022, the Company’s board of directors adopted the 2022 Employee Stock Purchase Plan (the “ESPP”). The ESPP authorizes the issuance of up to a total of 1,266,604 shares of common stock to participating employees, and allows eligible employees to purchase shares of Class A Common Stock at a 15% discount from the fair market value of the stock as determined on specific dates, which are typically at six-month intervals. The offering periods for the ESPP generally start on the first trading day on or after January 1st and July 1st of each year. However, the first offering period for the ESPP commenced on the first trading day after October 1, 2022 and ended on December 31, 2022, with the second offering period commencing on the first trading day after January 1, 2023 and ending on June 30, 2023.</w:t>
      </w:r>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Stock-Based Compensation</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two tables show stock-based compensation expense by award type and where the stock-based compensation expense is recorded in the Company’s consolidated statements of operations (in thousands):</w:t>
      </w:r>
    </w:p>
    <w:tbl>
      <w:tblPr>
        <w:tblW w:w="7541" w:type="dxa"/>
        <w:jc w:val="left"/>
        <w:tblInd w:w="0" w:type="dxa"/>
        <w:tblLayout w:type="fixed"/>
        <w:tblCellMar>
          <w:top w:w="28" w:type="dxa"/>
          <w:left w:w="28" w:type="dxa"/>
          <w:bottom w:w="28" w:type="dxa"/>
          <w:right w:w="28" w:type="dxa"/>
        </w:tblCellMar>
      </w:tblPr>
      <w:tblGrid>
        <w:gridCol w:w="1358"/>
        <w:gridCol w:w="1195"/>
        <w:gridCol w:w="1197"/>
        <w:gridCol w:w="355"/>
        <w:gridCol w:w="1216"/>
        <w:gridCol w:w="183"/>
        <w:gridCol w:w="109"/>
        <w:gridCol w:w="109"/>
        <w:gridCol w:w="109"/>
        <w:gridCol w:w="303"/>
        <w:gridCol w:w="1186"/>
        <w:gridCol w:w="221"/>
      </w:tblGrid>
      <w:tr>
        <w:trPr/>
        <w:tc>
          <w:tcPr>
            <w:tcW w:w="135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(service-based and performance-based)</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36,666 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120,834 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36,999 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121,762 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Effect of stock-based compensation expense on income by line item (in thousands):</w:t>
      </w:r>
    </w:p>
    <w:tbl>
      <w:tblPr>
        <w:tblW w:w="8066" w:type="dxa"/>
        <w:jc w:val="left"/>
        <w:tblInd w:w="0" w:type="dxa"/>
        <w:tblLayout w:type="fixed"/>
        <w:tblCellMar>
          <w:top w:w="28" w:type="dxa"/>
          <w:left w:w="28" w:type="dxa"/>
          <w:bottom w:w="28" w:type="dxa"/>
          <w:right w:w="28" w:type="dxa"/>
        </w:tblCellMar>
      </w:tblPr>
      <w:tblGrid>
        <w:gridCol w:w="1549"/>
        <w:gridCol w:w="1360"/>
        <w:gridCol w:w="1366"/>
        <w:gridCol w:w="355"/>
        <w:gridCol w:w="1216"/>
        <w:gridCol w:w="183"/>
        <w:gridCol w:w="109"/>
        <w:gridCol w:w="109"/>
        <w:gridCol w:w="109"/>
        <w:gridCol w:w="303"/>
        <w:gridCol w:w="1186"/>
        <w:gridCol w:w="221"/>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Systems</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Software maintenance and support</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Operation services</w:t>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62,072 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36,999 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121,762 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Warrant Units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May 20, 2022, in connection with its entry into the 2nd Amended and Restated Master Automation Agreement, the Company issued Walmart a warrant to acquire up to an aggregate of 258,972 Legacy Warehouse Class A Units (“May 2022 Warrant”), subject to certain vesting conditions. The May 2022 Warrant had a grant date fair value of $224.45. In connection with the closing of the Business Combination, the May 2022 Warrant was converted into a new warrant to acquire up to an aggregate of 15,870,411 common units of Symbotic Holdings (“June 2022 Warrant” and, the common units of Symbotic Holdings issuable thereunder, the “Warrant Units”). As of June 24, 2023, the June 2022 Warrant had vested, as the installation commencement date for certain Systems which the Company is installing in Walmart’s 42 regional distribution centers had occurred. Upon this vesting, units may be acquired at an exercise price of $10.00 per unit. The Warrant Units contain customary anti-dilution, down-round, and change-in-control provisions. The right to purchase units in connection with the June 2022 Warrant expires on June 7,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84785"/>
                <wp:effectExtent l="0" t="0" r="0" b="0"/>
                <wp:wrapNone/>
                <wp:docPr id="26" name="Frame2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60" w:after="283"/>
        <w:ind w:left="0" w:right="0" w:firstLine="360"/>
        <w:jc w:val="left"/>
        <w:rPr/>
      </w:pPr>
      <w:hyperlink w:anchor="icc5ff0f4f7584c1c9f7c92c4362a963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15. Segment and Geographic Information</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operates as one operating segment. Revenue and property and equipment, net by geographic region, based on physical location of the operations recording the sale or the assets are as follows: </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Revenue by geographical region for the three and nine months ended June 24, 2023 and June 25, 2022 are as follows (in thousands):</w:t>
      </w:r>
    </w:p>
    <w:tbl>
      <w:tblPr>
        <w:tblW w:w="10205" w:type="dxa"/>
        <w:jc w:val="left"/>
        <w:tblInd w:w="0" w:type="dxa"/>
        <w:tblLayout w:type="fixed"/>
        <w:tblCellMar>
          <w:top w:w="28" w:type="dxa"/>
          <w:left w:w="28" w:type="dxa"/>
          <w:bottom w:w="28" w:type="dxa"/>
          <w:right w:w="28" w:type="dxa"/>
        </w:tblCellMar>
      </w:tblPr>
      <w:tblGrid>
        <w:gridCol w:w="1456"/>
        <w:gridCol w:w="1257"/>
        <w:gridCol w:w="1233"/>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7"/>
      </w:tblGrid>
      <w:tr>
        <w:trPr/>
        <w:tc>
          <w:tcPr>
            <w:tcW w:w="1456"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25, 2022</w:t>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310,946 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174,699 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782,328 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346,329 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785,003 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348,900 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 generated outside of the United States</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 by geographical region at June 24, 2023 and at September 24, 2022 are as follows (in thousands):</w:t>
      </w:r>
    </w:p>
    <w:tbl>
      <w:tblPr>
        <w:tblW w:w="9420" w:type="dxa"/>
        <w:jc w:val="center"/>
        <w:tblInd w:w="0" w:type="dxa"/>
        <w:tblLayout w:type="fixed"/>
        <w:tblCellMar>
          <w:top w:w="28" w:type="dxa"/>
          <w:left w:w="28" w:type="dxa"/>
          <w:bottom w:w="28" w:type="dxa"/>
          <w:right w:w="28" w:type="dxa"/>
        </w:tblCellMar>
      </w:tblPr>
      <w:tblGrid>
        <w:gridCol w:w="2263"/>
        <w:gridCol w:w="1983"/>
        <w:gridCol w:w="1994"/>
        <w:gridCol w:w="211"/>
        <w:gridCol w:w="721"/>
        <w:gridCol w:w="271"/>
        <w:gridCol w:w="109"/>
        <w:gridCol w:w="109"/>
        <w:gridCol w:w="109"/>
        <w:gridCol w:w="279"/>
        <w:gridCol w:w="953"/>
        <w:gridCol w:w="418"/>
      </w:tblGrid>
      <w:tr>
        <w:trPr/>
        <w:tc>
          <w:tcPr>
            <w:tcW w:w="2263"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24, 2022</w:t>
            </w:r>
          </w:p>
        </w:tc>
      </w:tr>
      <w:tr>
        <w:trPr/>
        <w:tc>
          <w:tcPr>
            <w:tcW w:w="6240"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40,003 </w:t>
            </w:r>
          </w:p>
        </w:tc>
        <w:tc>
          <w:tcPr>
            <w:tcW w:w="271"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23,640 </w:t>
            </w:r>
          </w:p>
        </w:tc>
        <w:tc>
          <w:tcPr>
            <w:tcW w:w="418"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21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40,913 </w:t>
            </w:r>
          </w:p>
        </w:tc>
        <w:tc>
          <w:tcPr>
            <w:tcW w:w="271"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24,878 </w:t>
            </w:r>
          </w:p>
        </w:tc>
        <w:tc>
          <w:tcPr>
            <w:tcW w:w="418"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property and equipment, net held outside of the United States</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ans-serif" w:hAnsi="Times New Roman;sans-serif"/>
          <w:b/>
          <w:color w:val="000000"/>
          <w:sz w:val="20"/>
        </w:rPr>
      </w:pPr>
      <w:r>
        <w:rPr>
          <w:rFonts w:ascii="Times New Roman;sans-serif" w:hAnsi="Times New Roman;sans-serif"/>
          <w:b/>
          <w:color w:val="000000"/>
          <w:sz w:val="20"/>
        </w:rPr>
        <w:t>16. Subsequent Events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evaluated subsequent events and transactions that occurred after the balance sheet date up to the date that the condensed consolidated financial statements were issued. Other than as described in these condensed consolidated financial statements and below, the Company did not identify any subsequent events that would have required adjustment or disclosure in the condensed consolidated financial statements.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July 23, 2023, the Company, New Symbotic Holdings, and Symbotic US (collectively, the “Symbotic Group”), entered into a Framework Agreement (the “Framework Agreement”) with Sunlight Investment Corp., a Delaware corporation (“Sunlight”), SVF II Strategic Investments AIV LLC, a Delaware limited liability company (“SVF” and, together with Sunlight, “SoftBank”), and GreenBox Systems LLC, a Delaware limited liability company (“GreenBox”), related to the formation of GreenBox as a strategic joint venture between the Symbotic Group and SoftBank, the entry into a Limited Liability Company Agreement of GreenBox and Master Services, License and Equipment Agreement (the “Commercial Agreement”) and issuance of a warrant to purchase Class A Common Stock of Symbotic (the “GreenBox Warrant”).</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GreenBox was established on July 21, 2023, and will build and automate supply chain networks globally by operating and financing the Company’s advanced A.I. and automation technology for the warehouse. Symbotic Holdings and Sunlight own 35% and 65% of GreenBox respectively. On July 23, 2023, GreenBox entered into a Commercial Agreement with Symbotic US with respect to the purchase of Symbotic’s automated case handling systems.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Contemporaneously with entry into the Framework Agreement, The RBC Millennium Trust and the Richard B. Cohen Revocable Trust (the “RC Entities”) entered into a stock purchase agreement with SVF (the “Stock Purchase Agreement”), pursuant to which, on July 25, 2023, the RC Entities sold 17,825,312 shares of Class A Common Stock of the Company to SVF for an aggregate of $500 million.</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the GreenBox Warrant, Framework Agreement, Commercial Agreement and Stock Purchase Agreement has been field as exhibits 4.1 and 10.1 through 10.3, respectively, to this Quarterly Report on Form 10-Q and are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84785"/>
                <wp:effectExtent l="0" t="0" r="0" b="0"/>
                <wp:wrapNone/>
                <wp:docPr id="27" name="Frame2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60" w:after="283"/>
        <w:ind w:left="0" w:right="0" w:firstLine="360"/>
        <w:jc w:val="left"/>
        <w:rPr/>
      </w:pPr>
      <w:hyperlink w:anchor="icc5ff0f4f7584c1c9f7c92c4362a963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60" w:after="283"/>
        <w:ind w:left="0" w:right="0" w:firstLine="360"/>
        <w:jc w:val="left"/>
        <w:rPr/>
      </w:pPr>
      <w:r>
        <w:rPr/>
      </w:r>
    </w:p>
    <w:p>
      <w:pPr>
        <w:pStyle w:val="TextBody"/>
        <w:bidi w:val="0"/>
        <w:spacing w:lineRule="auto" w:line="297" w:before="60" w:after="240"/>
        <w:ind w:left="0" w:right="0" w:firstLine="51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and analysis of our financial condition and results of operations should be read in conjunction with our unaudited condensed consolidated financial statements and related notes thereto appearing elsewhere in this Quarterly Report on Form 10-Q and our audited consolidated financial statements and related notes thereto as of and for the year ended September 24, 2022, as included within our Annual Report on Form 10-K, as filed with the Securities and Exchange Commission on December 9, 2022. As discussed in the section titled “Cautionary Note on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 </w:t>
      </w:r>
    </w:p>
    <w:p>
      <w:pPr>
        <w:pStyle w:val="TextBody"/>
        <w:bidi w:val="0"/>
        <w:spacing w:lineRule="auto" w:line="240" w:before="0" w:after="200"/>
        <w:jc w:val="left"/>
        <w:rPr>
          <w:rFonts w:ascii="Times New Roman;sans-serif" w:hAnsi="Times New Roman;sans-serif"/>
          <w:b/>
          <w:color w:val="000000"/>
          <w:sz w:val="20"/>
        </w:rPr>
      </w:pPr>
      <w:r>
        <w:rPr>
          <w:rFonts w:ascii="Times New Roman;sans-serif" w:hAnsi="Times New Roman;sans-serif"/>
          <w:b/>
          <w:color w:val="000000"/>
          <w:sz w:val="20"/>
        </w:rPr>
        <w:t>Company Overview</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At Symbotic, our vision is to make the supply chain work better for everyone. We do this by developing, commercializing, and deploying innovative, end-to-end technology solutions that dramatically improve supply chain operations. We currently automate the processing of pallets and cases in large warehouses or distribution centers for some of the largest retail companies in the world. Our systems enhance operations at the front end of the supply chain, and therefore benefit all supply partners further down the chain, irrespective of fulfillment strategy.</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Symbotic platform is based on a unique approach to connecting producers of goods to end users, in a way that resolves the mismatches of quantity, timing and location that arise between the two, while reducing costs. The underlying architecture of our platform is what differentiates our solution from anything else in the marketplace. It utilizes fully autonomous robots, collectively controlled by our artificial intelligence (“A.I.”) enabled system software to achieve at scale, real world supply chain improvements that are so compelling that we believe our approach can become the de facto standard approach for how warehouses operate. </w:t>
      </w:r>
    </w:p>
    <w:p>
      <w:pPr>
        <w:pStyle w:val="TextBody"/>
        <w:bidi w:val="0"/>
        <w:spacing w:lineRule="auto" w:line="240" w:before="120" w:after="200"/>
        <w:jc w:val="both"/>
        <w:rPr>
          <w:rFonts w:ascii="Times New Roman;sans-serif" w:hAnsi="Times New Roman;sans-serif"/>
          <w:b/>
          <w:color w:val="000000"/>
          <w:sz w:val="20"/>
        </w:rPr>
      </w:pPr>
      <w:r>
        <w:rPr>
          <w:rFonts w:ascii="Times New Roman;sans-serif" w:hAnsi="Times New Roman;sans-serif"/>
          <w:b/>
          <w:color w:val="000000"/>
          <w:sz w:val="20"/>
        </w:rPr>
        <w:t>Key Components of Consolidated Statements of Operations</w:t>
      </w:r>
    </w:p>
    <w:p>
      <w:pPr>
        <w:pStyle w:val="TextBody"/>
        <w:bidi w:val="0"/>
        <w:spacing w:lineRule="auto" w:line="240" w:before="120" w:after="2"/>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revenue through our design and installation of modular inventory management systems (the “Systems”) to automate customers’ depalletizing, storage, selection, and palletization warehousing processes. The Systems have both a hardware component and an embedded software component that enables the systems to be programmed to operate within specific customer environments. We enter into contracts with customers that can include various combinations of services to design and install the Systems. These services are generally distinct and accounted for as separate performance obligations. As a result, each customer contract may contain multiple performance obligations. We determine whether performance obligations are distinct based on whether the customer can benefit from the product or service on its own or together with other resources that are readily available and whether our commitment to provide the services to the customer is separately identifiable from other obligations in the contract. </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identified the following distinct performance obligations in our contracts with customers:</w:t>
      </w:r>
    </w:p>
    <w:p>
      <w:pPr>
        <w:pStyle w:val="TextBody"/>
        <w:bidi w:val="0"/>
        <w:spacing w:lineRule="auto" w:line="288" w:before="60" w:after="283"/>
        <w:ind w:left="0" w:right="0" w:firstLine="360"/>
        <w:jc w:val="left"/>
        <w:rPr/>
      </w:pPr>
      <w:r>
        <w:rPr>
          <w:rFonts w:ascii="Times New Roman;sans-serif" w:hAnsi="Times New Roman;sans-serif"/>
          <w:b w:val="false"/>
          <w:color w:val="000000"/>
          <w:sz w:val="20"/>
          <w:u w:val="single"/>
        </w:rPr>
        <w:t>Systems</w:t>
      </w:r>
      <w:r>
        <w:rPr>
          <w:rFonts w:ascii="Times New Roman;sans-serif" w:hAnsi="Times New Roman;sans-serif"/>
          <w:b w:val="false"/>
          <w:color w:val="000000"/>
          <w:sz w:val="20"/>
        </w:rPr>
        <w:t>: We design, assemble, and install modular hardware systems and perform configuration of embedded software. Systems include the delivery of hardware and an embedded software component, sold as either a perpetual or term-based on-premise license, that automate our customers’ depalletizing, storage, selection, and palletization warehousing processes. The modular hardware and embedded software are each not capable of being distinct because our customers cannot benefit from the hardware or software on their own. Accordingly, they are treated as a single performance obligation. Fees for systems are typically either fixed or cost-plus fixed fee amounts that are due based on the achievement of a variety of milestones beginning at contract inception through final acceptance. The substantial majority of our embedded software component is sold as a perpetual on-premise license, however, we do sell an immaterial amount of term-based on-premise licenses.</w:t>
      </w:r>
    </w:p>
    <w:p>
      <w:pPr>
        <w:pStyle w:val="TextBody"/>
        <w:bidi w:val="0"/>
        <w:spacing w:lineRule="auto" w:line="288" w:before="60" w:after="283"/>
        <w:ind w:left="0" w:right="0" w:firstLine="360"/>
        <w:jc w:val="left"/>
        <w:rPr/>
      </w:pPr>
      <w:r>
        <w:rPr>
          <w:rFonts w:ascii="Times New Roman;sans-serif" w:hAnsi="Times New Roman;sans-serif"/>
          <w:b w:val="false"/>
          <w:color w:val="000000"/>
          <w:sz w:val="20"/>
          <w:u w:val="single"/>
        </w:rPr>
        <w:t>Software maintenance and support</w:t>
      </w:r>
      <w:r>
        <w:rPr>
          <w:rFonts w:ascii="Times New Roman;sans-serif" w:hAnsi="Times New Roman;sans-serif"/>
          <w:b w:val="false"/>
          <w:color w:val="000000"/>
          <w:sz w:val="20"/>
        </w:rPr>
        <w:t>: Software maintenance and support refer to support services that provide our customers with technical support, updates, and upgrades to the embedded software license. Fees for the software maintenance and support services are typically payable in advance on a quarterly, or annual basis over the term of the software maintenance and support service contract, which term can range from one to 15 years but, for a substantial majority of our software maintenance and support contracts, is 15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84785"/>
                <wp:effectExtent l="0" t="0" r="0" b="0"/>
                <wp:wrapNone/>
                <wp:docPr id="28" name="Frame2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60" w:after="283"/>
        <w:ind w:left="0" w:right="0" w:firstLine="360"/>
        <w:jc w:val="left"/>
        <w:rPr/>
      </w:pPr>
      <w:hyperlink w:anchor="icc5ff0f4f7584c1c9f7c92c4362a963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ind w:left="0" w:right="0" w:firstLine="360"/>
        <w:jc w:val="left"/>
        <w:rPr/>
      </w:pPr>
      <w:r>
        <w:rPr>
          <w:rFonts w:ascii="Times New Roman;sans-serif" w:hAnsi="Times New Roman;sans-serif"/>
          <w:b w:val="false"/>
          <w:color w:val="000000"/>
          <w:sz w:val="20"/>
          <w:u w:val="single"/>
        </w:rPr>
        <w:t>Operation services</w:t>
      </w:r>
      <w:r>
        <w:rPr>
          <w:rFonts w:ascii="Times New Roman;sans-serif" w:hAnsi="Times New Roman;sans-serif"/>
          <w:b w:val="false"/>
          <w:color w:val="000000"/>
          <w:sz w:val="20"/>
        </w:rPr>
        <w:t xml:space="preserve">: We provide our customers with assistance operating the system and ensuring user experience is optimized for efficiency and effectiveness. Fees for operation services are typically invoiced to our customers on a time and materials basis monthly in arrears or using a fixed fee structure. </w:t>
      </w:r>
    </w:p>
    <w:p>
      <w:pPr>
        <w:pStyle w:val="TextBody"/>
        <w:bidi w:val="0"/>
        <w:spacing w:lineRule="auto" w:line="240" w:before="120" w:after="2"/>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Revenue</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cost of revenue is composed of the following for each of our distinct performance obligations:</w:t>
      </w:r>
    </w:p>
    <w:p>
      <w:pPr>
        <w:pStyle w:val="TextBody"/>
        <w:bidi w:val="0"/>
        <w:spacing w:lineRule="auto" w:line="288" w:before="60" w:after="283"/>
        <w:ind w:left="0" w:right="0" w:firstLine="360"/>
        <w:jc w:val="left"/>
        <w:rPr/>
      </w:pPr>
      <w:r>
        <w:rPr>
          <w:rFonts w:ascii="Times New Roman;sans-serif" w:hAnsi="Times New Roman;sans-serif"/>
          <w:b w:val="false"/>
          <w:color w:val="000000"/>
          <w:sz w:val="20"/>
          <w:u w:val="single"/>
        </w:rPr>
        <w:t>Systems</w:t>
      </w:r>
      <w:r>
        <w:rPr>
          <w:rFonts w:ascii="Times New Roman;sans-serif" w:hAnsi="Times New Roman;sans-serif"/>
          <w:b w:val="false"/>
          <w:color w:val="000000"/>
          <w:sz w:val="20"/>
        </w:rPr>
        <w:t>: Systems cost of revenue consists primarily of material and labor consumed in the production and installation of customer Systems, as well as depreciation expense. The design, assembly, and installation of a system includes substantive customer-specified acceptance criteria that allow the customer to accept or reject systems that do not meet the customer’s specifications. When we cannot objectively determine that acceptance criteria will be met upon contract inception, cost of revenue relating to systems is deferred and expensed at a point in time upon final acceptance from the customer. If acceptance can be reasonably certain upon contract inception, systems cost of revenue is expensed as incurred.</w:t>
      </w:r>
    </w:p>
    <w:p>
      <w:pPr>
        <w:pStyle w:val="TextBody"/>
        <w:bidi w:val="0"/>
        <w:spacing w:lineRule="auto" w:line="288" w:before="60" w:after="283"/>
        <w:ind w:left="0" w:right="0" w:firstLine="360"/>
        <w:jc w:val="left"/>
        <w:rPr/>
      </w:pPr>
      <w:r>
        <w:rPr>
          <w:rFonts w:ascii="Times New Roman;sans-serif" w:hAnsi="Times New Roman;sans-serif"/>
          <w:b w:val="false"/>
          <w:color w:val="000000"/>
          <w:sz w:val="20"/>
          <w:u w:val="single"/>
        </w:rPr>
        <w:t>Software maintenance and support</w:t>
      </w:r>
      <w:r>
        <w:rPr>
          <w:rFonts w:ascii="Times New Roman;sans-serif" w:hAnsi="Times New Roman;sans-serif"/>
          <w:b w:val="false"/>
          <w:color w:val="000000"/>
          <w:sz w:val="20"/>
        </w:rPr>
        <w:t xml:space="preserve">: Cost of revenue attributable to software maintenance and support primarily relates to labor cost for our maintenance team providing routine technical support, and maintenance updates and upgrades to our customers. Software maintenance and support cost of revenue is expensed as incurred. </w:t>
      </w:r>
    </w:p>
    <w:p>
      <w:pPr>
        <w:pStyle w:val="TextBody"/>
        <w:bidi w:val="0"/>
        <w:spacing w:lineRule="auto" w:line="288" w:before="60" w:after="283"/>
        <w:ind w:left="0" w:right="0" w:firstLine="360"/>
        <w:jc w:val="left"/>
        <w:rPr/>
      </w:pPr>
      <w:r>
        <w:rPr>
          <w:rFonts w:ascii="Times New Roman;sans-serif" w:hAnsi="Times New Roman;sans-serif"/>
          <w:b w:val="false"/>
          <w:color w:val="000000"/>
          <w:sz w:val="20"/>
          <w:u w:val="single"/>
        </w:rPr>
        <w:t>Operation services</w:t>
      </w:r>
      <w:r>
        <w:rPr>
          <w:rFonts w:ascii="Times New Roman;sans-serif" w:hAnsi="Times New Roman;sans-serif"/>
          <w:b w:val="false"/>
          <w:color w:val="000000"/>
          <w:sz w:val="20"/>
        </w:rPr>
        <w:t xml:space="preserve">: Operation services cost of revenue consists primarily of labor cost for our operations team who is providing services to our customers to run their System within their distribution center. Operation services cost of revenue is expensed as incurred. </w:t>
      </w:r>
    </w:p>
    <w:p>
      <w:pPr>
        <w:pStyle w:val="TextBody"/>
        <w:bidi w:val="0"/>
        <w:spacing w:lineRule="auto" w:line="240" w:before="120" w:after="2"/>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Costs incurred in the research and development of our products are expensed as incurred. Research and development costs include personnel, contracted services, materials, and indirect costs involved in the design and development of new products and services, as well as depreciation expense. </w:t>
      </w:r>
    </w:p>
    <w:p>
      <w:pPr>
        <w:pStyle w:val="TextBody"/>
        <w:bidi w:val="0"/>
        <w:spacing w:lineRule="auto" w:line="240" w:before="120" w:after="2"/>
        <w:jc w:val="both"/>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include all costs that are not directly related to satisfaction of customer contracts or research and development. Selling, general, and administrative expenses include items for our selling and administrative functions, such as sales, finance, legal, human resources, and information technology support. These functions include costs for items such as salaries and benefits and other personnel-related costs, maintenance and supplies, professional fees for external legal, accounting, and other consulting services, intangible asset amortization, and depreciation expense. </w:t>
      </w:r>
    </w:p>
    <w:p>
      <w:pPr>
        <w:pStyle w:val="TextBody"/>
        <w:bidi w:val="0"/>
        <w:spacing w:lineRule="auto" w:line="240" w:before="120" w:after="2"/>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Income (Expense), Net</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primarily consists of dividend and interest income earned on our money market accounts and the impact of foreign currency transaction gains and losses associated with monetary assets and liabilities.</w:t>
      </w:r>
    </w:p>
    <w:p>
      <w:pPr>
        <w:pStyle w:val="TextBody"/>
        <w:bidi w:val="0"/>
        <w:spacing w:lineRule="auto" w:line="240" w:before="120" w:after="2"/>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U.S. federal income taxes, in addition to state and local income taxes, with respect to our allocable share of any taxable income or loss of Symbotic Holdings. For the three and nine months ended June 24, 2023, we recorded less than a $0.1 million current income tax expense and a $0.2 million current income tax expense, respectively. We incurred a pre-tax loss for the period and recorded a full valuation allowance against our deferred tax assets, but have state income tax expense incurred by Symbotic US at the flow-through entity level. Prior to the Business Combination, Legacy Warehouse was treated as a pass-through entity for tax purposes and had certain foreign subsidiaries. No income tax expense was recorded for the three or nine months ended June 25, 2022 due to Legacy Warehouse’s pass-through status and foreign subsidiaries having a full valuation allowance against their deferred tax assets. </w:t>
      </w:r>
    </w:p>
    <w:p>
      <w:pPr>
        <w:pStyle w:val="TextBody"/>
        <w:bidi w:val="0"/>
        <w:spacing w:lineRule="auto" w:line="240" w:before="120" w:after="200"/>
        <w:jc w:val="both"/>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lineRule="auto" w:line="240" w:before="120" w:after="2"/>
        <w:jc w:val="both"/>
        <w:rPr>
          <w:rFonts w:ascii="Times New Roman;sans-serif" w:hAnsi="Times New Roman;sans-serif"/>
          <w:b w:val="false"/>
          <w:i/>
          <w:color w:val="000000"/>
          <w:sz w:val="20"/>
        </w:rPr>
      </w:pPr>
      <w:r>
        <w:rPr>
          <w:rFonts w:ascii="Times New Roman;sans-serif" w:hAnsi="Times New Roman;sans-serif"/>
          <w:b w:val="false"/>
          <w:i/>
          <w:color w:val="000000"/>
          <w:sz w:val="20"/>
        </w:rPr>
        <w:t>Strategic and Organizational Update</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fiscal year 2023, we committed to actions to restructure certain parts of the Company within the U.S. and Canada to better position us to become more agile in delivering our solutions through various outsourcing partnerships. As a result, certain headcount reductions were necessary, and we recognized $2.3 million of severance charges, $5.3 million of inventory impairment charges, and $0.1 million of property and equipment impairment charges associated with these actions for the period ended March 25, 2023. In addition, we incurred $0.7 million of severance charges related to other employee headcount reductions.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23, 2023, the Company, New Symbotic Holdings, and Symbotic US (collectively, the “Symbotic Group”), entered into a Framework Agreement (the “Framework Agreement”) with Sunlight Investment Corp., a Delaware corporation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84785"/>
                <wp:effectExtent l="0" t="0" r="0" b="0"/>
                <wp:wrapNone/>
                <wp:docPr id="29" name="Frame2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60" w:after="283"/>
        <w:ind w:left="0" w:right="0" w:firstLine="360"/>
        <w:jc w:val="left"/>
        <w:rPr/>
      </w:pPr>
      <w:hyperlink w:anchor="icc5ff0f4f7584c1c9f7c92c4362a963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(“Sunlight”), SVF II Strategic Investments AIV LLC, a Delaware limited liability company (“SVF” and, together with Sunlight, “SoftBank”), and GreenBox Systems LLC, a Delaware limited liability company (“GreenBox”), related to the formation of GreenBox as a strategic joint venture between the Symbotic Group and SoftBank, the entry into a Limited Liability Company Agreement of GreenBox and Master Services, License and Equipment Agreement (the “Commercial Agreement”) and issuance of a warrant to purchase Class A Common Stock of Symbotic (the “GreenBox Warrant”).</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GreenBox was established on July 21, 2023, and will build and automate supply chain networks globally by operating and financing the Company’s advanced A.I. and automation technology for the warehouse. Symbotic Holdings and Sunlight own 35% and 65% of GreenBox respectively. On July 23, 2023, GreenBox entered into a Commercial Agreement with Symbotic US with respect to the purchase of Symbotic’s automated case handling systems.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Contemporaneously with entry into the Framework Agreement, The RBC Millennium Trust and the Richard B. Cohen Revocable Trust (the “RC Entities”) entered into a stock purchase agreement with SVF (the “Stock Purchase Agreement”), pursuant to which, on July 25, 2023, the RC Entities sold 17,825,312 shares of Class A Common Stock of the Company to SVF for an aggregate of $500 million.</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the GreenBox Warrant, Framework Agreement, Commercial Agreement and Stock Purchase Agreement has been field as exhibits 4.1 and 10.1 through 10.3, respectively, to this Quarterly Report on Form 10-Q and are incorporated herein by reference. </w:t>
      </w:r>
    </w:p>
    <w:p>
      <w:pPr>
        <w:pStyle w:val="TextBody"/>
        <w:bidi w:val="0"/>
        <w:spacing w:lineRule="auto" w:line="240" w:before="120" w:after="200"/>
        <w:jc w:val="both"/>
        <w:rPr>
          <w:rFonts w:ascii="Times New Roman;sans-serif" w:hAnsi="Times New Roman;sans-serif"/>
          <w:b/>
          <w:color w:val="000000"/>
          <w:sz w:val="20"/>
        </w:rPr>
      </w:pPr>
      <w:r>
        <w:rPr>
          <w:rFonts w:ascii="Times New Roman;sans-serif" w:hAnsi="Times New Roman;sans-serif"/>
          <w:b/>
          <w:color w:val="000000"/>
          <w:sz w:val="20"/>
        </w:rPr>
        <w:t xml:space="preserve">Results of Operations for the Three and Nine Months Ended June 24, 2023 and June 25, 2022 </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results of operations for the periods presented and as a percentage of our total revenue for those periods. The data has been derived from the unaudited condensed consolidated financial statements contained in this Quarterly Report on Form 10-Q which include, in our opinion, all adjustments, consisting only of normal recurring adjustments, that we consider necessary for a fair statement of the financial position and results of operations for the interim periods presented. The period-to-period comparison of financial results is not necessarily indicative of financial results to be achieved in future periods.</w:t>
      </w:r>
    </w:p>
    <w:tbl>
      <w:tblPr>
        <w:tblW w:w="9488" w:type="dxa"/>
        <w:jc w:val="left"/>
        <w:tblInd w:w="0" w:type="dxa"/>
        <w:tblLayout w:type="fixed"/>
        <w:tblCellMar>
          <w:top w:w="28" w:type="dxa"/>
          <w:left w:w="28" w:type="dxa"/>
          <w:bottom w:w="28" w:type="dxa"/>
          <w:right w:w="28" w:type="dxa"/>
        </w:tblCellMar>
      </w:tblPr>
      <w:tblGrid>
        <w:gridCol w:w="1370"/>
        <w:gridCol w:w="1200"/>
        <w:gridCol w:w="1209"/>
        <w:gridCol w:w="212"/>
        <w:gridCol w:w="833"/>
        <w:gridCol w:w="109"/>
        <w:gridCol w:w="109"/>
        <w:gridCol w:w="109"/>
        <w:gridCol w:w="109"/>
        <w:gridCol w:w="212"/>
        <w:gridCol w:w="833"/>
        <w:gridCol w:w="109"/>
        <w:gridCol w:w="109"/>
        <w:gridCol w:w="109"/>
        <w:gridCol w:w="109"/>
        <w:gridCol w:w="211"/>
        <w:gridCol w:w="901"/>
        <w:gridCol w:w="109"/>
        <w:gridCol w:w="109"/>
        <w:gridCol w:w="109"/>
        <w:gridCol w:w="109"/>
        <w:gridCol w:w="212"/>
        <w:gridCol w:w="832"/>
        <w:gridCol w:w="155"/>
      </w:tblGrid>
      <w:tr>
        <w:trPr/>
        <w:tc>
          <w:tcPr>
            <w:tcW w:w="137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For the Nine Months Ended</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25, 2022</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Systems</w:t>
            </w:r>
          </w:p>
        </w:tc>
        <w:tc>
          <w:tcPr>
            <w:tcW w:w="212"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330,297 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maintenance and support</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services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revenue:</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maintenance and support</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services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654,053 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285,982 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62,918 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expenses:</w:t>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148,985 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(86,067)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w:t>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(85,831)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(162,479)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(85,831)</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84785"/>
                <wp:effectExtent l="0" t="0" r="0" b="0"/>
                <wp:wrapNone/>
                <wp:docPr id="30" name="Frame3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60" w:after="283"/>
        <w:ind w:left="0" w:right="0" w:firstLine="360"/>
        <w:jc w:val="left"/>
        <w:rPr/>
      </w:pPr>
      <w:hyperlink w:anchor="icc5ff0f4f7584c1c9f7c92c4362a9638_7">
        <w:r>
          <w:rPr>
            <w:rStyle w:val="InternetLink"/>
            <w:rFonts w:ascii="Times New Roman;sans-serif" w:hAnsi="Times New Roman;sans-serif"/>
            <w:b w:val="false"/>
            <w:color w:val="0000FF"/>
            <w:sz w:val="20"/>
            <w:u w:val="single"/>
          </w:rPr>
          <w:t>Table of Contents</w:t>
        </w:r>
      </w:hyperlink>
    </w:p>
    <w:tbl>
      <w:tblPr>
        <w:tblW w:w="9915" w:type="dxa"/>
        <w:jc w:val="left"/>
        <w:tblInd w:w="0" w:type="dxa"/>
        <w:tblLayout w:type="fixed"/>
        <w:tblCellMar>
          <w:top w:w="28" w:type="dxa"/>
          <w:left w:w="28" w:type="dxa"/>
          <w:bottom w:w="28" w:type="dxa"/>
          <w:right w:w="28" w:type="dxa"/>
        </w:tblCellMar>
      </w:tblPr>
      <w:tblGrid>
        <w:gridCol w:w="1370"/>
        <w:gridCol w:w="1200"/>
        <w:gridCol w:w="1209"/>
        <w:gridCol w:w="257"/>
        <w:gridCol w:w="257"/>
        <w:gridCol w:w="641"/>
        <w:gridCol w:w="196"/>
        <w:gridCol w:w="196"/>
        <w:gridCol w:w="196"/>
        <w:gridCol w:w="257"/>
        <w:gridCol w:w="257"/>
        <w:gridCol w:w="641"/>
        <w:gridCol w:w="109"/>
        <w:gridCol w:w="109"/>
        <w:gridCol w:w="109"/>
        <w:gridCol w:w="257"/>
        <w:gridCol w:w="257"/>
        <w:gridCol w:w="640"/>
        <w:gridCol w:w="186"/>
        <w:gridCol w:w="186"/>
        <w:gridCol w:w="186"/>
        <w:gridCol w:w="244"/>
        <w:gridCol w:w="244"/>
        <w:gridCol w:w="711"/>
      </w:tblGrid>
      <w:tr>
        <w:trPr/>
        <w:tc>
          <w:tcPr>
            <w:tcW w:w="137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For the Nine Months Ended</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c>
          <w:tcPr>
            <w:tcW w:w="5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c>
          <w:tcPr>
            <w:tcW w:w="5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25, 2022</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Systems</w:t>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64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64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640"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71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maintenance and support</w:t>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7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services</w:t>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revenue:</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Systems</w:t>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7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maintenance and support</w:t>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services</w:t>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7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5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6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6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expenses:</w:t>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7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5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6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6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w:t>
            </w:r>
          </w:p>
        </w:tc>
        <w:tc>
          <w:tcPr>
            <w:tcW w:w="5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6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6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7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51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6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40"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Percentages are based on actual values. Totals may not sum due to rounding. </w:t>
      </w:r>
    </w:p>
    <w:p>
      <w:pPr>
        <w:pStyle w:val="TextBody"/>
        <w:bidi w:val="0"/>
        <w:spacing w:lineRule="auto" w:line="240" w:before="120" w:after="200"/>
        <w:jc w:val="both"/>
        <w:rPr>
          <w:rFonts w:ascii="Times New Roman;sans-serif" w:hAnsi="Times New Roman;sans-serif"/>
          <w:b/>
          <w:color w:val="000000"/>
          <w:sz w:val="20"/>
        </w:rPr>
      </w:pPr>
      <w:r>
        <w:rPr>
          <w:rFonts w:ascii="Times New Roman;sans-serif" w:hAnsi="Times New Roman;sans-serif"/>
          <w:b/>
          <w:color w:val="000000"/>
          <w:sz w:val="20"/>
        </w:rPr>
        <w:t>Three and Nine Months Ended June 24, 2023 Compared to the Three and Nine Months Ended June 25, 2022</w:t>
      </w:r>
    </w:p>
    <w:p>
      <w:pPr>
        <w:pStyle w:val="TextBody"/>
        <w:bidi w:val="0"/>
        <w:spacing w:lineRule="auto" w:line="240" w:before="120" w:after="2"/>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Revenue </w:t>
      </w:r>
    </w:p>
    <w:tbl>
      <w:tblPr>
        <w:tblW w:w="8127" w:type="dxa"/>
        <w:jc w:val="left"/>
        <w:tblInd w:w="0" w:type="dxa"/>
        <w:tblLayout w:type="fixed"/>
        <w:tblCellMar>
          <w:top w:w="28" w:type="dxa"/>
          <w:left w:w="28" w:type="dxa"/>
          <w:bottom w:w="28" w:type="dxa"/>
          <w:right w:w="28" w:type="dxa"/>
        </w:tblCellMar>
      </w:tblPr>
      <w:tblGrid>
        <w:gridCol w:w="1052"/>
        <w:gridCol w:w="924"/>
        <w:gridCol w:w="934"/>
        <w:gridCol w:w="212"/>
        <w:gridCol w:w="833"/>
        <w:gridCol w:w="109"/>
        <w:gridCol w:w="109"/>
        <w:gridCol w:w="109"/>
        <w:gridCol w:w="109"/>
        <w:gridCol w:w="212"/>
        <w:gridCol w:w="833"/>
        <w:gridCol w:w="109"/>
        <w:gridCol w:w="109"/>
        <w:gridCol w:w="109"/>
        <w:gridCol w:w="109"/>
        <w:gridCol w:w="211"/>
        <w:gridCol w:w="826"/>
        <w:gridCol w:w="109"/>
        <w:gridCol w:w="109"/>
        <w:gridCol w:w="109"/>
        <w:gridCol w:w="109"/>
        <w:gridCol w:w="232"/>
        <w:gridCol w:w="234"/>
        <w:gridCol w:w="316"/>
      </w:tblGrid>
      <w:tr>
        <w:trPr/>
        <w:tc>
          <w:tcPr>
            <w:tcW w:w="105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Systems</w:t>
            </w:r>
          </w:p>
        </w:tc>
        <w:tc>
          <w:tcPr>
            <w:tcW w:w="21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maintenance and support</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1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services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31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Systems revenue increased during the three months ended June 24, 2023 as compared to the three months ended June 25, 2022 due to there being 33 system deployments in progress during the fiscal quarter ending June 24, 2023 as compared to 13 system deployments in progress in the same quarter of fiscal 2022. The increase resulting from the deployments of our warehouse automation system is primarily due to the ongoing Master Automation Agreement with Walmart, for which we are performing the installation and implementation of our warehouse automation system within all of Walmart’s 42 regional distribution centers, and which is expected to continue to produce systems revenue as the warehouse automation systems are installed and implemented at the remaining regional distribution centers through fiscal year 2028.</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software maintenance and support revenue is due to there being three additional sites under software maintenance and support contracts for the three months ended June 24, 2023 as compared to the three months ended June 25, 2022.</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operation services revenue is attributable to an increase in sites where we are performing operation services during the three months ended June 24, 2023 as compared to the three months ended June 25,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84785"/>
                <wp:effectExtent l="0" t="0" r="0" b="0"/>
                <wp:wrapNone/>
                <wp:docPr id="31" name="Frame3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60" w:after="283"/>
        <w:ind w:left="0" w:right="0" w:firstLine="360"/>
        <w:jc w:val="left"/>
        <w:rPr/>
      </w:pPr>
      <w:hyperlink w:anchor="icc5ff0f4f7584c1c9f7c92c4362a9638_7">
        <w:r>
          <w:rPr>
            <w:rStyle w:val="InternetLink"/>
            <w:rFonts w:ascii="Times New Roman;sans-serif" w:hAnsi="Times New Roman;sans-serif"/>
            <w:b w:val="false"/>
            <w:color w:val="0000FF"/>
            <w:sz w:val="20"/>
            <w:u w:val="single"/>
          </w:rPr>
          <w:t>Table of Contents</w:t>
        </w:r>
      </w:hyperlink>
    </w:p>
    <w:p>
      <w:pPr>
        <w:pStyle w:val="TextBody"/>
        <w:bidi w:val="0"/>
        <w:spacing w:before="60" w:after="283"/>
        <w:ind w:left="0" w:right="0" w:firstLine="360"/>
        <w:jc w:val="left"/>
        <w:rPr/>
      </w:pPr>
      <w:r>
        <w:rPr/>
      </w:r>
    </w:p>
    <w:tbl>
      <w:tblPr>
        <w:tblW w:w="8127" w:type="dxa"/>
        <w:jc w:val="left"/>
        <w:tblInd w:w="0" w:type="dxa"/>
        <w:tblLayout w:type="fixed"/>
        <w:tblCellMar>
          <w:top w:w="28" w:type="dxa"/>
          <w:left w:w="28" w:type="dxa"/>
          <w:bottom w:w="28" w:type="dxa"/>
          <w:right w:w="28" w:type="dxa"/>
        </w:tblCellMar>
      </w:tblPr>
      <w:tblGrid>
        <w:gridCol w:w="1052"/>
        <w:gridCol w:w="924"/>
        <w:gridCol w:w="934"/>
        <w:gridCol w:w="212"/>
        <w:gridCol w:w="833"/>
        <w:gridCol w:w="109"/>
        <w:gridCol w:w="109"/>
        <w:gridCol w:w="109"/>
        <w:gridCol w:w="109"/>
        <w:gridCol w:w="212"/>
        <w:gridCol w:w="833"/>
        <w:gridCol w:w="109"/>
        <w:gridCol w:w="109"/>
        <w:gridCol w:w="109"/>
        <w:gridCol w:w="109"/>
        <w:gridCol w:w="211"/>
        <w:gridCol w:w="826"/>
        <w:gridCol w:w="109"/>
        <w:gridCol w:w="109"/>
        <w:gridCol w:w="109"/>
        <w:gridCol w:w="109"/>
        <w:gridCol w:w="233"/>
        <w:gridCol w:w="233"/>
        <w:gridCol w:w="316"/>
      </w:tblGrid>
      <w:tr>
        <w:trPr/>
        <w:tc>
          <w:tcPr>
            <w:tcW w:w="105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For the 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Systems</w:t>
            </w:r>
          </w:p>
        </w:tc>
        <w:tc>
          <w:tcPr>
            <w:tcW w:w="21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maintenance and support</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1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services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785,003 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436,103 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31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Systems revenue increased during the nine months ended June 24, 2023 as compared to the nine months ended June 25, 2022 due to there being 33 system deployments in progress during the fiscal quarter ending June 24, 2023 as compared to 13 system deployments in progress in the same quarter of fiscal 2022. The increase resulting from the deployments of our warehouse automation system is primarily due to the ongoing Master Automation Agreement with Walmart, for which we are performing the installation and implementation of our warehouse automation system within all of Walmart’s 42 regional distribution centers, and which is expected to continue to produce systems revenue as the warehouse automation systems are installed and implemented at the remaining regional distribution centers through fiscal year 2028.</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software maintenance and support revenue is due to there being three additional sites under software maintenance and support contracts for the nine months ended June 24, 2023 as compared to the nine months ended June 25, 2022.</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operation services revenue is attributable to an increase in sites where we are performing operation services during the nine months ended June 24, 2023 as compared to the nine months ended June 25, 2022.</w:t>
      </w:r>
    </w:p>
    <w:p>
      <w:pPr>
        <w:pStyle w:val="TextBody"/>
        <w:bidi w:val="0"/>
        <w:spacing w:lineRule="auto" w:line="240" w:before="120" w:after="2"/>
        <w:jc w:val="both"/>
        <w:rPr>
          <w:rFonts w:ascii="Times New Roman;sans-serif" w:hAnsi="Times New Roman;sans-serif"/>
          <w:b w:val="false"/>
          <w:i/>
          <w:color w:val="000000"/>
          <w:sz w:val="20"/>
        </w:rPr>
      </w:pPr>
      <w:r>
        <w:rPr>
          <w:rFonts w:ascii="Times New Roman;sans-serif" w:hAnsi="Times New Roman;sans-serif"/>
          <w:b w:val="false"/>
          <w:i/>
          <w:color w:val="000000"/>
          <w:sz w:val="20"/>
        </w:rPr>
        <w:t>Gross Profit</w:t>
      </w:r>
    </w:p>
    <w:p>
      <w:pPr>
        <w:pStyle w:val="TextBody"/>
        <w:bidi w:val="0"/>
        <w:spacing w:lineRule="auto" w:line="288" w:before="60" w:after="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our gross profit for the three months ended June 24, 2023 and June 25, 2022: </w:t>
      </w:r>
    </w:p>
    <w:tbl>
      <w:tblPr>
        <w:tblW w:w="6960" w:type="dxa"/>
        <w:jc w:val="center"/>
        <w:tblInd w:w="0" w:type="dxa"/>
        <w:tblLayout w:type="fixed"/>
        <w:tblCellMar>
          <w:top w:w="28" w:type="dxa"/>
          <w:left w:w="28" w:type="dxa"/>
          <w:bottom w:w="28" w:type="dxa"/>
          <w:right w:w="28" w:type="dxa"/>
        </w:tblCellMar>
      </w:tblPr>
      <w:tblGrid>
        <w:gridCol w:w="1052"/>
        <w:gridCol w:w="924"/>
        <w:gridCol w:w="934"/>
        <w:gridCol w:w="234"/>
        <w:gridCol w:w="800"/>
        <w:gridCol w:w="121"/>
        <w:gridCol w:w="109"/>
        <w:gridCol w:w="109"/>
        <w:gridCol w:w="109"/>
        <w:gridCol w:w="234"/>
        <w:gridCol w:w="800"/>
        <w:gridCol w:w="121"/>
        <w:gridCol w:w="109"/>
        <w:gridCol w:w="109"/>
        <w:gridCol w:w="109"/>
        <w:gridCol w:w="211"/>
        <w:gridCol w:w="721"/>
        <w:gridCol w:w="154"/>
      </w:tblGrid>
      <w:tr>
        <w:trPr/>
        <w:tc>
          <w:tcPr>
            <w:tcW w:w="105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Systems</w:t>
            </w:r>
          </w:p>
        </w:tc>
        <w:tc>
          <w:tcPr>
            <w:tcW w:w="23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57,690 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maintenance and support</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services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52,909 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31,544 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Systems gross profit increased $24.2 million during the three months ended June 24, 2023 as compared to the three months ended June 25, 2022 from $33.5 million to $57.7 million. The increase in Systems gross profit resulted from there being 33 system deployments in progress during the fiscal quarter ending June 24, 2023 as compared to 13 system deployments in progress in the same quarter of fiscal 2022.</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24, 2023, software maintenance and support gross profit decreased $(1.4) million from the same three month period in fiscal 2022 from $(0.4) million to $(1.8) million. The decrease in software maintenance and support gross profit is attributable to an increased cost for the three months ended June 24, 2023 associated with an increase in headcount within our technical support team to appropriately support the expected rapid growth of our business.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June 24, 2023, operation services gross profit decreased $(1.4) million from the same period in fiscal 2022 from $(1.5) million to $(2.9) million. The decrease in operation services gross profit is driven by increased cost due to additional operation services personnel needed at one of our customer sites.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84785"/>
                <wp:effectExtent l="0" t="0" r="0" b="0"/>
                <wp:wrapNone/>
                <wp:docPr id="32" name="Frame3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60" w:after="283"/>
        <w:ind w:left="0" w:right="0" w:firstLine="360"/>
        <w:jc w:val="left"/>
        <w:rPr/>
      </w:pPr>
      <w:hyperlink w:anchor="icc5ff0f4f7584c1c9f7c92c4362a963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gross profit for the nine months ended June 24, 2023 and June 25, 2022:</w:t>
      </w:r>
    </w:p>
    <w:tbl>
      <w:tblPr>
        <w:tblW w:w="6959" w:type="dxa"/>
        <w:jc w:val="left"/>
        <w:tblInd w:w="0" w:type="dxa"/>
        <w:tblLayout w:type="fixed"/>
        <w:tblCellMar>
          <w:top w:w="28" w:type="dxa"/>
          <w:left w:w="28" w:type="dxa"/>
          <w:bottom w:w="28" w:type="dxa"/>
          <w:right w:w="28" w:type="dxa"/>
        </w:tblCellMar>
      </w:tblPr>
      <w:tblGrid>
        <w:gridCol w:w="1052"/>
        <w:gridCol w:w="924"/>
        <w:gridCol w:w="934"/>
        <w:gridCol w:w="212"/>
        <w:gridCol w:w="833"/>
        <w:gridCol w:w="109"/>
        <w:gridCol w:w="109"/>
        <w:gridCol w:w="109"/>
        <w:gridCol w:w="109"/>
        <w:gridCol w:w="234"/>
        <w:gridCol w:w="800"/>
        <w:gridCol w:w="121"/>
        <w:gridCol w:w="109"/>
        <w:gridCol w:w="109"/>
        <w:gridCol w:w="109"/>
        <w:gridCol w:w="211"/>
        <w:gridCol w:w="721"/>
        <w:gridCol w:w="154"/>
      </w:tblGrid>
      <w:tr>
        <w:trPr/>
        <w:tc>
          <w:tcPr>
            <w:tcW w:w="105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For the 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Systems</w:t>
            </w:r>
          </w:p>
        </w:tc>
        <w:tc>
          <w:tcPr>
            <w:tcW w:w="21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65,822 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maintenance and support</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services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62,918 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Systems gross profit increased $73.4 million during the nine months ended June 24, 2023 as compared to the nine months ended June 25, 2022 from $65.8 million to $139.2 million. The increase in Systems gross profit resulted from there being 33 system deployments in progress during the fiscal quarter ending June 24, 2023 as compared to 13 system deployments in progress in the same quarter of fiscal 2022. Systems gross profit for the nine months ended June 24, 2023 was impacted by inventory impairment charges of $5.2 million resulting from management’s commitment to actions to restructure certain parts of the Company within the U.S. and Canada. </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June 24, 2023, software maintenance and support gross profit decreased $(2.5) million from the same nine month period in fiscal 2022 from $(0.4) million million to $(2.9) million. The decrease in software maintenance and support gross profit is attributable to an increased cost for the nine months ended June 24, 2023 associated with an increase in headcount within our technical support team to appropriately support the expected rapid growth of our business.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June 24, 2023, operation services gross profit decreased $(2.9) million from the same period in fiscal 2022 from $(2.5) million to $(5.3) million. The decrease in operation services gross profit is driven by increased cost due to additional operation services personnel needed at one of our customer sites.</w:t>
      </w:r>
    </w:p>
    <w:p>
      <w:pPr>
        <w:pStyle w:val="TextBody"/>
        <w:bidi w:val="0"/>
        <w:spacing w:lineRule="auto" w:line="240" w:before="120" w:after="2"/>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tbl>
      <w:tblPr>
        <w:tblW w:w="7430" w:type="dxa"/>
        <w:jc w:val="center"/>
        <w:tblInd w:w="0" w:type="dxa"/>
        <w:tblLayout w:type="fixed"/>
        <w:tblCellMar>
          <w:top w:w="28" w:type="dxa"/>
          <w:left w:w="28" w:type="dxa"/>
          <w:bottom w:w="28" w:type="dxa"/>
          <w:right w:w="28" w:type="dxa"/>
        </w:tblCellMar>
      </w:tblPr>
      <w:tblGrid>
        <w:gridCol w:w="843"/>
        <w:gridCol w:w="739"/>
        <w:gridCol w:w="743"/>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180"/>
        <w:gridCol w:w="181"/>
        <w:gridCol w:w="316"/>
      </w:tblGrid>
      <w:tr>
        <w:trPr/>
        <w:tc>
          <w:tcPr>
            <w:tcW w:w="84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research and development expenses for the three months ended June 24, 2023 as compared to the three months ended June 25, 2022 is due to the following:</w:t>
      </w:r>
    </w:p>
    <w:tbl>
      <w:tblPr>
        <w:tblW w:w="6420" w:type="dxa"/>
        <w:jc w:val="center"/>
        <w:tblInd w:w="0" w:type="dxa"/>
        <w:tblLayout w:type="fixed"/>
        <w:tblCellMar>
          <w:top w:w="28" w:type="dxa"/>
          <w:left w:w="28" w:type="dxa"/>
          <w:bottom w:w="28" w:type="dxa"/>
          <w:right w:w="28" w:type="dxa"/>
        </w:tblCellMar>
      </w:tblPr>
      <w:tblGrid>
        <w:gridCol w:w="1900"/>
        <w:gridCol w:w="1672"/>
        <w:gridCol w:w="1678"/>
        <w:gridCol w:w="227"/>
        <w:gridCol w:w="777"/>
        <w:gridCol w:w="166"/>
      </w:tblGrid>
      <w:tr>
        <w:trPr/>
        <w:tc>
          <w:tcPr>
            <w:tcW w:w="1900"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Employee-related costs</w:t>
            </w:r>
          </w:p>
        </w:tc>
        <w:tc>
          <w:tcPr>
            <w:tcW w:w="22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Prototype-related costs, allocated overhead expenses, and other</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13,705 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Employee-related costs increased as a result of our headcount growth to our engineering team through full-time and contracted employees as we continue to grow our software and hardware engineering organizations to support the development of key projects such as next generation autonomous electric vehicle robots, and also to support the continued expansion of our A.I. and analytics capabilities. Employee-related costs also increased as a result of equity expense attributable to the issuance of restricted stock units to our employees following the Business Combination. </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prototype-related costs, allocated overhead expenses, and other during the three months ended June 24, 2023 as compared to the three months ended June 25, 2022 is primarily due to a decrease in prototype expenses related to our Omni-Channel platform, which was developed in 2022 and went into production during the first fiscal period of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84785"/>
                <wp:effectExtent l="0" t="0" r="0" b="0"/>
                <wp:wrapNone/>
                <wp:docPr id="33" name="Frame3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60" w:after="283"/>
        <w:ind w:left="0" w:right="0" w:firstLine="360"/>
        <w:jc w:val="left"/>
        <w:rPr/>
      </w:pPr>
      <w:hyperlink w:anchor="icc5ff0f4f7584c1c9f7c92c4362a9638_7">
        <w:r>
          <w:rPr>
            <w:rStyle w:val="InternetLink"/>
            <w:rFonts w:ascii="Times New Roman;sans-serif" w:hAnsi="Times New Roman;sans-serif"/>
            <w:b w:val="false"/>
            <w:color w:val="0000FF"/>
            <w:sz w:val="20"/>
            <w:u w:val="single"/>
          </w:rPr>
          <w:t>Table of Contents</w:t>
        </w:r>
      </w:hyperlink>
    </w:p>
    <w:tbl>
      <w:tblPr>
        <w:tblW w:w="7535" w:type="dxa"/>
        <w:jc w:val="left"/>
        <w:tblInd w:w="0" w:type="dxa"/>
        <w:tblLayout w:type="fixed"/>
        <w:tblCellMar>
          <w:top w:w="28" w:type="dxa"/>
          <w:left w:w="28" w:type="dxa"/>
          <w:bottom w:w="28" w:type="dxa"/>
          <w:right w:w="28" w:type="dxa"/>
        </w:tblCellMar>
      </w:tblPr>
      <w:tblGrid>
        <w:gridCol w:w="843"/>
        <w:gridCol w:w="739"/>
        <w:gridCol w:w="743"/>
        <w:gridCol w:w="211"/>
        <w:gridCol w:w="826"/>
        <w:gridCol w:w="271"/>
        <w:gridCol w:w="109"/>
        <w:gridCol w:w="109"/>
        <w:gridCol w:w="109"/>
        <w:gridCol w:w="211"/>
        <w:gridCol w:w="721"/>
        <w:gridCol w:w="271"/>
        <w:gridCol w:w="109"/>
        <w:gridCol w:w="109"/>
        <w:gridCol w:w="109"/>
        <w:gridCol w:w="211"/>
        <w:gridCol w:w="721"/>
        <w:gridCol w:w="109"/>
        <w:gridCol w:w="109"/>
        <w:gridCol w:w="109"/>
        <w:gridCol w:w="109"/>
        <w:gridCol w:w="180"/>
        <w:gridCol w:w="181"/>
        <w:gridCol w:w="316"/>
      </w:tblGrid>
      <w:tr>
        <w:trPr/>
        <w:tc>
          <w:tcPr>
            <w:tcW w:w="84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For the 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research and development expenses for the nine months ended June 24, 2023 as compared to the nine months ended June 25, 2022 is due to the following:</w:t>
      </w:r>
    </w:p>
    <w:tbl>
      <w:tblPr>
        <w:tblW w:w="6420" w:type="dxa"/>
        <w:jc w:val="left"/>
        <w:tblInd w:w="0" w:type="dxa"/>
        <w:tblLayout w:type="fixed"/>
        <w:tblCellMar>
          <w:top w:w="28" w:type="dxa"/>
          <w:left w:w="28" w:type="dxa"/>
          <w:bottom w:w="28" w:type="dxa"/>
          <w:right w:w="28" w:type="dxa"/>
        </w:tblCellMar>
      </w:tblPr>
      <w:tblGrid>
        <w:gridCol w:w="1900"/>
        <w:gridCol w:w="1672"/>
        <w:gridCol w:w="1678"/>
        <w:gridCol w:w="227"/>
        <w:gridCol w:w="777"/>
        <w:gridCol w:w="166"/>
      </w:tblGrid>
      <w:tr>
        <w:trPr/>
        <w:tc>
          <w:tcPr>
            <w:tcW w:w="1900"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Employee-related costs</w:t>
            </w:r>
          </w:p>
        </w:tc>
        <w:tc>
          <w:tcPr>
            <w:tcW w:w="22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75,380 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Prototype-related costs, allocated overhead expenses, and other</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68,572 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Employee-related costs increased as a result of our headcount growth to our engineering team through full-time and contracted employees as we continue to grow our software and hardware engineering organizations to support the development of key projects such as next generation autonomous electric vehicle robots, and also to support the continued expansion of our A.I. and analytics capabilities. Employee-related costs also increased as a result of equity expense attributable to the issuance of restricted stock units to our employees following the Business Combination. </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prototype-related costs, allocated overhead expenses, and other during the nine months ended June 24, 2023 as compared to the nine months ended June 25, 2022 is due to a decrease in prototype expenses related to our Omni-Channel platform, which was developed in 2022 and went into production during the first fiscal period of 2023.</w:t>
      </w:r>
    </w:p>
    <w:p>
      <w:pPr>
        <w:pStyle w:val="TextBody"/>
        <w:bidi w:val="0"/>
        <w:spacing w:lineRule="auto" w:line="240" w:before="120" w:after="2"/>
        <w:jc w:val="both"/>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 Expenses</w:t>
      </w:r>
    </w:p>
    <w:tbl>
      <w:tblPr>
        <w:tblW w:w="8104" w:type="dxa"/>
        <w:jc w:val="center"/>
        <w:tblInd w:w="0" w:type="dxa"/>
        <w:tblLayout w:type="fixed"/>
        <w:tblCellMar>
          <w:top w:w="28" w:type="dxa"/>
          <w:left w:w="28" w:type="dxa"/>
          <w:bottom w:w="28" w:type="dxa"/>
          <w:right w:w="28" w:type="dxa"/>
        </w:tblCellMar>
      </w:tblPr>
      <w:tblGrid>
        <w:gridCol w:w="1087"/>
        <w:gridCol w:w="955"/>
        <w:gridCol w:w="957"/>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180"/>
        <w:gridCol w:w="181"/>
        <w:gridCol w:w="316"/>
      </w:tblGrid>
      <w:tr>
        <w:trPr/>
        <w:tc>
          <w:tcPr>
            <w:tcW w:w="108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selling, general, and administrative expenses for the three months ended June 24, 2023 as compared to the three months ended June 25, 2022 is due to the following: </w:t>
      </w:r>
    </w:p>
    <w:tbl>
      <w:tblPr>
        <w:tblW w:w="4469" w:type="dxa"/>
        <w:jc w:val="center"/>
        <w:tblInd w:w="0" w:type="dxa"/>
        <w:tblLayout w:type="fixed"/>
        <w:tblCellMar>
          <w:top w:w="28" w:type="dxa"/>
          <w:left w:w="28" w:type="dxa"/>
          <w:bottom w:w="28" w:type="dxa"/>
          <w:right w:w="28" w:type="dxa"/>
        </w:tblCellMar>
      </w:tblPr>
      <w:tblGrid>
        <w:gridCol w:w="1194"/>
        <w:gridCol w:w="1051"/>
        <w:gridCol w:w="1054"/>
        <w:gridCol w:w="227"/>
        <w:gridCol w:w="777"/>
        <w:gridCol w:w="166"/>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Employee-related costs</w:t>
            </w:r>
          </w:p>
        </w:tc>
        <w:tc>
          <w:tcPr>
            <w:tcW w:w="22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Allocated overhead expenses and other</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16,638 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Employee-related costs increased as a result of our full-time and contracted employee headcount growth within our selling, general, and administrative functions. Employee-related costs also increased as a result of equity expense attributable to the issuance of restricted stock units to our employees following the Business Combination. We increased headcount primarily to support a shift in the rapid acceleration of system deployments and business transformation. We incurred incremental costs related to building both shorter-term as well as permanent processes and infrastructure to ramp partnerships and operations.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Allocated overhead and other expenses increased due to an increase in information technology related costs attributable to the increase in employee headcount year over year as well as an increase attributable to growth of our cybersecurity infrastructure.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84785"/>
                <wp:effectExtent l="0" t="0" r="0" b="0"/>
                <wp:wrapNone/>
                <wp:docPr id="34" name="Frame3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60" w:after="283"/>
        <w:ind w:left="0" w:right="0" w:firstLine="360"/>
        <w:jc w:val="left"/>
        <w:rPr/>
      </w:pPr>
      <w:hyperlink w:anchor="icc5ff0f4f7584c1c9f7c92c4362a9638_7">
        <w:r>
          <w:rPr>
            <w:rStyle w:val="InternetLink"/>
            <w:rFonts w:ascii="Times New Roman;sans-serif" w:hAnsi="Times New Roman;sans-serif"/>
            <w:b w:val="false"/>
            <w:color w:val="0000FF"/>
            <w:sz w:val="20"/>
            <w:u w:val="single"/>
          </w:rPr>
          <w:t>Table of Contents</w:t>
        </w:r>
      </w:hyperlink>
    </w:p>
    <w:tbl>
      <w:tblPr>
        <w:tblW w:w="8314" w:type="dxa"/>
        <w:jc w:val="left"/>
        <w:tblInd w:w="0" w:type="dxa"/>
        <w:tblLayout w:type="fixed"/>
        <w:tblCellMar>
          <w:top w:w="28" w:type="dxa"/>
          <w:left w:w="28" w:type="dxa"/>
          <w:bottom w:w="28" w:type="dxa"/>
          <w:right w:w="28" w:type="dxa"/>
        </w:tblCellMar>
      </w:tblPr>
      <w:tblGrid>
        <w:gridCol w:w="1087"/>
        <w:gridCol w:w="955"/>
        <w:gridCol w:w="957"/>
        <w:gridCol w:w="211"/>
        <w:gridCol w:w="826"/>
        <w:gridCol w:w="271"/>
        <w:gridCol w:w="109"/>
        <w:gridCol w:w="109"/>
        <w:gridCol w:w="109"/>
        <w:gridCol w:w="211"/>
        <w:gridCol w:w="721"/>
        <w:gridCol w:w="271"/>
        <w:gridCol w:w="109"/>
        <w:gridCol w:w="109"/>
        <w:gridCol w:w="109"/>
        <w:gridCol w:w="211"/>
        <w:gridCol w:w="721"/>
        <w:gridCol w:w="109"/>
        <w:gridCol w:w="109"/>
        <w:gridCol w:w="109"/>
        <w:gridCol w:w="109"/>
        <w:gridCol w:w="233"/>
        <w:gridCol w:w="233"/>
        <w:gridCol w:w="316"/>
      </w:tblGrid>
      <w:tr>
        <w:trPr/>
        <w:tc>
          <w:tcPr>
            <w:tcW w:w="108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For the 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selling, general, and administrative expenses for the nine months ended June 24, 2023 as compared to the nine months ended June 25, 2022 is due to the following: </w:t>
      </w:r>
    </w:p>
    <w:tbl>
      <w:tblPr>
        <w:tblW w:w="4469" w:type="dxa"/>
        <w:jc w:val="left"/>
        <w:tblInd w:w="0" w:type="dxa"/>
        <w:tblLayout w:type="fixed"/>
        <w:tblCellMar>
          <w:top w:w="28" w:type="dxa"/>
          <w:left w:w="28" w:type="dxa"/>
          <w:bottom w:w="28" w:type="dxa"/>
          <w:right w:w="28" w:type="dxa"/>
        </w:tblCellMar>
      </w:tblPr>
      <w:tblGrid>
        <w:gridCol w:w="1194"/>
        <w:gridCol w:w="1051"/>
        <w:gridCol w:w="1054"/>
        <w:gridCol w:w="227"/>
        <w:gridCol w:w="777"/>
        <w:gridCol w:w="166"/>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Employee-related costs</w:t>
            </w:r>
          </w:p>
        </w:tc>
        <w:tc>
          <w:tcPr>
            <w:tcW w:w="22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70,068 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Allocated overhead expenses and other</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82,688 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Employee-related costs increased as a result of our full-time and contracted employee headcount growth within our selling, general, and administrative functions. Employee-related costs also increased as a result of equity expense attributable to the issuance of restricted stock units to our employees following the Business Combination. We increased headcount primarily to support a shift in the rapid acceleration of system deployments and business transformation. We incurred incremental costs related to building both shorter-term as well as permanent processes and infrastructure to ramp partnerships and operations.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Allocated overhead and other expenses increased due to an increase in information technology related costs attributable to the increase in employee headcount year over year as well as an increase attributable to growth of our cybersecurity infrastructure. As a result of becoming a public company upon the closing of the Business Combination, we have incurred higher audit and tax related expenses for the nine months ended June 24, 2023 as compared to the nine months ended June 25, 2022.</w:t>
      </w:r>
    </w:p>
    <w:p>
      <w:pPr>
        <w:pStyle w:val="TextBody"/>
        <w:bidi w:val="0"/>
        <w:spacing w:lineRule="auto" w:line="240" w:before="120" w:after="2"/>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income, net</w:t>
      </w:r>
    </w:p>
    <w:tbl>
      <w:tblPr>
        <w:tblW w:w="7439" w:type="dxa"/>
        <w:jc w:val="center"/>
        <w:tblInd w:w="0" w:type="dxa"/>
        <w:tblLayout w:type="fixed"/>
        <w:tblCellMar>
          <w:top w:w="28" w:type="dxa"/>
          <w:left w:w="28" w:type="dxa"/>
          <w:bottom w:w="28" w:type="dxa"/>
          <w:right w:w="28" w:type="dxa"/>
        </w:tblCellMar>
      </w:tblPr>
      <w:tblGrid>
        <w:gridCol w:w="840"/>
        <w:gridCol w:w="741"/>
        <w:gridCol w:w="744"/>
        <w:gridCol w:w="222"/>
        <w:gridCol w:w="648"/>
        <w:gridCol w:w="285"/>
        <w:gridCol w:w="109"/>
        <w:gridCol w:w="109"/>
        <w:gridCol w:w="109"/>
        <w:gridCol w:w="257"/>
        <w:gridCol w:w="568"/>
        <w:gridCol w:w="330"/>
        <w:gridCol w:w="109"/>
        <w:gridCol w:w="109"/>
        <w:gridCol w:w="109"/>
        <w:gridCol w:w="211"/>
        <w:gridCol w:w="616"/>
        <w:gridCol w:w="109"/>
        <w:gridCol w:w="109"/>
        <w:gridCol w:w="109"/>
        <w:gridCol w:w="109"/>
        <w:gridCol w:w="285"/>
        <w:gridCol w:w="286"/>
        <w:gridCol w:w="316"/>
      </w:tblGrid>
      <w:tr>
        <w:trPr/>
        <w:tc>
          <w:tcPr>
            <w:tcW w:w="8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22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1783 </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8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other income, net for the three months ended June 24, 2023 as compared to the three months ended June 25, 2022 was due to higher interest earned on invested cash balances and marketable securities as a result of increased interest rates.</w:t>
      </w:r>
    </w:p>
    <w:tbl>
      <w:tblPr>
        <w:tblW w:w="7439" w:type="dxa"/>
        <w:jc w:val="left"/>
        <w:tblInd w:w="0" w:type="dxa"/>
        <w:tblLayout w:type="fixed"/>
        <w:tblCellMar>
          <w:top w:w="28" w:type="dxa"/>
          <w:left w:w="28" w:type="dxa"/>
          <w:bottom w:w="28" w:type="dxa"/>
          <w:right w:w="28" w:type="dxa"/>
        </w:tblCellMar>
      </w:tblPr>
      <w:tblGrid>
        <w:gridCol w:w="840"/>
        <w:gridCol w:w="741"/>
        <w:gridCol w:w="744"/>
        <w:gridCol w:w="222"/>
        <w:gridCol w:w="648"/>
        <w:gridCol w:w="285"/>
        <w:gridCol w:w="109"/>
        <w:gridCol w:w="109"/>
        <w:gridCol w:w="109"/>
        <w:gridCol w:w="257"/>
        <w:gridCol w:w="568"/>
        <w:gridCol w:w="330"/>
        <w:gridCol w:w="109"/>
        <w:gridCol w:w="109"/>
        <w:gridCol w:w="109"/>
        <w:gridCol w:w="211"/>
        <w:gridCol w:w="616"/>
        <w:gridCol w:w="109"/>
        <w:gridCol w:w="109"/>
        <w:gridCol w:w="109"/>
        <w:gridCol w:w="109"/>
        <w:gridCol w:w="285"/>
        <w:gridCol w:w="286"/>
        <w:gridCol w:w="316"/>
      </w:tblGrid>
      <w:tr>
        <w:trPr/>
        <w:tc>
          <w:tcPr>
            <w:tcW w:w="8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For the 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22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7,055 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2889 </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8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other income, net for the nine months ended June 24, 2023 as compared to the nine months ended June 25, 2022 was due to higher interest earned on invested cash balances and marketable securities as a result of increased interest 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84785"/>
                <wp:effectExtent l="0" t="0" r="0" b="0"/>
                <wp:wrapNone/>
                <wp:docPr id="35" name="Frame3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60" w:after="283"/>
        <w:ind w:left="0" w:right="0" w:firstLine="360"/>
        <w:jc w:val="left"/>
        <w:rPr/>
      </w:pPr>
      <w:hyperlink w:anchor="icc5ff0f4f7584c1c9f7c92c4362a9638_7">
        <w:r>
          <w:rPr>
            <w:rStyle w:val="InternetLink"/>
            <w:rFonts w:ascii="Times New Roman;sans-serif" w:hAnsi="Times New Roman;sans-serif"/>
            <w:b w:val="false"/>
            <w:color w:val="0000FF"/>
            <w:sz w:val="20"/>
            <w:u w:val="single"/>
          </w:rPr>
          <w:t>Table of Contents</w:t>
        </w:r>
      </w:hyperlink>
    </w:p>
    <w:p>
      <w:pPr>
        <w:pStyle w:val="TextBody"/>
        <w:bidi w:val="0"/>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tbl>
      <w:tblPr>
        <w:tblW w:w="7333" w:type="dxa"/>
        <w:jc w:val="left"/>
        <w:tblInd w:w="0" w:type="dxa"/>
        <w:tblLayout w:type="fixed"/>
        <w:tblCellMar>
          <w:top w:w="28" w:type="dxa"/>
          <w:left w:w="28" w:type="dxa"/>
          <w:bottom w:w="28" w:type="dxa"/>
          <w:right w:w="28" w:type="dxa"/>
        </w:tblCellMar>
      </w:tblPr>
      <w:tblGrid>
        <w:gridCol w:w="889"/>
        <w:gridCol w:w="784"/>
        <w:gridCol w:w="787"/>
        <w:gridCol w:w="300"/>
        <w:gridCol w:w="470"/>
        <w:gridCol w:w="384"/>
        <w:gridCol w:w="126"/>
        <w:gridCol w:w="126"/>
        <w:gridCol w:w="126"/>
        <w:gridCol w:w="274"/>
        <w:gridCol w:w="528"/>
        <w:gridCol w:w="352"/>
        <w:gridCol w:w="109"/>
        <w:gridCol w:w="109"/>
        <w:gridCol w:w="109"/>
        <w:gridCol w:w="268"/>
        <w:gridCol w:w="344"/>
        <w:gridCol w:w="139"/>
        <w:gridCol w:w="109"/>
        <w:gridCol w:w="109"/>
        <w:gridCol w:w="109"/>
        <w:gridCol w:w="233"/>
        <w:gridCol w:w="233"/>
        <w:gridCol w:w="316"/>
      </w:tblGrid>
      <w:tr>
        <w:trPr/>
        <w:tc>
          <w:tcPr>
            <w:tcW w:w="88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30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8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incurred a current income tax expense of less than $0.1 million for the three months ended June 24, 2023 related to state income taxes. No such income tax benefit or expense was incurred for the three months ended June 25, 2022. </w:t>
      </w:r>
    </w:p>
    <w:tbl>
      <w:tblPr>
        <w:tblW w:w="7397" w:type="dxa"/>
        <w:jc w:val="left"/>
        <w:tblInd w:w="0" w:type="dxa"/>
        <w:tblLayout w:type="fixed"/>
        <w:tblCellMar>
          <w:top w:w="28" w:type="dxa"/>
          <w:left w:w="28" w:type="dxa"/>
          <w:bottom w:w="28" w:type="dxa"/>
          <w:right w:w="28" w:type="dxa"/>
        </w:tblCellMar>
      </w:tblPr>
      <w:tblGrid>
        <w:gridCol w:w="889"/>
        <w:gridCol w:w="784"/>
        <w:gridCol w:w="787"/>
        <w:gridCol w:w="238"/>
        <w:gridCol w:w="611"/>
        <w:gridCol w:w="306"/>
        <w:gridCol w:w="110"/>
        <w:gridCol w:w="110"/>
        <w:gridCol w:w="110"/>
        <w:gridCol w:w="274"/>
        <w:gridCol w:w="529"/>
        <w:gridCol w:w="352"/>
        <w:gridCol w:w="109"/>
        <w:gridCol w:w="109"/>
        <w:gridCol w:w="109"/>
        <w:gridCol w:w="211"/>
        <w:gridCol w:w="541"/>
        <w:gridCol w:w="109"/>
        <w:gridCol w:w="109"/>
        <w:gridCol w:w="109"/>
        <w:gridCol w:w="109"/>
        <w:gridCol w:w="233"/>
        <w:gridCol w:w="233"/>
        <w:gridCol w:w="316"/>
      </w:tblGrid>
      <w:tr>
        <w:trPr/>
        <w:tc>
          <w:tcPr>
            <w:tcW w:w="88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For the 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238"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incurred a current income tax expense of $0.2 million for the nine months ended June 24, 2023 related to state income taxes. No such income tax benefit or expense was incurred for the nine months ended June 25, 2022. </w:t>
      </w:r>
    </w:p>
    <w:p>
      <w:pPr>
        <w:pStyle w:val="TextBody"/>
        <w:bidi w:val="0"/>
        <w:spacing w:lineRule="auto" w:line="240" w:before="120" w:after="200"/>
        <w:jc w:val="both"/>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providing financial measurements based on generally accepted accounting principles in the United States of America, or GAAP, we provide additional financial metrics that are not prepared in accordance with GAAP, or non-GAAP financial measures. We use these non-GAAP financial measures, in addition to GAAP financial measures, to understand and compare operating results across accounting periods, for financial and operational decision making, for planning and forecasting purposes, to measure executive compensation, and to evaluate our financial performance. These non-GAAP financial measures are Adjusted EBITDA and Adjusted gross profit, as discussed below. </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these non-GAAP financial measures reflect our ongoing business in a manner that allows for meaningful comparisons and analysis of trends in the business, as it facilitates comparing financial results across accounting periods and to those of peer companies. We also believe that these non-GAAP financial measures enable investors to evaluate our operating results and future prospects in the same manner as we do. These non-GAAP financial measures may exclude expenses and gains that may be unusual in nature, infrequent, or not reflective of our ongoing operating results. </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non-GAAP financial measures do not replace the presentation of our GAAP financial measures and should only be used as a supplement to, not as a substitute for, our financial results presented in accordance with GAAP.</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consider Adjusted EBITDA to be an important indicator of the operational strength and performance of our business and a good measure of our historical operating trends. Adjusted EBITDA eliminates items that we do not consider to be part of our core operations. We define Adjusted EBITDA as GAAP net loss excluding the following items: interest income; income taxes; depreciation and amortization of tangible and intangible assets; stock-based compensation; Business Combination transaction expenses; CEO transition charges; Restructuring; and other items that may arise from time to time. </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non-GAAP adjustments, and our basis for excluding them from our non-GAAP financial measures, are outlined below:</w:t>
      </w:r>
    </w:p>
    <w:p>
      <w:pPr>
        <w:pStyle w:val="TextBody"/>
        <w:bidi w:val="0"/>
        <w:spacing w:lineRule="auto" w:line="288" w:before="60" w:after="283"/>
        <w:ind w:left="0" w:right="0" w:hanging="360"/>
        <w:jc w:val="left"/>
        <w:rPr/>
      </w:pPr>
      <w:r>
        <w:rPr>
          <w:color w:val="000000"/>
        </w:rPr>
        <w:t>•</w:t>
      </w:r>
      <w:r>
        <w:rPr>
          <w:rFonts w:ascii="Times New Roman;sans-serif" w:hAnsi="Times New Roman;sans-serif"/>
          <w:b/>
          <w:color w:val="000000"/>
          <w:sz w:val="20"/>
        </w:rPr>
        <w:t>Stock-based compensation</w:t>
      </w:r>
      <w:r>
        <w:rPr>
          <w:color w:val="000000"/>
        </w:rPr>
        <w:t xml:space="preserve"> – </w:t>
      </w:r>
      <w:r>
        <w:rPr>
          <w:rFonts w:ascii="Times New Roman;sans-serif" w:hAnsi="Times New Roman;sans-serif"/>
          <w:b w:val="false"/>
          <w:color w:val="000000"/>
          <w:sz w:val="20"/>
        </w:rPr>
        <w:t>Although stock-based compensation is an important aspect of the compensation paid to our employees, the grant date fair value varies based on the derived stock price at the time of grant, varying valuation methodologies, subjective assumptions, and the variety of award types. This makes the comparison of our current financial results to previous and future periods difficult to interpret; therefore, we believe it is useful to exclude stock-based compensation from our non-GAAP financial measures in order to highlight the performance of our business and to be consistent with the way many investors evaluate our performance and compare our operating results to peer companies.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color w:val="000000"/>
          <w:sz w:val="20"/>
        </w:rPr>
        <w:t>Business Combination transaction expenses</w:t>
      </w:r>
      <w:r>
        <w:rPr>
          <w:color w:val="000000"/>
        </w:rPr>
        <w:t xml:space="preserve"> – </w:t>
      </w:r>
      <w:r>
        <w:rPr>
          <w:rFonts w:ascii="Times New Roman;sans-serif" w:hAnsi="Times New Roman;sans-serif"/>
          <w:b w:val="false"/>
          <w:color w:val="000000"/>
          <w:sz w:val="20"/>
        </w:rPr>
        <w:t xml:space="preserve">Business Combination transaction expenses represent the expenses incurred solely related to the Business Combination, which we completed on June 7, 2022. It primarily includes investment banker fees, legal fees, professional fees for accountants, transaction fees, advisory fees, due diligence costs, certain other professional fees, and other direct costs associated with strategic activities. These amounts are impacted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4605" cy="14605"/>
                <wp:effectExtent l="0" t="0" r="0" b="0"/>
                <wp:wrapNone/>
                <wp:docPr id="36" name="Frame36"/>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60" w:after="283"/>
        <w:ind w:left="0" w:right="0" w:firstLine="360"/>
        <w:jc w:val="left"/>
        <w:rPr/>
      </w:pPr>
      <w:hyperlink w:anchor="icc5ff0f4f7584c1c9f7c92c4362a963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timing of the Business Combination. We exclude Business Combination transaction expenses from our non-GAAP financial measures to provide a useful comparison of our operating results to prior periods and to our peer companies because such amounts vary significantly based on the magnitude of the Business Combination transaction and do not reflect our core operations.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color w:val="000000"/>
          <w:sz w:val="20"/>
        </w:rPr>
        <w:t xml:space="preserve">CEO transition charges </w:t>
      </w:r>
      <w:r>
        <w:rPr>
          <w:color w:val="000000"/>
        </w:rPr>
        <w:t xml:space="preserve">– </w:t>
      </w:r>
      <w:r>
        <w:rPr>
          <w:rFonts w:ascii="Times New Roman;sans-serif" w:hAnsi="Times New Roman;sans-serif"/>
          <w:b w:val="false"/>
          <w:color w:val="000000"/>
          <w:sz w:val="20"/>
        </w:rPr>
        <w:t xml:space="preserve">CEO transition charges represent the charges incurred associated with the separation agreement we entered into with Michael Loparco in November 2022. We exclude these CEO transition charges from our non-GAAP financial measures to provide a useful comparison of our operating results to prior periods and to our peer companies because such amounts are not representative of our normal operating activities.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color w:val="000000"/>
          <w:sz w:val="20"/>
        </w:rPr>
        <w:t xml:space="preserve">Restructuring charges </w:t>
      </w:r>
      <w:r>
        <w:rPr>
          <w:color w:val="000000"/>
        </w:rPr>
        <w:t xml:space="preserve">– </w:t>
      </w:r>
      <w:r>
        <w:rPr>
          <w:rFonts w:ascii="Times New Roman;sans-serif" w:hAnsi="Times New Roman;sans-serif"/>
          <w:b w:val="false"/>
          <w:color w:val="000000"/>
          <w:sz w:val="20"/>
        </w:rPr>
        <w:t>Restructuring charges represent the charges incurred associated with certain actions to restructure parts of the Company within the U.S. and Canada. These charges include severance and related expenses for workforce reductions, impairments of inventory and long-lived assets that will no longer be used in operations, and termination fees for any contracts cancelled as part of these programs. We exclude these items from our non-GAAP financial measures when evaluating our continuing business performance as such items vary significantly based on the magnitude of the restructuring action and do not reflect future expected operating expenses. In addition, these charges do not necessarily provide meaningful insight into the fundamentals of current or past operations of our business.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GAAP net loss to Adjusted EBITDA for the three and nine months ended June 24, 2023 and June 25, 2022 (in thousands):</w:t>
      </w:r>
    </w:p>
    <w:tbl>
      <w:tblPr>
        <w:tblW w:w="9400" w:type="dxa"/>
        <w:jc w:val="left"/>
        <w:tblInd w:w="0" w:type="dxa"/>
        <w:tblLayout w:type="fixed"/>
        <w:tblCellMar>
          <w:top w:w="28" w:type="dxa"/>
          <w:left w:w="28" w:type="dxa"/>
          <w:bottom w:w="28" w:type="dxa"/>
          <w:right w:w="28" w:type="dxa"/>
        </w:tblCellMar>
      </w:tblPr>
      <w:tblGrid>
        <w:gridCol w:w="1338"/>
        <w:gridCol w:w="1169"/>
        <w:gridCol w:w="1183"/>
        <w:gridCol w:w="218"/>
        <w:gridCol w:w="824"/>
        <w:gridCol w:w="112"/>
        <w:gridCol w:w="109"/>
        <w:gridCol w:w="109"/>
        <w:gridCol w:w="109"/>
        <w:gridCol w:w="218"/>
        <w:gridCol w:w="824"/>
        <w:gridCol w:w="112"/>
        <w:gridCol w:w="109"/>
        <w:gridCol w:w="109"/>
        <w:gridCol w:w="109"/>
        <w:gridCol w:w="211"/>
        <w:gridCol w:w="901"/>
        <w:gridCol w:w="109"/>
        <w:gridCol w:w="109"/>
        <w:gridCol w:w="109"/>
        <w:gridCol w:w="109"/>
        <w:gridCol w:w="218"/>
        <w:gridCol w:w="823"/>
        <w:gridCol w:w="159"/>
      </w:tblGrid>
      <w:tr>
        <w:trPr/>
        <w:tc>
          <w:tcPr>
            <w:tcW w:w="1338"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25, 2022</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(39,077)</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(32,875)</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(85,831)</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Combination transaction expenses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CEO transition charges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(21,791)</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(69,305)</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define adjusted gross profit, a non-GAAP financial measure, as GAAP gross profit excluding the following items: depreciation, stock-based compensation, and restructuring charges. The following table reconciles GAAP gross profit to Adjusted gross profit for the three and nine months ended June 24, 2023 and June 25, 2022 (in thousands):</w:t>
      </w:r>
    </w:p>
    <w:tbl>
      <w:tblPr>
        <w:tblW w:w="7940" w:type="dxa"/>
        <w:jc w:val="left"/>
        <w:tblInd w:w="0" w:type="dxa"/>
        <w:tblLayout w:type="fixed"/>
        <w:tblCellMar>
          <w:top w:w="28" w:type="dxa"/>
          <w:left w:w="28" w:type="dxa"/>
          <w:bottom w:w="28" w:type="dxa"/>
          <w:right w:w="28" w:type="dxa"/>
        </w:tblCellMar>
      </w:tblPr>
      <w:tblGrid>
        <w:gridCol w:w="830"/>
        <w:gridCol w:w="726"/>
        <w:gridCol w:w="739"/>
        <w:gridCol w:w="234"/>
        <w:gridCol w:w="800"/>
        <w:gridCol w:w="121"/>
        <w:gridCol w:w="109"/>
        <w:gridCol w:w="109"/>
        <w:gridCol w:w="109"/>
        <w:gridCol w:w="234"/>
        <w:gridCol w:w="800"/>
        <w:gridCol w:w="121"/>
        <w:gridCol w:w="109"/>
        <w:gridCol w:w="109"/>
        <w:gridCol w:w="109"/>
        <w:gridCol w:w="212"/>
        <w:gridCol w:w="833"/>
        <w:gridCol w:w="109"/>
        <w:gridCol w:w="109"/>
        <w:gridCol w:w="109"/>
        <w:gridCol w:w="109"/>
        <w:gridCol w:w="233"/>
        <w:gridCol w:w="797"/>
        <w:gridCol w:w="170"/>
      </w:tblGrid>
      <w:tr>
        <w:trPr/>
        <w:tc>
          <w:tcPr>
            <w:tcW w:w="83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25, 2022</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52,909 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62,918 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gross profit</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57,211 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63,161 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584" w:type="dxa"/>
        <w:jc w:val="left"/>
        <w:tblInd w:w="0" w:type="dxa"/>
        <w:tblLayout w:type="fixed"/>
        <w:tblCellMar>
          <w:top w:w="28" w:type="dxa"/>
          <w:left w:w="28" w:type="dxa"/>
          <w:bottom w:w="28" w:type="dxa"/>
          <w:right w:w="28" w:type="dxa"/>
        </w:tblCellMar>
      </w:tblPr>
      <w:tblGrid>
        <w:gridCol w:w="879"/>
        <w:gridCol w:w="774"/>
        <w:gridCol w:w="777"/>
        <w:gridCol w:w="255"/>
        <w:gridCol w:w="256"/>
        <w:gridCol w:w="271"/>
        <w:gridCol w:w="109"/>
        <w:gridCol w:w="109"/>
        <w:gridCol w:w="109"/>
        <w:gridCol w:w="255"/>
        <w:gridCol w:w="256"/>
        <w:gridCol w:w="271"/>
        <w:gridCol w:w="109"/>
        <w:gridCol w:w="109"/>
        <w:gridCol w:w="109"/>
        <w:gridCol w:w="255"/>
        <w:gridCol w:w="256"/>
        <w:gridCol w:w="271"/>
        <w:gridCol w:w="109"/>
        <w:gridCol w:w="109"/>
        <w:gridCol w:w="109"/>
        <w:gridCol w:w="255"/>
        <w:gridCol w:w="256"/>
        <w:gridCol w:w="316"/>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margin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27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7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27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gross profit margin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31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40" w:before="120" w:after="20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24, 2023, our principal sources of liquidity were cash received from our historical equity raises, net proceeds received related to the Business Combination, and cash received from customers upon the inception and continuation of contracts to install customer Systems.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84785"/>
                <wp:effectExtent l="0" t="0" r="0" b="0"/>
                <wp:wrapNone/>
                <wp:docPr id="37" name="Frame3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60" w:after="283"/>
        <w:ind w:left="0" w:right="0" w:firstLine="360"/>
        <w:jc w:val="left"/>
        <w:rPr/>
      </w:pPr>
      <w:hyperlink w:anchor="icc5ff0f4f7584c1c9f7c92c4362a963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net cash provided by (used in) operating activities, net cash used in investing activities, and net cash provided by (used in) financing activities for the nine months ended June 24, 2023 and June 25, 2022:</w:t>
      </w:r>
    </w:p>
    <w:tbl>
      <w:tblPr>
        <w:tblW w:w="5401" w:type="dxa"/>
        <w:jc w:val="center"/>
        <w:tblInd w:w="0" w:type="dxa"/>
        <w:tblLayout w:type="fixed"/>
        <w:tblCellMar>
          <w:top w:w="28" w:type="dxa"/>
          <w:left w:w="28" w:type="dxa"/>
          <w:bottom w:w="28" w:type="dxa"/>
          <w:right w:w="28" w:type="dxa"/>
        </w:tblCellMar>
      </w:tblPr>
      <w:tblGrid>
        <w:gridCol w:w="961"/>
        <w:gridCol w:w="843"/>
        <w:gridCol w:w="850"/>
        <w:gridCol w:w="211"/>
        <w:gridCol w:w="901"/>
        <w:gridCol w:w="109"/>
        <w:gridCol w:w="109"/>
        <w:gridCol w:w="109"/>
        <w:gridCol w:w="109"/>
        <w:gridCol w:w="212"/>
        <w:gridCol w:w="832"/>
        <w:gridCol w:w="155"/>
      </w:tblGrid>
      <w:tr>
        <w:trPr/>
        <w:tc>
          <w:tcPr>
            <w:tcW w:w="96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24,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25, 2022</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(96,729)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362,448 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net cash provided by operating activities consists of net loss adjusted for certain non-cash items, including depreciation and amortization, foreign currency gains, losses on sales of assets, and stock-based compensation, as well as changes in operating assets and liabilities. The primary changes in working capital items, such as the changes in accounts receivable and deferred revenue, result from the difference in timing of payments from our customers related to system installations and the associated costs incurred by us to fulfill the system installation performance obligation. This may result in an operating cash flow source or use for the period, depending on the timing of payments received as compared to the fulfillment of the system installation performance obligation.</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was $186.3 million during the nine months ended June 24, 2023. Net cash provided by operating activities was primarily due to our net loss of $162.5 million adjusted for non-cash items of $128.6 million, primarily consisting of $6.6 million depreciation and amortization and $121.8 million stock-based compensation, offset by cash provided by operating assets and liabilities of $220.2 million. Cash provided by operating assets and liabilities of $220.2 million was primarily driven by net working capital changes, including the timing of cash payments to vendors and cash receipts from customers, an increase in inventory purchases for the nine months ended June 24, 2023 as we purchase additional inventory in order to meet our installation timeline for our customers’ upcoming warehouse automation system installations in connection with the Walmart Master Automation Agreement and other customer contracts, as well as an increase in deferred revenue for the nine months ended June 24, 2023 resulting from an increase in the number of active system installation projects.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was $(96.7) million during the nine months ended June 25, 2022. Net cash used in operating activities was due to our net loss of $85.8 million adjusted for non-cash items of $8.3 million, primarily consisting of $4.2 million depreciation and amortization and $4.1 million loss on abandonment of assets, as well as cash used in operating assets and liabilities of $19.2 million. Cash used in operating assets and liabilities of $19.2 million was primarily driven by net working capital changes, including the timing of cash payments to vendors and cash receipts from customers, as well as an increase in inventory purchases for the nine months ended June 25, 2022 as we purchase additional inventory in order to meet our installation timeline for our customers’ upcoming warehouse automation system installations in connection with the Walmart Master Automation Agreement and other customer contracts.</w:t>
      </w:r>
    </w:p>
    <w:p>
      <w:pPr>
        <w:pStyle w:val="TextBody"/>
        <w:bidi w:val="0"/>
        <w:spacing w:lineRule="auto" w:line="240" w:before="120" w:after="2"/>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investing activities have consisted primarily of property and equipment purchases, as well as purchases of marketable securities. </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cash and cash equivalents used in investing activities during the nine months ended June 24, 2023 consisted of $20.4 million of purchased property and equipment. Additionally, during the nine months ended June 24, 2023, we purchased U.S. Treasury securities for $301.1 million, and received proceeds of $50.0 million upon the maturity of certain U.S. Treasury securities.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and cash equivalents used in investing activities during the nine months ended June 25, 2022 consisted of $10.8 million of purchased property and equipment. </w:t>
      </w:r>
    </w:p>
    <w:p>
      <w:pPr>
        <w:pStyle w:val="TextBody"/>
        <w:bidi w:val="0"/>
        <w:spacing w:lineRule="auto" w:line="240" w:before="120" w:after="2"/>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financing activities have consisted of payments and proceeds related to our equity incentive plans for both RSUs and ESPP, as well as proceeds from the exercise of the vested warrants issued to Walmart and the equity infusion from our Business Combination, offset by the purchase of interest from the noncontrolling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84785"/>
                <wp:effectExtent l="0" t="0" r="0" b="0"/>
                <wp:wrapNone/>
                <wp:docPr id="38" name="Frame3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60" w:after="283"/>
        <w:ind w:left="0" w:right="0" w:firstLine="360"/>
        <w:jc w:val="left"/>
        <w:rPr/>
      </w:pPr>
      <w:hyperlink w:anchor="icc5ff0f4f7584c1c9f7c92c4362a963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June 24, 2023, we incurred a payment of $11.7 million for the taxes related to the net share settlement of stock-based compensation awards. We also received proceeds of $1.0 million from the issuance of common stock under the ESPP upon the expiration of the first offering period which occurred at the end of December 2022. </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Business Combination, for the nine months ended June 25, 2022 we received net proceeds of $384.7 million, and purchased Common Units in New Symbotic Holdings from an affiliated entity of the Symbotic founder for $300.0 million. Additionally, during the nine months ended June 25, 2022, Walmart gross exercised vested warrant units for $277.8 million. As a result of this gross exercise, 714,022 shares of Legacy Warehouse Class A Common Units were then issued to Walmart. In connection with the Business Combination, the Class A Common Units attributable to Walmart’s warrant exercise converted into units in Symbotic Holdings and Symbotic Inc. Class V-1 Common Stock. </w:t>
      </w:r>
    </w:p>
    <w:p>
      <w:pPr>
        <w:pStyle w:val="TextBody"/>
        <w:bidi w:val="0"/>
        <w:spacing w:lineRule="auto" w:line="240" w:before="120" w:after="2"/>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Contractual Obligations and Commitments and Liquidity Outlook</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historically been able to generate positive cash flow from operations, which has funded our operating activities and other cash requirements and has resulted in a cash and cash equivalents balance of $255.5 million and short-term available for sale marketable securities balance of $255.4 million as of June 24, 2023. Our cash requirements for the nine months ended June 24, 2023 were primarily related to capital expenditures and inventory purchases in order to deliver to our customers our warehouse automation systems in an orderly manner in line with our installation timeline. </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our present business plan, we expect our current cash and cash equivalents, unrestricted marketable securities, working capital, and our forecasted cash flows from operations to be sufficient to meet our foreseeable cash needs for at least the next 12 months. Our foreseeable cash needs, in addition to our recurring operating expenses, include our expected capital expenditures to support expansion of our infrastructure and workforce and minimum contractual obligations. Contractual obligations are cash that we are obligated to pay as part of certain contracts that we have entered into during our course of business. Our contractual obligations consist of operating lease liabilities that are included in our consolidated balance sheet and vendor commitments associated with agreements that are legally binding. The Company’s operating lease cash requirements have not changed materially since September 24, 2022. </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current and long-term material cash requirements as of June 24, 2023 for our vendor commitments: </w:t>
      </w:r>
    </w:p>
    <w:tbl>
      <w:tblPr>
        <w:tblW w:w="9544" w:type="dxa"/>
        <w:jc w:val="left"/>
        <w:tblInd w:w="0" w:type="dxa"/>
        <w:tblLayout w:type="fixed"/>
        <w:tblCellMar>
          <w:top w:w="28" w:type="dxa"/>
          <w:left w:w="28" w:type="dxa"/>
          <w:bottom w:w="28" w:type="dxa"/>
          <w:right w:w="28" w:type="dxa"/>
        </w:tblCellMar>
      </w:tblPr>
      <w:tblGrid>
        <w:gridCol w:w="673"/>
        <w:gridCol w:w="592"/>
        <w:gridCol w:w="595"/>
        <w:gridCol w:w="211"/>
        <w:gridCol w:w="976"/>
        <w:gridCol w:w="109"/>
        <w:gridCol w:w="109"/>
        <w:gridCol w:w="109"/>
        <w:gridCol w:w="109"/>
        <w:gridCol w:w="229"/>
        <w:gridCol w:w="1062"/>
        <w:gridCol w:w="118"/>
        <w:gridCol w:w="109"/>
        <w:gridCol w:w="109"/>
        <w:gridCol w:w="109"/>
        <w:gridCol w:w="211"/>
        <w:gridCol w:w="826"/>
        <w:gridCol w:w="109"/>
        <w:gridCol w:w="109"/>
        <w:gridCol w:w="109"/>
        <w:gridCol w:w="109"/>
        <w:gridCol w:w="211"/>
        <w:gridCol w:w="616"/>
        <w:gridCol w:w="109"/>
        <w:gridCol w:w="109"/>
        <w:gridCol w:w="109"/>
        <w:gridCol w:w="109"/>
        <w:gridCol w:w="435"/>
        <w:gridCol w:w="837"/>
        <w:gridCol w:w="317"/>
      </w:tblGrid>
      <w:tr>
        <w:trPr/>
        <w:tc>
          <w:tcPr>
            <w:tcW w:w="67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gridSpan w:val="21"/>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Payments due in:</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Less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3-5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More than 5 Years</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4"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Vendor commitments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1,052,819 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capital requirements will depend on many factors, including our growth rate, the timing and extent of spending to support research and development efforts, the expansion of sales and marketing activities, the introduction of new and enhanced product and service offerings, and the cost of any future acquisitions of technology or businesses. In the event that additional financing is required from outside sources, we may be unable to raise the funds on acceptable terms, if at all. </w:t>
      </w:r>
    </w:p>
    <w:p>
      <w:pPr>
        <w:pStyle w:val="TextBody"/>
        <w:bidi w:val="0"/>
        <w:spacing w:lineRule="auto" w:line="240" w:before="120" w:after="20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significant changes in our critical accounting policies and estimates during the nine months ended June 24, 2023 as compared to the critical accounting policies and estimates disclosed in the audited consolidated financial statements and related notes thereto as of and for the year ended September 24, 2022, which are included within the Annual Report on Form 10-K filed with the SEC on December 9, 2022.</w:t>
      </w:r>
    </w:p>
    <w:p>
      <w:pPr>
        <w:pStyle w:val="TextBody"/>
        <w:bidi w:val="0"/>
        <w:spacing w:lineRule="auto" w:line="240" w:before="120" w:after="200"/>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24, 2023, we had no off-balance sheet arrangements as defined in Instruction 8 to Item 303(b) of Regulation S-K.</w:t>
      </w:r>
    </w:p>
    <w:p>
      <w:pPr>
        <w:pStyle w:val="TextBody"/>
        <w:bidi w:val="0"/>
        <w:spacing w:lineRule="auto" w:line="240" w:before="120" w:after="20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information on recent accounting pronouncements, see Recently Issued Accounting Pronouncements and Recently Adopted Accounting Pronouncements in the notes to the unaudited condensed consolidated financial statements appearing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84785"/>
                <wp:effectExtent l="0" t="0" r="0" b="0"/>
                <wp:wrapNone/>
                <wp:docPr id="39" name="Frame3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60" w:after="283"/>
        <w:ind w:left="0" w:right="0" w:firstLine="360"/>
        <w:jc w:val="left"/>
        <w:rPr/>
      </w:pPr>
      <w:hyperlink w:anchor="icc5ff0f4f7584c1c9f7c92c4362a963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smaller reporting company as defined by Rule 12b-2 of the Exchange Act, and are not required to provide the information otherwise required under this item.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6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with the participation of our Chief Executive Officer and our Chief Financial Officer (our principal executive officer and principal financial officer, respectively), evaluated, as of the end of the period covered by this Quarterly Report on Form 10-Q, the effectiveness of our disclosure controls and procedures as defined in Rules 13a-15(e) and 15d-15(e) under the Exchange Act. The term “disclosure controls and procedures,” as defined in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that evaluation of our disclosure controls and procedures as of June 24, 2023, our Chief Executive Officer and Chief Financial Officer concluded that, as of such date, our disclosure controls and procedures were effective at the reasonable assurance level. </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period covered by this report, with the assistance of a third-party internal audit service provider, we established a new internal audit function led by an internal audit director, hired in February 2023. The new internal audit director reports to our Audit Committee and has been charged with the responsibility of improving the overall effectiveness of the control environment and developing the new internal audit function. In addition, the internal audit director will be responsible for overseeing our ongoing evaluation of internal control over financial reporting, which will include documenting the existing business processes, determining the gaps in the existing system of internal control, and recommending improvements to the business processes. The internal audit director will also establish a mechanism to monitor the effectiveness of internal controls on an ongoing basis.</w:t>
      </w:r>
    </w:p>
    <w:p>
      <w:pPr>
        <w:pStyle w:val="TextBody"/>
        <w:bidi w:val="0"/>
        <w:spacing w:lineRule="auto" w:line="288" w:before="6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Except as set forth below, no change in our internal control over financial reporting (as defined in Rules 13a-15(f) and 15d-15(f) under the Exchange Act) occurred during the fiscal quarter ended June 24, 2023 that has materially affected, or is reasonably likely to materially affect, our internal control over financial reporting. </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period covered by this report, we, with the assistance of a third-party internal audit service provider, established a new internal audit function (as described in Item 4, “Evaluation of Disclosure 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be subject from time to time to various claims, lawsuits, and other legal and administrative proceedings arising in the ordinary course of business. Some of these claims, lawsuits, and other proceedings may involve highly complex issues that are subject to substantial uncertainties, and could result in damages, fines, and penalties, non-monetary sanctions, or relief. We intend to recognize provisions for claims or pending litigation when we determine that an unfavorable outcome is probable, and the amount of loss can be reasonably estimated. Due to the inherent uncertain nature of litigation, the ultimate outcome or actual cost of settlement may materially vary from estimates.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various risks and uncertainties in the course of our business. For a detailed discussion of these risks, please see the section in our Annual Report on Form 10-K filed with the SEC on December 9, 2022 titled “Risk Factors”. Any of the matters highlighted in those risk factors and the risk factor below could adversely affect our business, results of operations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84785"/>
                <wp:effectExtent l="0" t="0" r="0" b="0"/>
                <wp:wrapNone/>
                <wp:docPr id="40" name="Frame4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60" w:after="283"/>
        <w:ind w:left="0" w:right="0" w:firstLine="360"/>
        <w:jc w:val="left"/>
        <w:rPr/>
      </w:pPr>
      <w:hyperlink w:anchor="icc5ff0f4f7584c1c9f7c92c4362a963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120"/>
        <w:jc w:val="left"/>
        <w:rPr>
          <w:rFonts w:ascii="Times New Roman;sans-serif" w:hAnsi="Times New Roman;sans-serif"/>
          <w:b/>
          <w:i/>
          <w:color w:val="000000"/>
          <w:sz w:val="20"/>
        </w:rPr>
      </w:pPr>
      <w:r>
        <w:rPr>
          <w:rFonts w:ascii="Times New Roman;sans-serif" w:hAnsi="Times New Roman;sans-serif"/>
          <w:b/>
          <w:i/>
          <w:color w:val="000000"/>
          <w:sz w:val="20"/>
        </w:rPr>
        <w:t>We may fail to realize anticipated benefits of the GreenBox Transaction, or it may disrupt our ongoing operations or result in operating difficulties, liabilities and expenses, harm our business, and negatively impact our results of operations.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GreenBox Transaction is expected to be material to our financial condition and results of operations. We may be unable to obtain the benefits, avoid the difficulties and risks of such transaction, or it may take us longer than expected to fully realize the anticipated benefits and synergies of the GreenBox Transaction, and those benefits and synergies may ultimately be smaller than anticipated or may not be realized at all, which could adversely affect our business and operating results.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GreenBox Transaction may also require us to issue additional equity securities, spend our cash, or incur debt (and increased interest expense), liabilities, and amortization expenses related to intangible assets or write-offs of goodwill, which could adversely affect our results of operations and dilute the economic and voting rights of our stockholders and the interests of holders of our indebtedness.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cannot assure you that the GreenBox Transaction will lead to the successful development of new or enhanced products and services or that any new or enhanced products and services, if developed, will achieve market acceptance or prove to be profitable. Further, we may also choose to divest certain businesses or product lines that no longer fit with our strategic objectives. If we decide to sell assets or a business, we may have difficulty obtaining terms acceptable to us in a timely manner, or at all. Additionally, the terms of such potential transactions may expose the Company to ongoing obligations and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84785"/>
                <wp:effectExtent l="0" t="0" r="0" b="0"/>
                <wp:wrapNone/>
                <wp:docPr id="41" name="Frame4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cc5ff0f4f7584c1c9f7c92c4362a963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exhibits listed below are filed or incorporated by reference into this Report.</w:t>
      </w:r>
    </w:p>
    <w:tbl>
      <w:tblPr>
        <w:tblW w:w="10205" w:type="dxa"/>
        <w:jc w:val="left"/>
        <w:tblInd w:w="0" w:type="dxa"/>
        <w:tblLayout w:type="fixed"/>
        <w:tblCellMar>
          <w:top w:w="28" w:type="dxa"/>
          <w:left w:w="28" w:type="dxa"/>
          <w:bottom w:w="28" w:type="dxa"/>
          <w:right w:w="28" w:type="dxa"/>
        </w:tblCellMar>
      </w:tblPr>
      <w:tblGrid>
        <w:gridCol w:w="279"/>
        <w:gridCol w:w="246"/>
        <w:gridCol w:w="248"/>
        <w:gridCol w:w="109"/>
        <w:gridCol w:w="109"/>
        <w:gridCol w:w="109"/>
        <w:gridCol w:w="2169"/>
        <w:gridCol w:w="1934"/>
        <w:gridCol w:w="1939"/>
        <w:gridCol w:w="109"/>
        <w:gridCol w:w="109"/>
        <w:gridCol w:w="109"/>
        <w:gridCol w:w="175"/>
        <w:gridCol w:w="175"/>
        <w:gridCol w:w="176"/>
        <w:gridCol w:w="120"/>
        <w:gridCol w:w="120"/>
        <w:gridCol w:w="120"/>
        <w:gridCol w:w="240"/>
        <w:gridCol w:w="240"/>
        <w:gridCol w:w="241"/>
        <w:gridCol w:w="120"/>
        <w:gridCol w:w="120"/>
        <w:gridCol w:w="120"/>
        <w:gridCol w:w="223"/>
        <w:gridCol w:w="223"/>
        <w:gridCol w:w="323"/>
      </w:tblGrid>
      <w:tr>
        <w:trPr/>
        <w:tc>
          <w:tcPr>
            <w:tcW w:w="2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w:t>
            </w:r>
          </w:p>
        </w:tc>
      </w:tr>
      <w:tr>
        <w:trPr/>
        <w:tc>
          <w:tcPr>
            <w:tcW w:w="77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Filing Date</w:t>
            </w:r>
          </w:p>
        </w:tc>
      </w:tr>
      <w:tr>
        <w:trPr/>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pPr>
            <w:hyperlink r:id="rId2">
              <w:r>
                <w:rPr>
                  <w:rStyle w:val="InternetLink"/>
                  <w:rFonts w:ascii="Times New Roman;sans-serif" w:hAnsi="Times New Roman;sans-serif"/>
                  <w:b w:val="false"/>
                  <w:color w:val="0000FF"/>
                  <w:sz w:val="20"/>
                  <w:u w:val="single"/>
                </w:rPr>
                <w:t>Warrant to Purchase Class A Common Stock, between Symbotic Inc. and Sunlight Investment Corp., dated as of July 23,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7/24/2023</w:t>
            </w:r>
          </w:p>
        </w:tc>
      </w:tr>
      <w:tr>
        <w:trPr/>
        <w:tc>
          <w:tcPr>
            <w:tcW w:w="7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2"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3">
              <w:r>
                <w:rPr>
                  <w:rStyle w:val="InternetLink"/>
                  <w:rFonts w:ascii="Times New Roman;sans-serif" w:hAnsi="Times New Roman;sans-serif"/>
                  <w:b w:val="false"/>
                  <w:color w:val="0000FF"/>
                  <w:sz w:val="20"/>
                  <w:u w:val="single"/>
                </w:rPr>
                <w:t>Framework Agreement, by and among Symbotic Inc., Symbotic Holdings LLC, Symbotic LLC, Sunlight Investment Corp., SVF II Strategic Investments AIV LLC and GreenBox Systems LLC, dated as of July 23,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7/24/2023</w:t>
            </w:r>
          </w:p>
        </w:tc>
      </w:tr>
      <w:tr>
        <w:trPr/>
        <w:tc>
          <w:tcPr>
            <w:tcW w:w="7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2"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4">
              <w:r>
                <w:rPr>
                  <w:rStyle w:val="InternetLink"/>
                  <w:rFonts w:ascii="Times New Roman;sans-serif" w:hAnsi="Times New Roman;sans-serif"/>
                  <w:b w:val="false"/>
                  <w:color w:val="0000FF"/>
                  <w:sz w:val="20"/>
                  <w:u w:val="single"/>
                </w:rPr>
                <w:t>Limited Liability Company Agreement of GreenBox Systems LLC, by and among GreenBox Systems LLC, Symbotic Holdings LLC and Sunlight Investment Corp., dated as of July 23,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7/24/2023</w:t>
            </w:r>
          </w:p>
        </w:tc>
      </w:tr>
      <w:tr>
        <w:trPr/>
        <w:tc>
          <w:tcPr>
            <w:tcW w:w="7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2"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5">
              <w:r>
                <w:rPr>
                  <w:rStyle w:val="InternetLink"/>
                  <w:rFonts w:ascii="Times New Roman;sans-serif" w:hAnsi="Times New Roman;sans-serif"/>
                  <w:b w:val="false"/>
                  <w:color w:val="0000FF"/>
                  <w:sz w:val="20"/>
                  <w:u w:val="single"/>
                </w:rPr>
                <w:t>Master Services, License and Equipment Agreement, by and between GreenBox Systems LLC and Symbotic LLC, dated as of July 23,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7/24/2023</w:t>
            </w:r>
          </w:p>
        </w:tc>
      </w:tr>
      <w:tr>
        <w:trPr/>
        <w:tc>
          <w:tcPr>
            <w:tcW w:w="7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2"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xhibit311q323.htm">
              <w:r>
                <w:rPr>
                  <w:rStyle w:val="InternetLink"/>
                  <w:rFonts w:ascii="Times New Roman;sans-serif" w:hAnsi="Times New Roman;sans-serif"/>
                  <w:b w:val="false"/>
                  <w:color w:val="0000FF"/>
                  <w:sz w:val="20"/>
                  <w:u w:val="single"/>
                </w:rPr>
                <w:t>Certification of Chief Executive Officer Pursuant to Rule 13a-14(a)/ Rule 15d-14(a) of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2"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xhibit312q323.htm">
              <w:r>
                <w:rPr>
                  <w:rStyle w:val="InternetLink"/>
                  <w:rFonts w:ascii="Times New Roman;sans-serif" w:hAnsi="Times New Roman;sans-serif"/>
                  <w:b w:val="false"/>
                  <w:color w:val="0000FF"/>
                  <w:sz w:val="20"/>
                  <w:u w:val="single"/>
                </w:rPr>
                <w:t>Certification of Chief Financial Officer pursuant to Rule 13a-14(a)/ Rule 15d-14(a) of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2"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xhibit321q323.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2"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xhibit322q323.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with applicable taxonomy extension information contained in Exhibits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29"/>
        <w:gridCol w:w="114"/>
        <w:gridCol w:w="114"/>
        <w:gridCol w:w="2917"/>
        <w:gridCol w:w="2867"/>
        <w:gridCol w:w="4064"/>
      </w:tblGrid>
      <w:tr>
        <w:trPr/>
        <w:tc>
          <w:tcPr>
            <w:tcW w:w="12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917"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35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8"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of the exhibits and schedules to this Exhibit have been omitted in accordance with Item 1.01 of Form 8-K and Item 601(a)(5) of Regulation S-K. The Registrant agrees to furnish a copy of all omitted exhibits and schedules to the SEC upon its request.</w:t>
            </w:r>
          </w:p>
        </w:tc>
      </w:tr>
      <w:tr>
        <w:trPr/>
        <w:tc>
          <w:tcPr>
            <w:tcW w:w="35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r>
              <w:rPr>
                <w:rFonts w:ascii="Times New Roman;sans-serif" w:hAnsi="Times New Roman;sans-serif"/>
                <w:b w:val="false"/>
                <w:color w:val="000000"/>
                <w:sz w:val="20"/>
              </w:rPr>
              <w:t>++</w:t>
            </w:r>
          </w:p>
        </w:tc>
        <w:tc>
          <w:tcPr>
            <w:tcW w:w="9848"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confidential information contained in this document, marked by brackets and asterisks, has been omitted pursuant to Item 1.01 of Form 8-K and Item 601(b)(10)(iv) of Regulation S-K, because the Company customarily and actually treats such information as private or confidential and the omitted information is not material.</w:t>
            </w:r>
          </w:p>
        </w:tc>
      </w:tr>
    </w:tbl>
    <w:p>
      <w:pPr>
        <w:pStyle w:val="TextBody"/>
        <w:bidi w:val="0"/>
        <w:spacing w:before="6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60" w:after="283"/>
        <w:ind w:left="0" w:right="0" w:firstLine="360"/>
        <w:jc w:val="left"/>
        <w:rPr/>
      </w:pPr>
      <w:hyperlink w:anchor="icc5ff0f4f7584c1c9f7c92c4362a963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60" w:after="283"/>
        <w:jc w:val="left"/>
        <w:rPr/>
      </w:pPr>
      <w:r>
        <w:rPr/>
      </w:r>
    </w:p>
    <w:p>
      <w:pPr>
        <w:pStyle w:val="TextBody"/>
        <w:bidi w:val="0"/>
        <w:spacing w:before="60" w:after="283"/>
        <w:jc w:val="left"/>
        <w:rPr/>
      </w:pPr>
      <w:r>
        <w:rPr/>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2, 2023</w:t>
      </w:r>
    </w:p>
    <w:p>
      <w:pPr>
        <w:pStyle w:val="TextBody"/>
        <w:bidi w:val="0"/>
        <w:spacing w:lineRule="auto" w:line="288" w:before="60" w:after="283"/>
        <w:ind w:left="0" w:right="0" w:firstLine="720"/>
        <w:jc w:val="left"/>
        <w:rPr>
          <w:color w:val="000000"/>
        </w:rPr>
      </w:pPr>
      <w:r>
        <w:rPr>
          <w:color w:val="000000"/>
        </w:rPr>
        <w:t>                    </w:t>
      </w:r>
    </w:p>
    <w:tbl>
      <w:tblPr>
        <w:tblW w:w="4424" w:type="dxa"/>
        <w:jc w:val="left"/>
        <w:tblInd w:w="0" w:type="dxa"/>
        <w:tblLayout w:type="fixed"/>
        <w:tblCellMar>
          <w:top w:w="28" w:type="dxa"/>
          <w:left w:w="28" w:type="dxa"/>
          <w:bottom w:w="28" w:type="dxa"/>
          <w:right w:w="28" w:type="dxa"/>
        </w:tblCellMar>
      </w:tblPr>
      <w:tblGrid>
        <w:gridCol w:w="462"/>
        <w:gridCol w:w="405"/>
        <w:gridCol w:w="408"/>
        <w:gridCol w:w="920"/>
        <w:gridCol w:w="920"/>
        <w:gridCol w:w="1309"/>
      </w:tblGrid>
      <w:tr>
        <w:trPr/>
        <w:tc>
          <w:tcPr>
            <w:tcW w:w="46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Symbotic Inc.</w:t>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4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Ernst</w:t>
            </w:r>
          </w:p>
        </w:tc>
      </w:tr>
      <w:tr>
        <w:trPr/>
        <w:tc>
          <w:tcPr>
            <w:tcW w:w="12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Ernst</w:t>
            </w:r>
          </w:p>
        </w:tc>
      </w:tr>
      <w:tr>
        <w:trPr/>
        <w:tc>
          <w:tcPr>
            <w:tcW w:w="12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14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84785"/>
                <wp:effectExtent l="0" t="0" r="0" b="0"/>
                <wp:wrapNone/>
                <wp:docPr id="43" name="Frame4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Richard B. Cohen, certify that:</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for the fiscal quarter ended June 24, 2023 of Symbotic Inc.;</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502"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951"/>
        <w:gridCol w:w="951"/>
        <w:gridCol w:w="135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2,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Richard B. Cohen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B. Cohen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Thomas Ernst, certify that:</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for the fiscal quarter ended June 24, 2023 of Symbotic Inc.;</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013"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100"/>
        <w:gridCol w:w="1100"/>
        <w:gridCol w:w="1565"/>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2,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Ernst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Ernst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Symbotic Inc. (the “Company”) for the fiscal quarter ended June 24, 2023, as filed with the Securities and Exchange Commission on the date hereof (the “Report”), I, Richard B. Cohen, Chairman and Chief Executive Officer of the Company, certify, pursuant to 18 U.S.C. Section 1350, as adopted pursuant to Section 906 of the Sarbanes-Oxley Act of 2002, that, to my knowledge:</w:t>
      </w:r>
    </w:p>
    <w:p>
      <w:pPr>
        <w:pStyle w:val="TextBody"/>
        <w:bidi w:val="0"/>
        <w:spacing w:lineRule="auto" w:line="312"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lineRule="auto" w:line="312"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5502"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951"/>
        <w:gridCol w:w="951"/>
        <w:gridCol w:w="135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2,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Richard B. Cohen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B. Cohen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certification is being furnished solely pursuant to 18 U.S.C. Section 1350 and is not being filed as part of the Report or as a separate disclosure document.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Symbotic Inc. (the “Company”) for the fiscal quarter ended June 24, 2023, as filed with the Securities and Exchange Commission on the date hereof (the “Report”), I, Thomas Ernst, Chief Financial Officer and Treasurer of the Company, certify, pursuant to 18 U.S.C. Section 1350, as adopted pursuant to Section 906 of the Sarbanes-Oxley Act of 2002, that, to my knowledge:</w:t>
      </w:r>
    </w:p>
    <w:p>
      <w:pPr>
        <w:pStyle w:val="TextBody"/>
        <w:bidi w:val="0"/>
        <w:spacing w:lineRule="auto" w:line="312"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lineRule="auto" w:line="312"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6013"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100"/>
        <w:gridCol w:w="1100"/>
        <w:gridCol w:w="1565"/>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2,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Ernst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Ernst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certification is being furnished solely pursuant to 18 U.S.C. Section 1350 and is not being filed as part of the Report or as a separate disclosure document. </w:t>
      </w:r>
    </w:p>
    <w:p>
      <w:pPr>
        <w:pStyle w:val="TextBody"/>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7240/000119312523191837/d518855dex41.htm" TargetMode="External"/><Relationship Id="rId3" Type="http://schemas.openxmlformats.org/officeDocument/2006/relationships/hyperlink" Target="https://www.sec.gov/Archives/edgar/data/1837240/000119312523191837/d518855dex101.htm" TargetMode="External"/><Relationship Id="rId4" Type="http://schemas.openxmlformats.org/officeDocument/2006/relationships/hyperlink" Target="https://www.sec.gov/Archives/edgar/data/1837240/000119312523191837/d518855dex102.htm" TargetMode="External"/><Relationship Id="rId5" Type="http://schemas.openxmlformats.org/officeDocument/2006/relationships/hyperlink" Target="https://www.sec.gov/Archives/edgar/data/1837240/000119312523191837/d518855dex103.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22085</Words>
  <Characters>123015</Characters>
  <CharactersWithSpaces>143824</CharactersWithSpaces>
  <Paragraphs>3380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