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6995795" cy="7188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7188835"/>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260" w:type="dxa"/>
            <w:vAlign w:val="bottom"/>
            <w:gridSpan w:val="3"/>
          </w:tcPr>
          <w:p>
            <w:pPr>
              <w:ind w:left="140"/>
              <w:spacing w:after="0"/>
              <w:rPr>
                <w:sz w:val="20"/>
                <w:szCs w:val="20"/>
                <w:color w:val="auto"/>
              </w:rPr>
            </w:pPr>
            <w:r>
              <w:rPr>
                <w:rFonts w:ascii="Arial" w:cs="Arial" w:eastAsia="Arial" w:hAnsi="Arial"/>
                <w:sz w:val="13"/>
                <w:szCs w:val="13"/>
                <w:color w:val="auto"/>
                <w:w w:val="91"/>
              </w:rPr>
              <w:t>2.</w:t>
            </w:r>
          </w:p>
        </w:tc>
        <w:tc>
          <w:tcPr>
            <w:tcW w:w="366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440" w:type="dxa"/>
            <w:vAlign w:val="bottom"/>
            <w:gridSpan w:val="4"/>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KRASNOW TODD</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3"/>
          </w:tcPr>
          <w:p>
            <w:pPr>
              <w:spacing w:after="0" w:line="178"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Symbotic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SYM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gridSpan w:val="4"/>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1020" w:type="dxa"/>
            <w:vAlign w:val="bottom"/>
            <w:tcBorders>
              <w:top w:val="single" w:sz="8" w:color="0000EE"/>
            </w:tcBorders>
          </w:tcPr>
          <w:p>
            <w:pPr>
              <w:spacing w:after="0"/>
              <w:rPr>
                <w:sz w:val="4"/>
                <w:szCs w:val="4"/>
                <w:color w:val="auto"/>
              </w:rPr>
            </w:pPr>
          </w:p>
        </w:tc>
        <w:tc>
          <w:tcPr>
            <w:tcW w:w="2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20" w:type="dxa"/>
            <w:vAlign w:val="bottom"/>
            <w:tcBorders>
              <w:bottom w:val="single" w:sz="8" w:color="2C2C2C"/>
            </w:tcBorders>
          </w:tcPr>
          <w:p>
            <w:pPr>
              <w:spacing w:after="0"/>
              <w:rPr>
                <w:sz w:val="15"/>
                <w:szCs w:val="15"/>
                <w:color w:val="auto"/>
              </w:rPr>
            </w:pPr>
          </w:p>
        </w:tc>
        <w:tc>
          <w:tcPr>
            <w:tcW w:w="26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8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260" w:type="dxa"/>
            <w:vAlign w:val="bottom"/>
            <w:gridSpan w:val="3"/>
          </w:tcPr>
          <w:p>
            <w:pPr>
              <w:ind w:left="140"/>
              <w:spacing w:after="0" w:line="138" w:lineRule="exact"/>
              <w:rPr>
                <w:sz w:val="20"/>
                <w:szCs w:val="20"/>
                <w:color w:val="auto"/>
              </w:rPr>
            </w:pPr>
            <w:r>
              <w:rPr>
                <w:rFonts w:ascii="Arial" w:cs="Arial" w:eastAsia="Arial" w:hAnsi="Arial"/>
                <w:sz w:val="13"/>
                <w:szCs w:val="13"/>
                <w:color w:val="auto"/>
                <w:w w:val="91"/>
              </w:rPr>
              <w:t>3.</w:t>
            </w:r>
          </w:p>
        </w:tc>
        <w:tc>
          <w:tcPr>
            <w:tcW w:w="3660" w:type="dxa"/>
            <w:vAlign w:val="bottom"/>
            <w:gridSpan w:val="2"/>
          </w:tcPr>
          <w:p>
            <w:pPr>
              <w:ind w:left="20"/>
              <w:spacing w:after="0" w:line="138" w:lineRule="exact"/>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2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0000FF"/>
              </w:rPr>
              <w:t>05/22/2026</w:t>
            </w:r>
          </w:p>
        </w:tc>
        <w:tc>
          <w:tcPr>
            <w:tcW w:w="2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6"/>
          <w:szCs w:val="16"/>
          <w:color w:val="0000FF"/>
        </w:rPr>
        <w:t>C/O SYMBOTIC INC., 200 RESEARCH DRIVE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ind w:left="6" w:right="680" w:hanging="6"/>
        <w:spacing w:after="0" w:line="251" w:lineRule="auto"/>
        <w:tabs>
          <w:tab w:leader="none" w:pos="14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0" w:lineRule="exact"/>
        <w:rPr>
          <w:sz w:val="20"/>
          <w:szCs w:val="20"/>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6"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0"/>
          <w:szCs w:val="20"/>
          <w:color w:val="auto"/>
        </w:rPr>
      </w:pPr>
    </w:p>
    <w:p>
      <w:pPr>
        <w:ind w:left="526"/>
        <w:spacing w:after="0"/>
        <w:tabs>
          <w:tab w:leader="none" w:pos="206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6" w:lineRule="exact"/>
        <w:rPr>
          <w:sz w:val="20"/>
          <w:szCs w:val="20"/>
          <w:color w:val="auto"/>
        </w:rPr>
      </w:pPr>
    </w:p>
    <w:p>
      <w:pPr>
        <w:sectPr>
          <w:pgSz w:w="11900" w:h="16838" w:orient="portrait"/>
          <w:cols w:equalWidth="0" w:num="2">
            <w:col w:w="7680" w:space="54"/>
            <w:col w:w="3346"/>
          </w:cols>
          <w:pgMar w:left="460" w:top="216" w:right="359" w:bottom="0" w:gutter="0" w:footer="0" w:header="0"/>
          <w:type w:val="continuous"/>
        </w:sectPr>
      </w:pPr>
    </w:p>
    <w:p>
      <w:pPr>
        <w:spacing w:after="0" w:line="228"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WILMINGTON</w:t>
            </w:r>
          </w:p>
        </w:tc>
        <w:tc>
          <w:tcPr>
            <w:tcW w:w="8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01887</w:t>
            </w:r>
          </w:p>
        </w:tc>
      </w:tr>
      <w:tr>
        <w:trPr>
          <w:trHeight w:val="145"/>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1"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40"/>
            <w:col w:w="718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46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2A. Deemed</w:t>
            </w:r>
          </w:p>
        </w:tc>
        <w:tc>
          <w:tcPr>
            <w:tcW w:w="140" w:type="dxa"/>
            <w:vAlign w:val="bottom"/>
          </w:tcPr>
          <w:p>
            <w:pPr>
              <w:spacing w:after="0"/>
              <w:rPr>
                <w:sz w:val="20"/>
                <w:szCs w:val="20"/>
                <w:color w:val="auto"/>
              </w:rPr>
            </w:pPr>
            <w:r>
              <w:rPr>
                <w:rFonts w:ascii="Arial" w:cs="Arial" w:eastAsia="Arial" w:hAnsi="Arial"/>
                <w:sz w:val="11"/>
                <w:szCs w:val="11"/>
                <w:b w:val="1"/>
                <w:bCs w:val="1"/>
                <w:color w:val="auto"/>
              </w:rPr>
              <w:t>3.</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04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ind w:left="460"/>
              <w:spacing w:after="0"/>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04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2"/>
          </w:tcPr>
          <w:p>
            <w:pPr>
              <w:jc w:val="center"/>
              <w:ind w:left="310"/>
              <w:spacing w:after="0"/>
              <w:rPr>
                <w:sz w:val="20"/>
                <w:szCs w:val="20"/>
                <w:color w:val="auto"/>
              </w:rPr>
            </w:pPr>
            <w:r>
              <w:rPr>
                <w:rFonts w:ascii="Arial" w:cs="Arial" w:eastAsia="Arial" w:hAnsi="Arial"/>
                <w:sz w:val="11"/>
                <w:szCs w:val="11"/>
                <w:b w:val="1"/>
                <w:bCs w:val="1"/>
                <w:color w:val="auto"/>
              </w:rPr>
              <w:t>(Month/Day/Year)</w:t>
            </w:r>
          </w:p>
        </w:tc>
        <w:tc>
          <w:tcPr>
            <w:tcW w:w="3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04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140" w:type="dxa"/>
            <w:vAlign w:val="bottom"/>
          </w:tcPr>
          <w:p>
            <w:pPr>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04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w:t>
            </w:r>
          </w:p>
        </w:tc>
        <w:tc>
          <w:tcPr>
            <w:tcW w:w="500" w:type="dxa"/>
            <w:vAlign w:val="bottom"/>
            <w:vMerge w:val="restart"/>
          </w:tcPr>
          <w:p>
            <w:pPr>
              <w:jc w:val="right"/>
              <w:ind w:right="126"/>
              <w:spacing w:after="0"/>
              <w:rPr>
                <w:sz w:val="20"/>
                <w:szCs w:val="20"/>
                <w:color w:val="auto"/>
              </w:rPr>
            </w:pPr>
            <w:r>
              <w:rPr>
                <w:rFonts w:ascii="Arial" w:cs="Arial" w:eastAsia="Arial" w:hAnsi="Arial"/>
                <w:sz w:val="11"/>
                <w:szCs w:val="11"/>
                <w:b w:val="1"/>
                <w:bCs w:val="1"/>
                <w:color w:val="auto"/>
              </w:rPr>
              <w:t>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1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V-1 Common Stock</w:t>
            </w:r>
            <w:r>
              <w:rPr>
                <w:rFonts w:ascii="Times New Roman" w:cs="Times New Roman" w:eastAsia="Times New Roman" w:hAnsi="Times New Roman"/>
                <w:sz w:val="21"/>
                <w:szCs w:val="21"/>
                <w:color w:val="008000"/>
                <w:vertAlign w:val="superscript"/>
              </w:rPr>
              <w:t>(1)(2)</w:t>
            </w:r>
          </w:p>
        </w:tc>
        <w:tc>
          <w:tcPr>
            <w:tcW w:w="1480" w:type="dxa"/>
            <w:vAlign w:val="bottom"/>
            <w:tcBorders>
              <w:bottom w:val="single" w:sz="8" w:color="2C2C2C"/>
            </w:tcBorders>
            <w:gridSpan w:val="2"/>
          </w:tcPr>
          <w:p>
            <w:pPr>
              <w:jc w:val="center"/>
              <w:ind w:left="310"/>
              <w:spacing w:after="0"/>
              <w:rPr>
                <w:sz w:val="20"/>
                <w:szCs w:val="20"/>
                <w:color w:val="auto"/>
              </w:rPr>
            </w:pPr>
            <w:r>
              <w:rPr>
                <w:rFonts w:ascii="Times New Roman" w:cs="Times New Roman" w:eastAsia="Times New Roman" w:hAnsi="Times New Roman"/>
                <w:sz w:val="16"/>
                <w:szCs w:val="16"/>
                <w:color w:val="0000FF"/>
              </w:rPr>
              <w:t>05/22/2026</w:t>
            </w: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G</w:t>
            </w: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5,000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jc w:val="center"/>
              <w:spacing w:after="0" w:line="304" w:lineRule="exact"/>
              <w:rPr>
                <w:sz w:val="20"/>
                <w:szCs w:val="20"/>
                <w:color w:val="auto"/>
              </w:rPr>
            </w:pPr>
            <w:r>
              <w:rPr>
                <w:rFonts w:ascii="Arial" w:cs="Arial" w:eastAsia="Arial" w:hAnsi="Arial"/>
                <w:sz w:val="32"/>
                <w:szCs w:val="32"/>
                <w:color w:val="000000"/>
                <w:w w:val="84"/>
                <w:vertAlign w:val="subscript"/>
              </w:rPr>
              <w:t>$</w:t>
            </w:r>
            <w:r>
              <w:rPr>
                <w:rFonts w:ascii="Times New Roman" w:cs="Times New Roman" w:eastAsia="Times New Roman" w:hAnsi="Times New Roman"/>
                <w:sz w:val="32"/>
                <w:szCs w:val="32"/>
                <w:color w:val="0000FF"/>
                <w:w w:val="84"/>
                <w:vertAlign w:val="subscript"/>
              </w:rPr>
              <w:t>0</w:t>
            </w:r>
            <w:r>
              <w:rPr>
                <w:rFonts w:ascii="Times New Roman" w:cs="Times New Roman" w:eastAsia="Times New Roman" w:hAnsi="Times New Roman"/>
                <w:sz w:val="11"/>
                <w:szCs w:val="11"/>
                <w:color w:val="008000"/>
                <w:w w:val="84"/>
              </w:rPr>
              <w:t>(3)</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rPr>
              <w:t>177,036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V-1 Common Stock</w:t>
            </w:r>
            <w:r>
              <w:rPr>
                <w:rFonts w:ascii="Times New Roman" w:cs="Times New Roman" w:eastAsia="Times New Roman" w:hAnsi="Times New Roman"/>
                <w:sz w:val="21"/>
                <w:szCs w:val="21"/>
                <w:color w:val="008000"/>
                <w:vertAlign w:val="superscript"/>
              </w:rPr>
              <w:t>(1)(2)</w:t>
            </w:r>
          </w:p>
        </w:tc>
        <w:tc>
          <w:tcPr>
            <w:tcW w:w="1480" w:type="dxa"/>
            <w:vAlign w:val="bottom"/>
            <w:gridSpan w:val="2"/>
            <w:vMerge w:val="restart"/>
          </w:tcPr>
          <w:p>
            <w:pPr>
              <w:jc w:val="center"/>
              <w:ind w:left="310"/>
              <w:spacing w:after="0"/>
              <w:rPr>
                <w:sz w:val="20"/>
                <w:szCs w:val="20"/>
                <w:color w:val="auto"/>
              </w:rPr>
            </w:pPr>
            <w:r>
              <w:rPr>
                <w:rFonts w:ascii="Times New Roman" w:cs="Times New Roman" w:eastAsia="Times New Roman" w:hAnsi="Times New Roman"/>
                <w:sz w:val="16"/>
                <w:szCs w:val="16"/>
                <w:color w:val="0000FF"/>
              </w:rPr>
              <w:t>05/22/2026</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19,655</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8"/>
              </w:rPr>
              <w:t>(1)(2)(4)</w:t>
            </w:r>
          </w:p>
        </w:tc>
        <w:tc>
          <w:tcPr>
            <w:tcW w:w="60" w:type="dxa"/>
            <w:vAlign w:val="bottom"/>
          </w:tcPr>
          <w:p>
            <w:pPr>
              <w:spacing w:after="0"/>
              <w:rPr>
                <w:sz w:val="20"/>
                <w:szCs w:val="20"/>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534,002</w:t>
            </w:r>
          </w:p>
        </w:tc>
        <w:tc>
          <w:tcPr>
            <w:tcW w:w="320" w:type="dxa"/>
            <w:vAlign w:val="bottom"/>
          </w:tcPr>
          <w:p>
            <w:pPr>
              <w:spacing w:after="0"/>
              <w:rPr>
                <w:sz w:val="20"/>
                <w:szCs w:val="20"/>
                <w:color w:val="auto"/>
              </w:rPr>
            </w:pPr>
          </w:p>
        </w:tc>
        <w:tc>
          <w:tcPr>
            <w:tcW w:w="520" w:type="dxa"/>
            <w:vAlign w:val="bottom"/>
            <w:vMerge w:val="restart"/>
          </w:tcPr>
          <w:p>
            <w:pPr>
              <w:jc w:val="center"/>
              <w:ind w:right="271"/>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View, Inc.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1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2"/>
            <w:vMerge w:val="restart"/>
          </w:tcPr>
          <w:p>
            <w:pPr>
              <w:jc w:val="center"/>
              <w:ind w:left="310"/>
              <w:spacing w:after="0"/>
              <w:rPr>
                <w:sz w:val="20"/>
                <w:szCs w:val="20"/>
                <w:color w:val="auto"/>
              </w:rPr>
            </w:pPr>
            <w:r>
              <w:rPr>
                <w:rFonts w:ascii="Times New Roman" w:cs="Times New Roman" w:eastAsia="Times New Roman" w:hAnsi="Times New Roman"/>
                <w:sz w:val="16"/>
                <w:szCs w:val="16"/>
                <w:color w:val="0000FF"/>
              </w:rPr>
              <w:t>05/22/2026</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gridSpan w:val="3"/>
            <w:vMerge w:val="restart"/>
          </w:tcPr>
          <w:p>
            <w:pPr>
              <w:ind w:left="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(1)(2)(4)</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19,655</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8"/>
              </w:rPr>
              <w:t>(1)(2)(4)</w:t>
            </w:r>
          </w:p>
        </w:tc>
        <w:tc>
          <w:tcPr>
            <w:tcW w:w="60" w:type="dxa"/>
            <w:vAlign w:val="bottom"/>
          </w:tcPr>
          <w:p>
            <w:pPr>
              <w:spacing w:after="0"/>
              <w:rPr>
                <w:sz w:val="20"/>
                <w:szCs w:val="20"/>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19,655</w:t>
            </w:r>
          </w:p>
        </w:tc>
        <w:tc>
          <w:tcPr>
            <w:tcW w:w="320" w:type="dxa"/>
            <w:vAlign w:val="bottom"/>
          </w:tcPr>
          <w:p>
            <w:pPr>
              <w:spacing w:after="0"/>
              <w:rPr>
                <w:sz w:val="20"/>
                <w:szCs w:val="20"/>
                <w:color w:val="auto"/>
              </w:rPr>
            </w:pPr>
          </w:p>
        </w:tc>
        <w:tc>
          <w:tcPr>
            <w:tcW w:w="520" w:type="dxa"/>
            <w:vAlign w:val="bottom"/>
            <w:vMerge w:val="restart"/>
          </w:tcPr>
          <w:p>
            <w:pPr>
              <w:jc w:val="center"/>
              <w:ind w:right="271"/>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View, Inc.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gridSpan w:val="2"/>
          </w:tcPr>
          <w:p>
            <w:pPr>
              <w:spacing w:after="0"/>
              <w:rPr>
                <w:sz w:val="6"/>
                <w:szCs w:val="6"/>
                <w:color w:val="auto"/>
              </w:rPr>
            </w:pPr>
          </w:p>
        </w:tc>
        <w:tc>
          <w:tcPr>
            <w:tcW w:w="12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gridSpan w:val="2"/>
            <w:vMerge w:val="restart"/>
          </w:tcPr>
          <w:p>
            <w:pPr>
              <w:jc w:val="center"/>
              <w:ind w:left="310"/>
              <w:spacing w:after="0"/>
              <w:rPr>
                <w:sz w:val="20"/>
                <w:szCs w:val="20"/>
                <w:color w:val="auto"/>
              </w:rPr>
            </w:pPr>
            <w:r>
              <w:rPr>
                <w:rFonts w:ascii="Times New Roman" w:cs="Times New Roman" w:eastAsia="Times New Roman" w:hAnsi="Times New Roman"/>
                <w:sz w:val="16"/>
                <w:szCs w:val="16"/>
                <w:color w:val="0000FF"/>
              </w:rPr>
              <w:t>05/22/2026</w:t>
            </w: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500" w:type="dxa"/>
            <w:vAlign w:val="bottom"/>
          </w:tcPr>
          <w:p>
            <w:pPr>
              <w:spacing w:after="0"/>
              <w:rPr>
                <w:sz w:val="20"/>
                <w:szCs w:val="2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19,655</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gridSpan w:val="2"/>
            <w:vMerge w:val="restart"/>
          </w:tcPr>
          <w:p>
            <w:pPr>
              <w:jc w:val="center"/>
              <w:ind w:right="4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53.7267</w:t>
            </w:r>
            <w:r>
              <w:rPr>
                <w:rFonts w:ascii="Times New Roman" w:cs="Times New Roman" w:eastAsia="Times New Roman" w:hAnsi="Times New Roman"/>
                <w:sz w:val="21"/>
                <w:szCs w:val="21"/>
                <w:color w:val="008000"/>
                <w:w w:val="95"/>
                <w:vertAlign w:val="superscript"/>
              </w:rPr>
              <w:t>(6)</w:t>
            </w:r>
          </w:p>
        </w:tc>
        <w:tc>
          <w:tcPr>
            <w:tcW w:w="680" w:type="dxa"/>
            <w:vAlign w:val="bottom"/>
            <w:gridSpan w:val="2"/>
            <w:vMerge w:val="restart"/>
          </w:tcPr>
          <w:p>
            <w:pPr>
              <w:jc w:val="center"/>
              <w:ind w:left="450"/>
              <w:spacing w:after="0"/>
              <w:rPr>
                <w:sz w:val="20"/>
                <w:szCs w:val="20"/>
                <w:color w:val="auto"/>
              </w:rPr>
            </w:pPr>
            <w:r>
              <w:rPr>
                <w:rFonts w:ascii="Times New Roman" w:cs="Times New Roman" w:eastAsia="Times New Roman" w:hAnsi="Times New Roman"/>
                <w:sz w:val="16"/>
                <w:szCs w:val="16"/>
                <w:color w:val="0000FF"/>
                <w:w w:val="99"/>
              </w:rPr>
              <w:t>0</w:t>
            </w: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vMerge w:val="restart"/>
          </w:tcPr>
          <w:p>
            <w:pPr>
              <w:jc w:val="center"/>
              <w:ind w:right="271"/>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By Inlet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14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View, Inc.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ind w:left="80"/>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500" w:type="dxa"/>
            <w:vAlign w:val="bottom"/>
            <w:tcBorders>
              <w:bottom w:val="single" w:sz="8" w:color="2C2C2C"/>
            </w:tcBorders>
            <w:gridSpan w:val="3"/>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480" w:type="dxa"/>
            <w:vAlign w:val="bottom"/>
            <w:tcBorders>
              <w:bottom w:val="single" w:sz="8" w:color="2C2C2C"/>
            </w:tcBorders>
            <w:gridSpan w:val="2"/>
          </w:tcPr>
          <w:p>
            <w:pPr>
              <w:jc w:val="center"/>
              <w:ind w:left="310"/>
              <w:spacing w:after="0"/>
              <w:rPr>
                <w:sz w:val="20"/>
                <w:szCs w:val="20"/>
                <w:color w:val="auto"/>
              </w:rPr>
            </w:pPr>
            <w:r>
              <w:rPr>
                <w:rFonts w:ascii="Times New Roman" w:cs="Times New Roman" w:eastAsia="Times New Roman" w:hAnsi="Times New Roman"/>
                <w:sz w:val="16"/>
                <w:szCs w:val="16"/>
                <w:color w:val="0000FF"/>
              </w:rPr>
              <w:t>05/22/2026</w:t>
            </w: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w:t>
            </w:r>
          </w:p>
        </w:tc>
        <w:tc>
          <w:tcPr>
            <w:tcW w:w="5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6"/>
                <w:szCs w:val="16"/>
                <w:color w:val="0000FF"/>
              </w:rPr>
              <w:t>6,978</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6"/>
                <w:szCs w:val="16"/>
                <w:color w:val="0000FF"/>
              </w:rPr>
              <w:t>D</w:t>
            </w:r>
          </w:p>
        </w:tc>
        <w:tc>
          <w:tcPr>
            <w:tcW w:w="78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6"/>
                <w:szCs w:val="16"/>
                <w:color w:val="auto"/>
                <w:w w:val="95"/>
              </w:rPr>
              <w:t>$</w:t>
            </w:r>
            <w:r>
              <w:rPr>
                <w:rFonts w:ascii="Times New Roman" w:cs="Times New Roman" w:eastAsia="Times New Roman" w:hAnsi="Times New Roman"/>
                <w:sz w:val="16"/>
                <w:szCs w:val="16"/>
                <w:color w:val="0000FF"/>
                <w:w w:val="95"/>
              </w:rPr>
              <w:t>52.1176</w:t>
            </w:r>
            <w:r>
              <w:rPr>
                <w:rFonts w:ascii="Times New Roman" w:cs="Times New Roman" w:eastAsia="Times New Roman" w:hAnsi="Times New Roman"/>
                <w:sz w:val="21"/>
                <w:szCs w:val="21"/>
                <w:color w:val="008000"/>
                <w:w w:val="95"/>
                <w:vertAlign w:val="superscript"/>
              </w:rPr>
              <w:t>(7)</w:t>
            </w:r>
          </w:p>
        </w:tc>
        <w:tc>
          <w:tcPr>
            <w:tcW w:w="12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3,367</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1"/>
              <w:spacing w:after="0"/>
              <w:rPr>
                <w:sz w:val="20"/>
                <w:szCs w:val="20"/>
                <w:color w:val="auto"/>
              </w:rPr>
            </w:pPr>
            <w:r>
              <w:rPr>
                <w:rFonts w:ascii="Times New Roman" w:cs="Times New Roman" w:eastAsia="Times New Roman" w:hAnsi="Times New Roman"/>
                <w:sz w:val="16"/>
                <w:szCs w:val="16"/>
                <w:color w:val="0000FF"/>
              </w:rPr>
              <w:t>D</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0000FF"/>
              </w:rPr>
              <w:t>40,000</w:t>
            </w:r>
          </w:p>
        </w:tc>
        <w:tc>
          <w:tcPr>
            <w:tcW w:w="320" w:type="dxa"/>
            <w:vAlign w:val="bottom"/>
          </w:tcPr>
          <w:p>
            <w:pPr>
              <w:spacing w:after="0"/>
              <w:rPr>
                <w:sz w:val="24"/>
                <w:szCs w:val="24"/>
                <w:color w:val="auto"/>
              </w:rPr>
            </w:pPr>
          </w:p>
        </w:tc>
        <w:tc>
          <w:tcPr>
            <w:tcW w:w="520" w:type="dxa"/>
            <w:vAlign w:val="bottom"/>
          </w:tcPr>
          <w:p>
            <w:pPr>
              <w:jc w:val="center"/>
              <w:ind w:right="271"/>
              <w:spacing w:after="0"/>
              <w:rPr>
                <w:sz w:val="20"/>
                <w:szCs w:val="20"/>
                <w:color w:val="auto"/>
              </w:rPr>
            </w:pPr>
            <w:r>
              <w:rPr>
                <w:rFonts w:ascii="Times New Roman" w:cs="Times New Roman" w:eastAsia="Times New Roman" w:hAnsi="Times New Roman"/>
                <w:sz w:val="16"/>
                <w:szCs w:val="16"/>
                <w:color w:val="0000FF"/>
              </w:rPr>
              <w:t>I</w:t>
            </w:r>
          </w:p>
        </w:tc>
        <w:tc>
          <w:tcPr>
            <w:tcW w:w="1040" w:type="dxa"/>
            <w:vAlign w:val="bottom"/>
            <w:gridSpan w:val="4"/>
          </w:tcPr>
          <w:p>
            <w:pPr>
              <w:ind w:left="80"/>
              <w:spacing w:after="0"/>
              <w:rPr>
                <w:sz w:val="20"/>
                <w:szCs w:val="20"/>
                <w:color w:val="auto"/>
              </w:rPr>
            </w:pPr>
            <w:r>
              <w:rPr>
                <w:rFonts w:ascii="Times New Roman" w:cs="Times New Roman" w:eastAsia="Times New Roman" w:hAnsi="Times New Roman"/>
                <w:sz w:val="16"/>
                <w:szCs w:val="16"/>
                <w:color w:val="0000FF"/>
              </w:rPr>
              <w:t>By Trust</w:t>
            </w:r>
            <w:r>
              <w:rPr>
                <w:rFonts w:ascii="Times New Roman" w:cs="Times New Roman" w:eastAsia="Times New Roman" w:hAnsi="Times New Roman"/>
                <w:sz w:val="21"/>
                <w:szCs w:val="21"/>
                <w:color w:val="008000"/>
                <w:vertAlign w:val="superscript"/>
              </w:rPr>
              <w:t>(8)</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50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6"/>
                <w:szCs w:val="16"/>
                <w:color w:val="0000FF"/>
              </w:rPr>
              <w:t>Class V-1 Common Stock</w:t>
            </w:r>
          </w:p>
        </w:tc>
        <w:tc>
          <w:tcPr>
            <w:tcW w:w="106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3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8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200" w:type="dxa"/>
            <w:vAlign w:val="bottom"/>
            <w:tcBorders>
              <w:top w:val="single" w:sz="8" w:color="2C2C2C"/>
            </w:tcBorders>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rPr>
              <w:t>180,000</w:t>
            </w:r>
          </w:p>
        </w:tc>
        <w:tc>
          <w:tcPr>
            <w:tcW w:w="32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vMerge w:val="restart"/>
          </w:tcPr>
          <w:p>
            <w:pPr>
              <w:jc w:val="center"/>
              <w:ind w:right="271"/>
              <w:spacing w:after="0"/>
              <w:rPr>
                <w:sz w:val="20"/>
                <w:szCs w:val="20"/>
                <w:color w:val="auto"/>
              </w:rPr>
            </w:pPr>
            <w:r>
              <w:rPr>
                <w:rFonts w:ascii="Times New Roman" w:cs="Times New Roman" w:eastAsia="Times New Roman" w:hAnsi="Times New Roman"/>
                <w:sz w:val="16"/>
                <w:szCs w:val="16"/>
                <w:color w:val="0000FF"/>
              </w:rPr>
              <w:t>I</w:t>
            </w:r>
          </w:p>
        </w:tc>
        <w:tc>
          <w:tcPr>
            <w:tcW w:w="28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6"/>
                <w:szCs w:val="16"/>
                <w:color w:val="0000FF"/>
                <w:w w:val="96"/>
              </w:rPr>
              <w:t>By</w:t>
            </w:r>
          </w:p>
        </w:tc>
        <w:tc>
          <w:tcPr>
            <w:tcW w:w="64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40" w:type="dxa"/>
            <w:vAlign w:val="bottom"/>
            <w:gridSpan w:val="4"/>
            <w:vMerge w:val="restart"/>
          </w:tcPr>
          <w:p>
            <w:pPr>
              <w:ind w:left="80"/>
              <w:spacing w:after="0" w:line="266" w:lineRule="exact"/>
              <w:rPr>
                <w:sz w:val="20"/>
                <w:szCs w:val="20"/>
                <w:color w:val="auto"/>
              </w:rPr>
            </w:pPr>
            <w:r>
              <w:rPr>
                <w:rFonts w:ascii="Times New Roman" w:cs="Times New Roman" w:eastAsia="Times New Roman" w:hAnsi="Times New Roman"/>
                <w:sz w:val="30"/>
                <w:szCs w:val="30"/>
                <w:color w:val="0000FF"/>
                <w:vertAlign w:val="subscript"/>
              </w:rPr>
              <w:t>Spouse</w:t>
            </w:r>
            <w:r>
              <w:rPr>
                <w:rFonts w:ascii="Times New Roman" w:cs="Times New Roman" w:eastAsia="Times New Roman" w:hAnsi="Times New Roman"/>
                <w:sz w:val="10"/>
                <w:szCs w:val="10"/>
                <w:color w:val="008000"/>
              </w:rPr>
              <w:t>(9)(10)</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160" w:type="dxa"/>
            <w:vAlign w:val="bottom"/>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2"/>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3"/>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38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6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6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140" w:type="dxa"/>
            <w:vAlign w:val="bottom"/>
          </w:tcPr>
          <w:p>
            <w:pPr>
              <w:spacing w:after="0"/>
              <w:rPr>
                <w:sz w:val="11"/>
                <w:szCs w:val="11"/>
                <w:color w:val="auto"/>
              </w:rPr>
            </w:pP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1"/>
                <w:szCs w:val="11"/>
                <w:color w:val="auto"/>
              </w:rPr>
            </w:pPr>
          </w:p>
        </w:tc>
        <w:tc>
          <w:tcPr>
            <w:tcW w:w="76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8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w w:val="99"/>
              </w:rPr>
              <w:t>Acquired (A)</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Direct (D)</w:t>
            </w:r>
          </w:p>
        </w:tc>
        <w:tc>
          <w:tcPr>
            <w:tcW w:w="76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60" w:type="dxa"/>
            <w:vAlign w:val="bottom"/>
            <w:tcBorders>
              <w:right w:val="single" w:sz="8" w:color="2C2C2C"/>
            </w:tcBorders>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Code</w:t>
            </w:r>
          </w:p>
        </w:tc>
        <w:tc>
          <w:tcPr>
            <w:tcW w:w="380" w:type="dxa"/>
            <w:vAlign w:val="bottom"/>
          </w:tcPr>
          <w:p>
            <w:pPr>
              <w:ind w:left="200"/>
              <w:spacing w:after="0"/>
              <w:rPr>
                <w:sz w:val="20"/>
                <w:szCs w:val="20"/>
                <w:color w:val="auto"/>
              </w:rPr>
            </w:pPr>
            <w:r>
              <w:rPr>
                <w:rFonts w:ascii="Arial" w:cs="Arial" w:eastAsia="Arial" w:hAnsi="Arial"/>
                <w:sz w:val="11"/>
                <w:szCs w:val="11"/>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(A)  (D)</w:t>
            </w:r>
          </w:p>
        </w:tc>
        <w:tc>
          <w:tcPr>
            <w:tcW w:w="14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Symbotic</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3"/>
            <w:vMerge w:val="restart"/>
          </w:tcPr>
          <w:p>
            <w:pPr>
              <w:jc w:val="center"/>
              <w:ind w:right="24"/>
              <w:spacing w:after="0"/>
              <w:rPr>
                <w:sz w:val="20"/>
                <w:szCs w:val="20"/>
                <w:color w:val="auto"/>
              </w:rPr>
            </w:pPr>
            <w:r>
              <w:rPr>
                <w:rFonts w:ascii="Times New Roman" w:cs="Times New Roman" w:eastAsia="Times New Roman" w:hAnsi="Times New Roman"/>
                <w:sz w:val="13"/>
                <w:szCs w:val="13"/>
                <w:color w:val="0000FF"/>
              </w:rPr>
              <w:t>5,000</w:t>
            </w:r>
            <w:r>
              <w:rPr>
                <w:rFonts w:ascii="Times New Roman" w:cs="Times New Roman" w:eastAsia="Times New Roman" w:hAnsi="Times New Roman"/>
                <w:sz w:val="21"/>
                <w:szCs w:val="21"/>
                <w:color w:val="008000"/>
                <w:vertAlign w:val="superscript"/>
              </w:rPr>
              <w:t>(3)</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5,000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05/22/2026</w:t>
            </w:r>
          </w:p>
        </w:tc>
        <w:tc>
          <w:tcPr>
            <w:tcW w:w="1060" w:type="dxa"/>
            <w:vAlign w:val="bottom"/>
          </w:tcPr>
          <w:p>
            <w:pPr>
              <w:spacing w:after="0"/>
              <w:rPr>
                <w:sz w:val="13"/>
                <w:szCs w:val="13"/>
                <w:color w:val="auto"/>
              </w:rPr>
            </w:pPr>
          </w:p>
        </w:tc>
        <w:tc>
          <w:tcPr>
            <w:tcW w:w="42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G</w:t>
            </w:r>
          </w:p>
        </w:tc>
        <w:tc>
          <w:tcPr>
            <w:tcW w:w="38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008000"/>
              </w:rPr>
              <w:t>(1)(2)</w:t>
            </w: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177,036</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80" w:type="dxa"/>
            <w:vAlign w:val="bottom"/>
            <w:tcBorders>
              <w:bottom w:val="single" w:sz="8" w:color="2C2C2C"/>
            </w:tcBorders>
          </w:tcPr>
          <w:p>
            <w:pPr>
              <w:ind w:left="60"/>
              <w:spacing w:after="0" w:line="216" w:lineRule="exact"/>
              <w:rPr>
                <w:sz w:val="20"/>
                <w:szCs w:val="20"/>
                <w:color w:val="auto"/>
              </w:rPr>
            </w:pPr>
            <w:r>
              <w:rPr>
                <w:rFonts w:ascii="Times New Roman" w:cs="Times New Roman" w:eastAsia="Times New Roman" w:hAnsi="Times New Roman"/>
                <w:sz w:val="24"/>
                <w:szCs w:val="24"/>
                <w:color w:val="0000FF"/>
                <w:vertAlign w:val="subscript"/>
              </w:rPr>
              <w:t>Units</w:t>
            </w:r>
            <w:r>
              <w:rPr>
                <w:rFonts w:ascii="Times New Roman" w:cs="Times New Roman" w:eastAsia="Times New Roman" w:hAnsi="Times New Roman"/>
                <w:sz w:val="10"/>
                <w:szCs w:val="10"/>
                <w:color w:val="008000"/>
              </w:rPr>
              <w:t>(1)(2)</w:t>
            </w:r>
          </w:p>
        </w:tc>
        <w:tc>
          <w:tcPr>
            <w:tcW w:w="7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106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4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Symbotic</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(1)(2)(4)</w:t>
            </w: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19,655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rPr>
              <w:t>By Inlet</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8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vMerge w:val="restart"/>
          </w:tcPr>
          <w:p>
            <w:pPr>
              <w:jc w:val="right"/>
              <w:ind w:right="180"/>
              <w:spacing w:after="0" w:line="139" w:lineRule="exact"/>
              <w:rPr>
                <w:sz w:val="20"/>
                <w:szCs w:val="20"/>
                <w:color w:val="auto"/>
              </w:rPr>
            </w:pPr>
            <w:r>
              <w:rPr>
                <w:rFonts w:ascii="Times New Roman" w:cs="Times New Roman" w:eastAsia="Times New Roman" w:hAnsi="Times New Roman"/>
                <w:sz w:val="13"/>
                <w:szCs w:val="13"/>
                <w:color w:val="0000FF"/>
              </w:rPr>
              <w:t>05/22/2026</w:t>
            </w:r>
          </w:p>
        </w:tc>
        <w:tc>
          <w:tcPr>
            <w:tcW w:w="10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gridSpan w:val="2"/>
            <w:vMerge w:val="restart"/>
          </w:tcPr>
          <w:p>
            <w:pPr>
              <w:jc w:val="right"/>
              <w:spacing w:after="0" w:line="139" w:lineRule="exact"/>
              <w:rPr>
                <w:sz w:val="20"/>
                <w:szCs w:val="20"/>
                <w:color w:val="auto"/>
              </w:rPr>
            </w:pPr>
            <w:r>
              <w:rPr>
                <w:rFonts w:ascii="Times New Roman" w:cs="Times New Roman" w:eastAsia="Times New Roman" w:hAnsi="Times New Roman"/>
                <w:sz w:val="13"/>
                <w:szCs w:val="13"/>
                <w:color w:val="0000FF"/>
              </w:rPr>
              <w:t>19,655</w:t>
            </w: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560" w:type="dxa"/>
            <w:vAlign w:val="bottom"/>
            <w:vMerge w:val="restart"/>
          </w:tcPr>
          <w:p>
            <w:pPr>
              <w:ind w:left="80"/>
              <w:spacing w:after="0" w:line="139"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008000"/>
              </w:rPr>
              <w:t>(1)(2)</w:t>
            </w:r>
          </w:p>
        </w:tc>
        <w:tc>
          <w:tcPr>
            <w:tcW w:w="840" w:type="dxa"/>
            <w:vAlign w:val="bottom"/>
            <w:gridSpan w:val="2"/>
            <w:vMerge w:val="restart"/>
          </w:tcPr>
          <w:p>
            <w:pPr>
              <w:ind w:left="200"/>
              <w:spacing w:after="0" w:line="139" w:lineRule="exact"/>
              <w:rPr>
                <w:sz w:val="20"/>
                <w:szCs w:val="20"/>
                <w:color w:val="auto"/>
              </w:rPr>
            </w:pPr>
            <w:r>
              <w:rPr>
                <w:rFonts w:ascii="Times New Roman" w:cs="Times New Roman" w:eastAsia="Times New Roman" w:hAnsi="Times New Roman"/>
                <w:sz w:val="13"/>
                <w:szCs w:val="13"/>
                <w:color w:val="0000FF"/>
              </w:rPr>
              <w:t>534,002</w:t>
            </w:r>
          </w:p>
        </w:tc>
        <w:tc>
          <w:tcPr>
            <w:tcW w:w="520" w:type="dxa"/>
            <w:vAlign w:val="bottom"/>
            <w:vMerge w:val="restart"/>
          </w:tcPr>
          <w:p>
            <w:pPr>
              <w:ind w:left="360"/>
              <w:spacing w:after="0" w:line="139" w:lineRule="exact"/>
              <w:rPr>
                <w:sz w:val="20"/>
                <w:szCs w:val="20"/>
                <w:color w:val="auto"/>
              </w:rPr>
            </w:pPr>
            <w:r>
              <w:rPr>
                <w:rFonts w:ascii="Times New Roman" w:cs="Times New Roman" w:eastAsia="Times New Roman" w:hAnsi="Times New Roman"/>
                <w:sz w:val="13"/>
                <w:szCs w:val="13"/>
                <w:color w:val="0000FF"/>
              </w:rPr>
              <w:t>I</w:t>
            </w:r>
          </w:p>
        </w:tc>
        <w:tc>
          <w:tcPr>
            <w:tcW w:w="280" w:type="dxa"/>
            <w:vAlign w:val="bottom"/>
          </w:tcPr>
          <w:p>
            <w:pPr>
              <w:spacing w:after="0"/>
              <w:rPr>
                <w:sz w:val="5"/>
                <w:szCs w:val="5"/>
                <w:color w:val="auto"/>
              </w:rPr>
            </w:pPr>
          </w:p>
        </w:tc>
        <w:tc>
          <w:tcPr>
            <w:tcW w:w="76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gridSpan w:val="2"/>
          </w:tcPr>
          <w:p>
            <w:pPr>
              <w:ind w:left="520"/>
              <w:spacing w:after="0" w:line="81" w:lineRule="exact"/>
              <w:rPr>
                <w:sz w:val="20"/>
                <w:szCs w:val="20"/>
                <w:color w:val="auto"/>
              </w:rPr>
            </w:pPr>
            <w:r>
              <w:rPr>
                <w:rFonts w:ascii="Times New Roman" w:cs="Times New Roman" w:eastAsia="Times New Roman" w:hAnsi="Times New Roman"/>
                <w:sz w:val="8"/>
                <w:szCs w:val="8"/>
                <w:color w:val="008000"/>
              </w:rPr>
              <w:t>(5)</w:t>
            </w: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Borders>
              <w:bottom w:val="single" w:sz="8" w:color="2C2C2C"/>
            </w:tcBorders>
          </w:tcPr>
          <w:p>
            <w:pPr>
              <w:ind w:left="60"/>
              <w:spacing w:after="0" w:line="228" w:lineRule="exact"/>
              <w:rPr>
                <w:sz w:val="20"/>
                <w:szCs w:val="20"/>
                <w:color w:val="auto"/>
              </w:rPr>
            </w:pPr>
            <w:r>
              <w:rPr>
                <w:rFonts w:ascii="Times New Roman" w:cs="Times New Roman" w:eastAsia="Times New Roman" w:hAnsi="Times New Roman"/>
                <w:sz w:val="25"/>
                <w:szCs w:val="25"/>
                <w:color w:val="0000FF"/>
                <w:w w:val="97"/>
                <w:vertAlign w:val="subscript"/>
              </w:rPr>
              <w:t>Units</w:t>
            </w:r>
            <w:r>
              <w:rPr>
                <w:rFonts w:ascii="Times New Roman" w:cs="Times New Roman" w:eastAsia="Times New Roman" w:hAnsi="Times New Roman"/>
                <w:sz w:val="11"/>
                <w:szCs w:val="11"/>
                <w:color w:val="008000"/>
                <w:w w:val="97"/>
              </w:rPr>
              <w:t>(1)(2)</w:t>
            </w:r>
          </w:p>
        </w:tc>
        <w:tc>
          <w:tcPr>
            <w:tcW w:w="7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10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38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140" w:type="dxa"/>
            <w:vAlign w:val="bottom"/>
            <w:tcBorders>
              <w:bottom w:val="single" w:sz="8" w:color="2C2C2C"/>
            </w:tcBorders>
          </w:tcPr>
          <w:p>
            <w:pPr>
              <w:spacing w:after="0"/>
              <w:rPr>
                <w:sz w:val="20"/>
                <w:szCs w:val="20"/>
                <w:color w:val="auto"/>
              </w:rPr>
            </w:pPr>
          </w:p>
        </w:tc>
        <w:tc>
          <w:tcPr>
            <w:tcW w:w="180" w:type="dxa"/>
            <w:vAlign w:val="bottom"/>
            <w:tcBorders>
              <w:bottom w:val="single" w:sz="8" w:color="2C2C2C"/>
            </w:tcBorders>
          </w:tcPr>
          <w:p>
            <w:pPr>
              <w:spacing w:after="0"/>
              <w:rPr>
                <w:sz w:val="20"/>
                <w:szCs w:val="20"/>
                <w:color w:val="auto"/>
              </w:rPr>
            </w:pPr>
          </w:p>
        </w:tc>
        <w:tc>
          <w:tcPr>
            <w:tcW w:w="50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280" w:type="dxa"/>
            <w:vAlign w:val="bottom"/>
            <w:tcBorders>
              <w:bottom w:val="single" w:sz="8" w:color="2C2C2C"/>
            </w:tcBorders>
          </w:tcPr>
          <w:p>
            <w:pPr>
              <w:spacing w:after="0"/>
              <w:rPr>
                <w:sz w:val="20"/>
                <w:szCs w:val="20"/>
                <w:color w:val="auto"/>
              </w:rPr>
            </w:pPr>
          </w:p>
        </w:tc>
        <w:tc>
          <w:tcPr>
            <w:tcW w:w="760" w:type="dxa"/>
            <w:vAlign w:val="bottom"/>
            <w:tcBorders>
              <w:bottom w:val="single" w:sz="8" w:color="2C2C2C"/>
              <w:right w:val="single" w:sz="8" w:color="2C2C2C"/>
            </w:tcBorders>
            <w:gridSpan w:val="3"/>
          </w:tcPr>
          <w:p>
            <w:pPr>
              <w:ind w:left="20"/>
              <w:spacing w:after="0"/>
              <w:rPr>
                <w:sz w:val="20"/>
                <w:szCs w:val="20"/>
                <w:color w:val="auto"/>
              </w:rPr>
            </w:pPr>
            <w:r>
              <w:rPr>
                <w:rFonts w:ascii="Times New Roman" w:cs="Times New Roman" w:eastAsia="Times New Roman" w:hAnsi="Times New Roman"/>
                <w:sz w:val="13"/>
                <w:szCs w:val="13"/>
                <w:color w:val="0000FF"/>
              </w:rPr>
              <w:t>View, Inc.</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Symbotic</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180,000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Borders>
              <w:right w:val="single" w:sz="8" w:color="2C2C2C"/>
            </w:tcBorders>
            <w:gridSpan w:val="3"/>
            <w:vMerge w:val="restart"/>
          </w:tcPr>
          <w:p>
            <w:pPr>
              <w:ind w:left="20"/>
              <w:spacing w:after="0"/>
              <w:rPr>
                <w:sz w:val="20"/>
                <w:szCs w:val="20"/>
                <w:color w:val="auto"/>
              </w:rPr>
            </w:pPr>
            <w:r>
              <w:rPr>
                <w:rFonts w:ascii="Times New Roman" w:cs="Times New Roman" w:eastAsia="Times New Roman" w:hAnsi="Times New Roman"/>
                <w:sz w:val="13"/>
                <w:szCs w:val="13"/>
                <w:color w:val="0000FF"/>
                <w:w w:val="96"/>
              </w:rPr>
              <w:t>By Spouse</w:t>
            </w:r>
            <w:r>
              <w:rPr>
                <w:rFonts w:ascii="Times New Roman" w:cs="Times New Roman" w:eastAsia="Times New Roman" w:hAnsi="Times New Roman"/>
                <w:sz w:val="21"/>
                <w:szCs w:val="21"/>
                <w:color w:val="008000"/>
                <w:w w:val="96"/>
                <w:vertAlign w:val="superscript"/>
              </w:rPr>
              <w:t>(9)</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Holdings</w:t>
            </w:r>
          </w:p>
        </w:tc>
        <w:tc>
          <w:tcPr>
            <w:tcW w:w="7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(1)(2)</w:t>
            </w: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vMerge w:val="restart"/>
          </w:tcPr>
          <w:p>
            <w:pPr>
              <w:jc w:val="right"/>
              <w:ind w:right="166"/>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(1)(2)</w:t>
            </w:r>
          </w:p>
        </w:tc>
        <w:tc>
          <w:tcPr>
            <w:tcW w:w="56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3"/>
                <w:szCs w:val="13"/>
                <w:color w:val="0000FF"/>
              </w:rPr>
              <w:t>180,000</w:t>
            </w:r>
          </w:p>
        </w:tc>
        <w:tc>
          <w:tcPr>
            <w:tcW w:w="52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I</w:t>
            </w:r>
          </w:p>
        </w:tc>
        <w:tc>
          <w:tcPr>
            <w:tcW w:w="280" w:type="dxa"/>
            <w:vAlign w:val="bottom"/>
          </w:tcPr>
          <w:p>
            <w:pPr>
              <w:spacing w:after="0"/>
              <w:rPr>
                <w:sz w:val="6"/>
                <w:szCs w:val="6"/>
                <w:color w:val="auto"/>
              </w:rPr>
            </w:pPr>
          </w:p>
        </w:tc>
        <w:tc>
          <w:tcPr>
            <w:tcW w:w="76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60" w:type="dxa"/>
            <w:vAlign w:val="bottom"/>
          </w:tcPr>
          <w:p>
            <w:pPr>
              <w:ind w:left="80"/>
              <w:spacing w:after="0" w:line="114" w:lineRule="exact"/>
              <w:rPr>
                <w:sz w:val="20"/>
                <w:szCs w:val="20"/>
                <w:color w:val="auto"/>
              </w:rPr>
            </w:pPr>
            <w:r>
              <w:rPr>
                <w:rFonts w:ascii="Times New Roman" w:cs="Times New Roman" w:eastAsia="Times New Roman" w:hAnsi="Times New Roman"/>
                <w:sz w:val="13"/>
                <w:szCs w:val="13"/>
                <w:color w:val="0000FF"/>
                <w:w w:val="94"/>
              </w:rPr>
              <w:t>Common</w:t>
            </w:r>
          </w:p>
        </w:tc>
        <w:tc>
          <w:tcPr>
            <w:tcW w:w="7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ind w:left="20"/>
              <w:spacing w:after="0" w:line="114" w:lineRule="exact"/>
              <w:rPr>
                <w:sz w:val="20"/>
                <w:szCs w:val="20"/>
                <w:color w:val="auto"/>
              </w:rPr>
            </w:pPr>
            <w:r>
              <w:rPr>
                <w:rFonts w:ascii="Times New Roman" w:cs="Times New Roman" w:eastAsia="Times New Roman" w:hAnsi="Times New Roman"/>
                <w:sz w:val="11"/>
                <w:szCs w:val="11"/>
                <w:color w:val="008000"/>
              </w:rPr>
              <w:t>(10)</w:t>
            </w: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ind w:left="60"/>
              <w:spacing w:after="0" w:line="178" w:lineRule="exact"/>
              <w:rPr>
                <w:sz w:val="20"/>
                <w:szCs w:val="20"/>
                <w:color w:val="auto"/>
              </w:rPr>
            </w:pPr>
            <w:r>
              <w:rPr>
                <w:rFonts w:ascii="Times New Roman" w:cs="Times New Roman" w:eastAsia="Times New Roman" w:hAnsi="Times New Roman"/>
                <w:sz w:val="20"/>
                <w:szCs w:val="20"/>
                <w:color w:val="0000FF"/>
                <w:vertAlign w:val="subscript"/>
              </w:rPr>
              <w:t>Units</w:t>
            </w:r>
            <w:r>
              <w:rPr>
                <w:rFonts w:ascii="Times New Roman" w:cs="Times New Roman" w:eastAsia="Times New Roman" w:hAnsi="Times New Roman"/>
                <w:sz w:val="9"/>
                <w:szCs w:val="9"/>
                <w:color w:val="008000"/>
              </w:rPr>
              <w:t>(1)(2)</w:t>
            </w:r>
          </w:p>
        </w:tc>
        <w:tc>
          <w:tcPr>
            <w:tcW w:w="7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10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7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-2475230</wp:posOffset>
            </wp:positionV>
            <wp:extent cx="28575" cy="24803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48031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Class V-1 Common Stock of the Issuer have no economic rights and each share of Class V-1 Common Stock entitles its holder to 1 vote per share.</w:t>
      </w:r>
    </w:p>
    <w:p>
      <w:pPr>
        <w:spacing w:after="0" w:line="40" w:lineRule="exact"/>
        <w:rPr>
          <w:rFonts w:ascii="Times New Roman" w:cs="Times New Roman" w:eastAsia="Times New Roman" w:hAnsi="Times New Roman"/>
          <w:sz w:val="13"/>
          <w:szCs w:val="13"/>
          <w:color w:val="008000"/>
        </w:rPr>
      </w:pPr>
    </w:p>
    <w:p>
      <w:pPr>
        <w:ind w:left="40" w:right="140" w:hanging="1"/>
        <w:spacing w:after="0" w:line="232"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term "Symbotic Holdings Units" is used herein to represent limited liability company units of Symbotic Holdings and an equal number of paired shares of Class V-1 Common Stock of the Issuer, which, pursuant to the limited liability company agreement of Symbotic Holdings, are together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w:t>
      </w:r>
    </w:p>
    <w:p>
      <w:pPr>
        <w:spacing w:after="0" w:line="25" w:lineRule="exact"/>
        <w:rPr>
          <w:rFonts w:ascii="Times New Roman" w:cs="Times New Roman" w:eastAsia="Times New Roman" w:hAnsi="Times New Roman"/>
          <w:sz w:val="13"/>
          <w:szCs w:val="13"/>
          <w:color w:val="008000"/>
        </w:rPr>
      </w:pPr>
    </w:p>
    <w:p>
      <w:pPr>
        <w:ind w:left="40" w:right="26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22, 2026, the Reporting Person transferred 5,000 Symbotic Holdings Units and an equal number of paired shares of Class V-1 common stock to the Todd and Deborah Krasnow Foundation, a charitable foundation of which the Reporting Person is a trustee. The Reporting Person has voting and investment power over all securities owned by the foundation.</w:t>
      </w:r>
    </w:p>
    <w:p>
      <w:pPr>
        <w:spacing w:after="0" w:line="20" w:lineRule="exact"/>
        <w:rPr>
          <w:rFonts w:ascii="Times New Roman" w:cs="Times New Roman" w:eastAsia="Times New Roman" w:hAnsi="Times New Roman"/>
          <w:sz w:val="13"/>
          <w:szCs w:val="13"/>
          <w:color w:val="008000"/>
        </w:rPr>
      </w:pPr>
    </w:p>
    <w:p>
      <w:pPr>
        <w:ind w:left="40" w:right="240" w:hanging="1"/>
        <w:spacing w:after="0" w:line="237"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22, 2026, the Reporting Person sold 19,655 shares of Class A Common Stock (the "Stock Sale"). In connection with the Stock Sale, effective May 22, 2026, the Reporting Person redeemed 19,655 Symbotic Holdings Units in exchange for an equal number of shares of Class A Common Stock (the "Redemption"). In connection with the Redemption, Symbotic Holdings canceled the Symbotic Holdings Units, and the Issuer canceled and retired for no consideration the redeemed 19,655 shares of Class V-1 Common Stock.</w:t>
      </w:r>
    </w:p>
    <w:p>
      <w:pPr>
        <w:spacing w:after="0" w:line="26" w:lineRule="exact"/>
        <w:rPr>
          <w:rFonts w:ascii="Times New Roman" w:cs="Times New Roman" w:eastAsia="Times New Roman" w:hAnsi="Times New Roman"/>
          <w:sz w:val="13"/>
          <w:szCs w:val="13"/>
          <w:color w:val="008000"/>
        </w:rPr>
      </w:pPr>
    </w:p>
    <w:p>
      <w:pPr>
        <w:ind w:left="40" w:right="480" w:hanging="1"/>
        <w:spacing w:after="0" w:line="24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Todd Krasnow may be considered the beneficial owner of securities held by Inlet View, Inc., of which Mr. Krasnow is the President and CEO. Mr. Krasnow disclaims beneficial ownership of such securities except to the extent of his pecuniary interest therein.</w:t>
      </w:r>
    </w:p>
    <w:p>
      <w:pPr>
        <w:sectPr>
          <w:pgSz w:w="11900" w:h="16838" w:orient="portrait"/>
          <w:cols w:equalWidth="0" w:num="1">
            <w:col w:w="11080"/>
          </w:cols>
          <w:pgMar w:left="460" w:top="216" w:right="359" w:bottom="0" w:gutter="0" w:footer="0" w:header="0"/>
          <w:type w:val="continuous"/>
        </w:sectPr>
      </w:pPr>
    </w:p>
    <w:bookmarkStart w:id="1" w:name="page2"/>
    <w:bookmarkEnd w:id="1"/>
    <w:p>
      <w:pPr>
        <w:jc w:val="both"/>
        <w:ind w:left="1" w:right="80"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$53.33 to $54.10,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SEC guidance authorizing aggregate reporting of same-day purchases and sales, the shares were sold in multiple transactions at prices ranging from $51.865 to $52.40,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 w:right="120"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Todd Krasnow may be considered the beneficial owner of 20,000 shares of Class A Common Stock held by the Krasnow Family 2019 Charitable Remainder Trust and 20,000 shares of Class A Common Stock held by the Todd and Deborah Krasnow CRUT, both of which are trusts for which Mr. Krasnow is trustee and to which Mr. Krasnow is a beneficiary. Mr. Krasnow disclaims beneficial ownership of such securities except to the extent of his pecuniary interest therein.</w:t>
      </w:r>
    </w:p>
    <w:p>
      <w:pPr>
        <w:spacing w:after="0" w:line="26" w:lineRule="exact"/>
        <w:rPr>
          <w:rFonts w:ascii="Times New Roman" w:cs="Times New Roman" w:eastAsia="Times New Roman" w:hAnsi="Times New Roman"/>
          <w:sz w:val="13"/>
          <w:szCs w:val="13"/>
          <w:color w:val="008000"/>
        </w:rPr>
      </w:pPr>
    </w:p>
    <w:p>
      <w:pPr>
        <w:ind w:left="1" w:right="200" w:hanging="1"/>
        <w:spacing w:after="0" w:line="237" w:lineRule="auto"/>
        <w:tabs>
          <w:tab w:leader="none" w:pos="127"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 Symbotic Holdings Units and an equal number of paired shares of Class V-1 common stock held by the Reporting Person's spouse and (ii) 150,000 Symbotic Holdings Units and an equal number of paired shares of Class V-1 common stock held by the Todd J. Krasnow 2024 Irrevocable Trust, in which the Reporting Person's spouse acts as trustee and to which members of the Reporting Person's immediate family have a pecuniary interest.</w:t>
      </w:r>
    </w:p>
    <w:p>
      <w:pPr>
        <w:spacing w:after="0" w:line="26" w:lineRule="exact"/>
        <w:rPr>
          <w:rFonts w:ascii="Times New Roman" w:cs="Times New Roman" w:eastAsia="Times New Roman" w:hAnsi="Times New Roman"/>
          <w:sz w:val="13"/>
          <w:szCs w:val="13"/>
          <w:color w:val="008000"/>
        </w:rPr>
      </w:pPr>
    </w:p>
    <w:p>
      <w:pPr>
        <w:ind w:left="1" w:right="20" w:hanging="1"/>
        <w:spacing w:after="0" w:line="237" w:lineRule="auto"/>
        <w:tabs>
          <w:tab w:leader="none" w:pos="191"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securities held by his spouse. The Reporting Person does not have voting or investment control over the securities held by the Todd J. Krasnow 2024 Irrevocable Trust and disclaims beneficial ownership of such securities except to the extent that the Reporting Person may be considered to have an indirect pecuniary interest therein. This report shall not be deemed an admission that the Reporting Person is the beneficial owner of the spouse's securities or the securities held by the trust for purposes of Section 16 or for any other purpose.</w:t>
      </w:r>
    </w:p>
    <w:p>
      <w:pPr>
        <w:spacing w:after="0" w:line="26"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Remarks:</w:t>
      </w:r>
    </w:p>
    <w:p>
      <w:pPr>
        <w:ind w:left="6561"/>
        <w:spacing w:after="0" w:line="230" w:lineRule="auto"/>
        <w:rPr>
          <w:sz w:val="20"/>
          <w:szCs w:val="20"/>
          <w:color w:val="auto"/>
        </w:rPr>
      </w:pPr>
      <w:r>
        <w:rPr>
          <w:rFonts w:ascii="Times New Roman" w:cs="Times New Roman" w:eastAsia="Times New Roman" w:hAnsi="Times New Roman"/>
          <w:sz w:val="16"/>
          <w:szCs w:val="16"/>
          <w:color w:val="0000FF"/>
        </w:rPr>
        <w:t xml:space="preserve">/s/ Corey Dufresne, Attorney-in- </w:t>
      </w:r>
      <w:r>
        <w:rPr>
          <w:rFonts w:ascii="Times New Roman" w:cs="Times New Roman" w:eastAsia="Times New Roman" w:hAnsi="Times New Roman"/>
          <w:sz w:val="32"/>
          <w:szCs w:val="32"/>
          <w:color w:val="0000FF"/>
          <w:vertAlign w:val="subscript"/>
        </w:rPr>
        <w:t>05/27/2026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-26035</wp:posOffset>
            </wp:positionV>
            <wp:extent cx="1365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5885" cy="8255"/>
                    </a:xfrm>
                    <a:prstGeom prst="rect">
                      <a:avLst/>
                    </a:prstGeom>
                    <a:noFill/>
                  </pic:spPr>
                </pic:pic>
              </a:graphicData>
            </a:graphic>
          </wp:anchor>
        </w:drawing>
      </w:r>
    </w:p>
    <w:p>
      <w:pPr>
        <w:ind w:left="6561"/>
        <w:spacing w:after="0"/>
        <w:rPr>
          <w:sz w:val="20"/>
          <w:szCs w:val="20"/>
          <w:color w:val="auto"/>
        </w:rPr>
      </w:pPr>
      <w:r>
        <w:rPr>
          <w:rFonts w:ascii="Times New Roman" w:cs="Times New Roman" w:eastAsia="Times New Roman" w:hAnsi="Times New Roman"/>
          <w:sz w:val="16"/>
          <w:szCs w:val="16"/>
          <w:color w:val="0000FF"/>
        </w:rPr>
        <w:t>Fact for Todd Krasnow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-14605</wp:posOffset>
            </wp:positionV>
            <wp:extent cx="9721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7218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-79375</wp:posOffset>
            </wp:positionV>
            <wp:extent cx="4768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6885" cy="8255"/>
                    </a:xfrm>
                    <a:prstGeom prst="rect">
                      <a:avLst/>
                    </a:prstGeom>
                    <a:noFill/>
                  </pic:spPr>
                </pic:pic>
              </a:graphicData>
            </a:graphic>
          </wp:anchor>
        </w:drawing>
      </w:r>
    </w:p>
    <w:p>
      <w:pPr>
        <w:spacing w:after="0" w:line="32" w:lineRule="exact"/>
        <w:rPr>
          <w:sz w:val="20"/>
          <w:szCs w:val="20"/>
          <w:color w:val="auto"/>
        </w:rPr>
      </w:pPr>
    </w:p>
    <w:p>
      <w:pPr>
        <w:ind w:left="6561"/>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580" w:hanging="1"/>
        <w:spacing w:after="0" w:line="330"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1"/>
      </w:cols>
      <w:pgMar w:left="499"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26378" TargetMode="External"/><Relationship Id="rId14" Type="http://schemas.openxmlformats.org/officeDocument/2006/relationships/hyperlink" Target="http://www.sec.gov/cgi-bin/browse-edgar?action=getcompany&amp;CIK=00018372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2026-05-27T17:40:19Z</dcterms:created>
  <dcterms:modified xsi:type="dcterms:W3CDTF">2026-05-27T17:40:19Z</dcterms:modified>
</cp:coreProperties>
</file>