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206375</wp:posOffset>
            </wp:positionH>
            <wp:positionV relativeFrom="page">
              <wp:posOffset>1021715</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243205</wp:posOffset>
            </wp:positionV>
            <wp:extent cx="212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23440" cy="8255"/>
                    </a:xfrm>
                    <a:prstGeom prst="rect">
                      <a:avLst/>
                    </a:prstGeom>
                    <a:noFill/>
                  </pic:spPr>
                </pic:pic>
              </a:graphicData>
            </a:graphic>
          </wp:anchor>
        </w:drawing>
      </w:r>
    </w:p>
    <w:p>
      <w:pPr>
        <w:spacing w:after="0" w:line="38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53340</wp:posOffset>
            </wp:positionV>
            <wp:extent cx="2123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344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24" w:lineRule="exact"/>
        <w:rPr>
          <w:sz w:val="24"/>
          <w:szCs w:val="24"/>
          <w:color w:val="auto"/>
        </w:rPr>
      </w:pPr>
    </w:p>
    <w:p>
      <w:pPr>
        <w:ind w:left="1020" w:hanging="615"/>
        <w:spacing w:after="0"/>
        <w:tabs>
          <w:tab w:leader="none" w:pos="10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9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29, 2025</w:t>
      </w:r>
    </w:p>
    <w:p>
      <w:pPr>
        <w:spacing w:after="0" w:line="102"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84" w:lineRule="exact"/>
        <w:rPr>
          <w:sz w:val="24"/>
          <w:szCs w:val="24"/>
          <w:color w:val="auto"/>
        </w:rPr>
      </w:pPr>
    </w:p>
    <w:p>
      <w:pPr>
        <w:ind w:left="4120" w:right="760" w:hanging="3715"/>
        <w:spacing w:after="0" w:line="525" w:lineRule="auto"/>
        <w:tabs>
          <w:tab w:leader="none" w:pos="1023"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 to</w:t>
      </w:r>
    </w:p>
    <w:p>
      <w:pPr>
        <w:spacing w:after="0" w:line="128" w:lineRule="exact"/>
        <w:rPr>
          <w:sz w:val="24"/>
          <w:szCs w:val="24"/>
          <w:color w:val="auto"/>
        </w:rPr>
      </w:pPr>
    </w:p>
    <w:tbl>
      <w:tblPr>
        <w:tblLayout w:type="fixed"/>
        <w:tblInd w:w="100" w:type="dxa"/>
        <w:tblCellMar>
          <w:top w:w="0" w:type="dxa"/>
          <w:left w:w="0" w:type="dxa"/>
          <w:bottom w:w="0" w:type="dxa"/>
          <w:right w:w="0" w:type="dxa"/>
        </w:tblCellMar>
      </w:tblPr>
      <w:tr>
        <w:trPr>
          <w:trHeight w:val="230"/>
        </w:trPr>
        <w:tc>
          <w:tcPr>
            <w:tcW w:w="3140" w:type="dxa"/>
            <w:vAlign w:val="bottom"/>
          </w:tcPr>
          <w:p>
            <w:pPr>
              <w:spacing w:after="0"/>
              <w:rPr>
                <w:sz w:val="19"/>
                <w:szCs w:val="19"/>
                <w:color w:val="auto"/>
              </w:rPr>
            </w:pPr>
          </w:p>
        </w:tc>
        <w:tc>
          <w:tcPr>
            <w:tcW w:w="7440" w:type="dxa"/>
            <w:vAlign w:val="bottom"/>
          </w:tcPr>
          <w:p>
            <w:pPr>
              <w:jc w:val="center"/>
              <w:ind w:right="2582"/>
              <w:spacing w:after="0"/>
              <w:rPr>
                <w:sz w:val="20"/>
                <w:szCs w:val="20"/>
                <w:color w:val="auto"/>
              </w:rPr>
            </w:pPr>
            <w:r>
              <w:rPr>
                <w:rFonts w:ascii="Times New Roman" w:cs="Times New Roman" w:eastAsia="Times New Roman" w:hAnsi="Times New Roman"/>
                <w:sz w:val="17"/>
                <w:szCs w:val="17"/>
                <w:b w:val="1"/>
                <w:bCs w:val="1"/>
                <w:color w:val="auto"/>
              </w:rPr>
              <w:t>Commission file number 001-40175</w:t>
            </w:r>
          </w:p>
        </w:tc>
      </w:tr>
      <w:tr>
        <w:trPr>
          <w:trHeight w:val="844"/>
        </w:trPr>
        <w:tc>
          <w:tcPr>
            <w:tcW w:w="3140" w:type="dxa"/>
            <w:vAlign w:val="bottom"/>
          </w:tcPr>
          <w:p>
            <w:pPr>
              <w:spacing w:after="0"/>
              <w:rPr>
                <w:sz w:val="24"/>
                <w:szCs w:val="24"/>
                <w:color w:val="auto"/>
              </w:rPr>
            </w:pPr>
          </w:p>
        </w:tc>
        <w:tc>
          <w:tcPr>
            <w:tcW w:w="7440" w:type="dxa"/>
            <w:vAlign w:val="bottom"/>
          </w:tcPr>
          <w:p>
            <w:pPr>
              <w:jc w:val="center"/>
              <w:ind w:right="2582"/>
              <w:spacing w:after="0"/>
              <w:rPr>
                <w:sz w:val="20"/>
                <w:szCs w:val="20"/>
                <w:color w:val="auto"/>
              </w:rPr>
            </w:pPr>
            <w:r>
              <w:rPr>
                <w:rFonts w:ascii="Times New Roman" w:cs="Times New Roman" w:eastAsia="Times New Roman" w:hAnsi="Times New Roman"/>
                <w:sz w:val="31"/>
                <w:szCs w:val="31"/>
                <w:b w:val="1"/>
                <w:bCs w:val="1"/>
                <w:color w:val="auto"/>
              </w:rPr>
              <w:t>SYMBOTIC INC.</w:t>
            </w:r>
          </w:p>
        </w:tc>
      </w:tr>
      <w:tr>
        <w:trPr>
          <w:trHeight w:val="323"/>
        </w:trPr>
        <w:tc>
          <w:tcPr>
            <w:tcW w:w="3140" w:type="dxa"/>
            <w:vAlign w:val="bottom"/>
          </w:tcPr>
          <w:p>
            <w:pPr>
              <w:spacing w:after="0"/>
              <w:rPr>
                <w:sz w:val="24"/>
                <w:szCs w:val="24"/>
                <w:color w:val="auto"/>
              </w:rPr>
            </w:pPr>
          </w:p>
        </w:tc>
        <w:tc>
          <w:tcPr>
            <w:tcW w:w="7440" w:type="dxa"/>
            <w:vAlign w:val="bottom"/>
          </w:tcPr>
          <w:p>
            <w:pPr>
              <w:jc w:val="center"/>
              <w:ind w:right="2562"/>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r>
      <w:tr>
        <w:trPr>
          <w:trHeight w:val="347"/>
        </w:trPr>
        <w:tc>
          <w:tcPr>
            <w:tcW w:w="3140" w:type="dxa"/>
            <w:vAlign w:val="bottom"/>
          </w:tcPr>
          <w:p>
            <w:pPr>
              <w:jc w:val="center"/>
              <w:ind w:right="30"/>
              <w:spacing w:after="0"/>
              <w:rPr>
                <w:sz w:val="20"/>
                <w:szCs w:val="20"/>
                <w:color w:val="auto"/>
              </w:rPr>
            </w:pPr>
            <w:r>
              <w:rPr>
                <w:rFonts w:ascii="Times New Roman" w:cs="Times New Roman" w:eastAsia="Times New Roman" w:hAnsi="Times New Roman"/>
                <w:sz w:val="19"/>
                <w:szCs w:val="19"/>
                <w:b w:val="1"/>
                <w:bCs w:val="1"/>
                <w:color w:val="auto"/>
              </w:rPr>
              <w:t>Delaware</w:t>
            </w:r>
          </w:p>
        </w:tc>
        <w:tc>
          <w:tcPr>
            <w:tcW w:w="7440" w:type="dxa"/>
            <w:vAlign w:val="bottom"/>
          </w:tcPr>
          <w:p>
            <w:pPr>
              <w:jc w:val="right"/>
              <w:ind w:right="702"/>
              <w:spacing w:after="0"/>
              <w:rPr>
                <w:sz w:val="20"/>
                <w:szCs w:val="20"/>
                <w:color w:val="auto"/>
              </w:rPr>
            </w:pPr>
            <w:r>
              <w:rPr>
                <w:rFonts w:ascii="Times New Roman" w:cs="Times New Roman" w:eastAsia="Times New Roman" w:hAnsi="Times New Roman"/>
                <w:sz w:val="19"/>
                <w:szCs w:val="19"/>
                <w:b w:val="1"/>
                <w:bCs w:val="1"/>
                <w:color w:val="auto"/>
              </w:rPr>
              <w:t>98-1572401</w:t>
            </w:r>
          </w:p>
        </w:tc>
      </w:tr>
      <w:tr>
        <w:trPr>
          <w:trHeight w:val="244"/>
        </w:trPr>
        <w:tc>
          <w:tcPr>
            <w:tcW w:w="3140" w:type="dxa"/>
            <w:vAlign w:val="bottom"/>
          </w:tcPr>
          <w:p>
            <w:pPr>
              <w:jc w:val="center"/>
              <w:ind w:right="30"/>
              <w:spacing w:after="0"/>
              <w:rPr>
                <w:sz w:val="20"/>
                <w:szCs w:val="20"/>
                <w:color w:val="auto"/>
              </w:rPr>
            </w:pPr>
            <w:r>
              <w:rPr>
                <w:rFonts w:ascii="Times New Roman" w:cs="Times New Roman" w:eastAsia="Times New Roman" w:hAnsi="Times New Roman"/>
                <w:sz w:val="17"/>
                <w:szCs w:val="17"/>
                <w:color w:val="auto"/>
              </w:rPr>
              <w:t>(State or other jurisdiction of incorporation</w:t>
            </w:r>
          </w:p>
        </w:tc>
        <w:tc>
          <w:tcPr>
            <w:tcW w:w="7440" w:type="dxa"/>
            <w:vAlign w:val="bottom"/>
          </w:tcPr>
          <w:p>
            <w:pPr>
              <w:jc w:val="center"/>
              <w:ind w:left="4822"/>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228"/>
        </w:trPr>
        <w:tc>
          <w:tcPr>
            <w:tcW w:w="3140" w:type="dxa"/>
            <w:vAlign w:val="bottom"/>
          </w:tcPr>
          <w:p>
            <w:pPr>
              <w:jc w:val="center"/>
              <w:ind w:right="10"/>
              <w:spacing w:after="0"/>
              <w:rPr>
                <w:sz w:val="20"/>
                <w:szCs w:val="20"/>
                <w:color w:val="auto"/>
              </w:rPr>
            </w:pPr>
            <w:r>
              <w:rPr>
                <w:rFonts w:ascii="Times New Roman" w:cs="Times New Roman" w:eastAsia="Times New Roman" w:hAnsi="Times New Roman"/>
                <w:sz w:val="17"/>
                <w:szCs w:val="17"/>
                <w:color w:val="auto"/>
              </w:rPr>
              <w:t>or organization)</w:t>
            </w:r>
          </w:p>
        </w:tc>
        <w:tc>
          <w:tcPr>
            <w:tcW w:w="7440" w:type="dxa"/>
            <w:vAlign w:val="bottom"/>
          </w:tcPr>
          <w:p>
            <w:pPr>
              <w:spacing w:after="0"/>
              <w:rPr>
                <w:sz w:val="19"/>
                <w:szCs w:val="19"/>
                <w:color w:val="auto"/>
              </w:rPr>
            </w:pPr>
          </w:p>
        </w:tc>
      </w:tr>
      <w:tr>
        <w:trPr>
          <w:trHeight w:val="285"/>
        </w:trPr>
        <w:tc>
          <w:tcPr>
            <w:tcW w:w="3140" w:type="dxa"/>
            <w:vAlign w:val="bottom"/>
          </w:tcPr>
          <w:p>
            <w:pPr>
              <w:spacing w:after="0"/>
              <w:rPr>
                <w:sz w:val="24"/>
                <w:szCs w:val="24"/>
                <w:color w:val="auto"/>
              </w:rPr>
            </w:pPr>
          </w:p>
        </w:tc>
        <w:tc>
          <w:tcPr>
            <w:tcW w:w="7440" w:type="dxa"/>
            <w:vAlign w:val="bottom"/>
          </w:tcPr>
          <w:p>
            <w:pPr>
              <w:jc w:val="center"/>
              <w:ind w:right="2562"/>
              <w:spacing w:after="0"/>
              <w:rPr>
                <w:sz w:val="20"/>
                <w:szCs w:val="20"/>
                <w:color w:val="auto"/>
              </w:rPr>
            </w:pPr>
            <w:r>
              <w:rPr>
                <w:rFonts w:ascii="Times New Roman" w:cs="Times New Roman" w:eastAsia="Times New Roman" w:hAnsi="Times New Roman"/>
                <w:sz w:val="19"/>
                <w:szCs w:val="19"/>
                <w:b w:val="1"/>
                <w:bCs w:val="1"/>
                <w:color w:val="auto"/>
                <w:w w:val="99"/>
              </w:rPr>
              <w:t>200 Research Drive</w:t>
            </w:r>
          </w:p>
        </w:tc>
      </w:tr>
      <w:tr>
        <w:trPr>
          <w:trHeight w:val="236"/>
        </w:trPr>
        <w:tc>
          <w:tcPr>
            <w:tcW w:w="3140" w:type="dxa"/>
            <w:vAlign w:val="bottom"/>
          </w:tcPr>
          <w:p>
            <w:pPr>
              <w:spacing w:after="0"/>
              <w:rPr>
                <w:sz w:val="20"/>
                <w:szCs w:val="20"/>
                <w:color w:val="auto"/>
              </w:rPr>
            </w:pPr>
          </w:p>
        </w:tc>
        <w:tc>
          <w:tcPr>
            <w:tcW w:w="7440" w:type="dxa"/>
            <w:vAlign w:val="bottom"/>
          </w:tcPr>
          <w:p>
            <w:pPr>
              <w:jc w:val="center"/>
              <w:ind w:right="2562"/>
              <w:spacing w:after="0"/>
              <w:rPr>
                <w:sz w:val="20"/>
                <w:szCs w:val="20"/>
                <w:color w:val="auto"/>
              </w:rPr>
            </w:pPr>
            <w:r>
              <w:rPr>
                <w:rFonts w:ascii="Times New Roman" w:cs="Times New Roman" w:eastAsia="Times New Roman" w:hAnsi="Times New Roman"/>
                <w:sz w:val="19"/>
                <w:szCs w:val="19"/>
                <w:b w:val="1"/>
                <w:bCs w:val="1"/>
                <w:color w:val="auto"/>
              </w:rPr>
              <w:t>Wilmington, MA 01887</w:t>
            </w:r>
          </w:p>
        </w:tc>
      </w:tr>
      <w:tr>
        <w:trPr>
          <w:trHeight w:val="253"/>
        </w:trPr>
        <w:tc>
          <w:tcPr>
            <w:tcW w:w="3140" w:type="dxa"/>
            <w:vAlign w:val="bottom"/>
          </w:tcPr>
          <w:p>
            <w:pPr>
              <w:spacing w:after="0"/>
              <w:rPr>
                <w:sz w:val="22"/>
                <w:szCs w:val="22"/>
                <w:color w:val="auto"/>
              </w:rPr>
            </w:pPr>
          </w:p>
        </w:tc>
        <w:tc>
          <w:tcPr>
            <w:tcW w:w="7440" w:type="dxa"/>
            <w:vAlign w:val="bottom"/>
          </w:tcPr>
          <w:p>
            <w:pPr>
              <w:jc w:val="center"/>
              <w:ind w:right="2542"/>
              <w:spacing w:after="0"/>
              <w:rPr>
                <w:sz w:val="20"/>
                <w:szCs w:val="20"/>
                <w:color w:val="auto"/>
              </w:rPr>
            </w:pPr>
            <w:r>
              <w:rPr>
                <w:rFonts w:ascii="Times New Roman" w:cs="Times New Roman" w:eastAsia="Times New Roman" w:hAnsi="Times New Roman"/>
                <w:sz w:val="19"/>
                <w:szCs w:val="19"/>
                <w:b w:val="1"/>
                <w:bCs w:val="1"/>
                <w:color w:val="auto"/>
              </w:rPr>
              <w:t>(978) 284-2800</w:t>
            </w:r>
          </w:p>
        </w:tc>
      </w:tr>
      <w:tr>
        <w:trPr>
          <w:trHeight w:val="251"/>
        </w:trPr>
        <w:tc>
          <w:tcPr>
            <w:tcW w:w="3140" w:type="dxa"/>
            <w:vAlign w:val="bottom"/>
          </w:tcPr>
          <w:p>
            <w:pPr>
              <w:spacing w:after="0"/>
              <w:rPr>
                <w:sz w:val="21"/>
                <w:szCs w:val="21"/>
                <w:color w:val="auto"/>
              </w:rPr>
            </w:pPr>
          </w:p>
        </w:tc>
        <w:tc>
          <w:tcPr>
            <w:tcW w:w="7440" w:type="dxa"/>
            <w:vAlign w:val="bottom"/>
          </w:tcPr>
          <w:p>
            <w:pPr>
              <w:jc w:val="center"/>
              <w:ind w:right="2562"/>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w:t>
            </w:r>
          </w:p>
        </w:tc>
      </w:tr>
      <w:tr>
        <w:trPr>
          <w:trHeight w:val="228"/>
        </w:trPr>
        <w:tc>
          <w:tcPr>
            <w:tcW w:w="3140" w:type="dxa"/>
            <w:vAlign w:val="bottom"/>
          </w:tcPr>
          <w:p>
            <w:pPr>
              <w:spacing w:after="0"/>
              <w:rPr>
                <w:sz w:val="19"/>
                <w:szCs w:val="19"/>
                <w:color w:val="auto"/>
              </w:rPr>
            </w:pPr>
          </w:p>
        </w:tc>
        <w:tc>
          <w:tcPr>
            <w:tcW w:w="7440" w:type="dxa"/>
            <w:vAlign w:val="bottom"/>
          </w:tcPr>
          <w:p>
            <w:pPr>
              <w:jc w:val="center"/>
              <w:ind w:right="2562"/>
              <w:spacing w:after="0"/>
              <w:rPr>
                <w:sz w:val="20"/>
                <w:szCs w:val="20"/>
                <w:color w:val="auto"/>
              </w:rPr>
            </w:pPr>
            <w:r>
              <w:rPr>
                <w:rFonts w:ascii="Times New Roman" w:cs="Times New Roman" w:eastAsia="Times New Roman" w:hAnsi="Times New Roman"/>
                <w:sz w:val="17"/>
                <w:szCs w:val="17"/>
                <w:color w:val="auto"/>
              </w:rPr>
              <w:t>Area Code, of Registrant’s Principal Executive Offices)</w:t>
            </w:r>
          </w:p>
        </w:tc>
      </w:tr>
    </w:tbl>
    <w:p>
      <w:pPr>
        <w:spacing w:after="0" w:line="334"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34"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1045845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80"/>
          </w:cols>
          <w:pgMar w:left="320" w:top="1440" w:right="899" w:bottom="1440" w:gutter="0" w:footer="0" w:header="0"/>
        </w:sectPr>
      </w:pPr>
    </w:p>
    <w:bookmarkStart w:id="1" w:name="page2"/>
    <w:bookmarkEnd w:id="1"/>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Title of each class</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Trading Symbol(s)</w:t>
            </w: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40"/>
        </w:trPr>
        <w:tc>
          <w:tcPr>
            <w:tcW w:w="3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80" w:type="dxa"/>
            <w:vAlign w:val="bottom"/>
            <w:tcBorders>
              <w:bottom w:val="single" w:sz="8" w:color="auto"/>
            </w:tcBorders>
          </w:tcPr>
          <w:p>
            <w:pPr>
              <w:spacing w:after="0"/>
              <w:rPr>
                <w:sz w:val="3"/>
                <w:szCs w:val="3"/>
                <w:color w:val="auto"/>
              </w:rPr>
            </w:pPr>
          </w:p>
        </w:tc>
      </w:tr>
      <w:tr>
        <w:trPr>
          <w:trHeight w:val="229"/>
        </w:trPr>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Class A common stock, par value $0.0001 per share</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SYM</w:t>
            </w: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166" w:lineRule="exact"/>
        <w:rPr>
          <w:sz w:val="20"/>
          <w:szCs w:val="20"/>
          <w:color w:val="auto"/>
        </w:rPr>
      </w:pPr>
    </w:p>
    <w:p>
      <w:pPr>
        <w:jc w:val="both"/>
        <w:ind w:right="60"/>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296"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29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94"/>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540" w:type="dxa"/>
            <w:vAlign w:val="bottom"/>
          </w:tcPr>
          <w:p>
            <w:pPr>
              <w:ind w:left="1120"/>
              <w:spacing w:after="0" w:line="171" w:lineRule="exact"/>
              <w:rPr>
                <w:sz w:val="20"/>
                <w:szCs w:val="20"/>
                <w:color w:val="auto"/>
              </w:rPr>
            </w:pPr>
            <w:r>
              <w:rPr>
                <w:rFonts w:ascii="MS PGothic" w:cs="MS PGothic" w:eastAsia="MS PGothic" w:hAnsi="MS PGothic"/>
                <w:sz w:val="17"/>
                <w:szCs w:val="17"/>
                <w:color w:val="auto"/>
              </w:rPr>
              <w:t>☒</w:t>
            </w:r>
          </w:p>
        </w:tc>
        <w:tc>
          <w:tcPr>
            <w:tcW w:w="3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Accelerated filer</w:t>
            </w:r>
          </w:p>
        </w:tc>
        <w:tc>
          <w:tcPr>
            <w:tcW w:w="1320" w:type="dxa"/>
            <w:vAlign w:val="bottom"/>
          </w:tcPr>
          <w:p>
            <w:pPr>
              <w:ind w:left="1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2"/>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540" w:type="dxa"/>
            <w:vAlign w:val="bottom"/>
          </w:tcPr>
          <w:p>
            <w:pPr>
              <w:ind w:left="1120"/>
              <w:spacing w:after="0" w:line="171" w:lineRule="exact"/>
              <w:rPr>
                <w:sz w:val="20"/>
                <w:szCs w:val="20"/>
                <w:color w:val="auto"/>
              </w:rPr>
            </w:pPr>
            <w:r>
              <w:rPr>
                <w:rFonts w:ascii="MS PGothic" w:cs="MS PGothic" w:eastAsia="MS PGothic" w:hAnsi="MS PGothic"/>
                <w:sz w:val="17"/>
                <w:szCs w:val="17"/>
                <w:color w:val="auto"/>
              </w:rPr>
              <w:t>☐</w:t>
            </w:r>
          </w:p>
        </w:tc>
        <w:tc>
          <w:tcPr>
            <w:tcW w:w="3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320" w:type="dxa"/>
            <w:vAlign w:val="bottom"/>
          </w:tcPr>
          <w:p>
            <w:pPr>
              <w:ind w:left="1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2"/>
        </w:trPr>
        <w:tc>
          <w:tcPr>
            <w:tcW w:w="2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Emerging growth company</w:t>
            </w:r>
          </w:p>
        </w:tc>
        <w:tc>
          <w:tcPr>
            <w:tcW w:w="1320" w:type="dxa"/>
            <w:vAlign w:val="bottom"/>
          </w:tcPr>
          <w:p>
            <w:pPr>
              <w:ind w:left="11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347"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25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May 6, 2025, the following shares of common stock were outstanding:</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109,080,019 shares of Class A common stock, par value $0.0001 per share</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76,221,325 shares of Class V-1 common stock, par value $0.0001 per share</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404,309,196 shares of Class V-3 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1049020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112395</wp:posOffset>
            </wp:positionV>
            <wp:extent cx="713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137160</wp:posOffset>
            </wp:positionV>
            <wp:extent cx="7136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4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221615</wp:posOffset>
            </wp:positionV>
            <wp:extent cx="6528435" cy="174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28435" cy="174625"/>
                    </a:xfrm>
                    <a:prstGeom prst="rect">
                      <a:avLst/>
                    </a:prstGeom>
                    <a:noFill/>
                  </pic:spPr>
                </pic:pic>
              </a:graphicData>
            </a:graphic>
          </wp:anchor>
        </w:drawing>
      </w:r>
    </w:p>
    <w:p>
      <w:pPr>
        <w:spacing w:after="0" w:line="3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u w:val="single" w:color="auto"/>
          <w:color w:val="0E32E1"/>
        </w:rPr>
        <w:t>Part I - Financial Information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14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6980" w:type="dxa"/>
            <w:vAlign w:val="bottom"/>
            <w:gridSpan w:val="16"/>
          </w:tcPr>
          <w:p>
            <w:pPr>
              <w:spacing w:after="0"/>
              <w:rPr>
                <w:sz w:val="17"/>
                <w:szCs w:val="17"/>
                <w:color w:val="auto"/>
              </w:rPr>
            </w:pPr>
          </w:p>
        </w:tc>
      </w:tr>
      <w:tr>
        <w:trPr>
          <w:trHeight w:val="255"/>
        </w:trPr>
        <w:tc>
          <w:tcPr>
            <w:tcW w:w="980" w:type="dxa"/>
            <w:vAlign w:val="bottom"/>
          </w:tcPr>
          <w:p>
            <w:pPr>
              <w:spacing w:after="0"/>
              <w:rPr>
                <w:sz w:val="22"/>
                <w:szCs w:val="22"/>
                <w:color w:val="auto"/>
              </w:rPr>
            </w:pPr>
          </w:p>
        </w:tc>
        <w:tc>
          <w:tcPr>
            <w:tcW w:w="84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Unaudited Condensed Consolidated Financial Statements</w:t>
            </w:r>
          </w:p>
        </w:tc>
      </w:tr>
      <w:tr>
        <w:trPr>
          <w:trHeight w:val="20"/>
        </w:trPr>
        <w:tc>
          <w:tcPr>
            <w:tcW w:w="9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980" w:type="dxa"/>
            <w:vAlign w:val="bottom"/>
          </w:tcPr>
          <w:p>
            <w:pPr>
              <w:spacing w:after="0"/>
              <w:rPr>
                <w:sz w:val="22"/>
                <w:szCs w:val="22"/>
                <w:color w:val="auto"/>
              </w:rPr>
            </w:pPr>
          </w:p>
        </w:tc>
        <w:tc>
          <w:tcPr>
            <w:tcW w:w="84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Unaudited Condensed Consolidated Balance Sheets as of March 29, 2025 and September 28, 2024</w:t>
            </w:r>
          </w:p>
        </w:tc>
      </w:tr>
      <w:tr>
        <w:trPr>
          <w:trHeight w:val="20"/>
        </w:trPr>
        <w:tc>
          <w:tcPr>
            <w:tcW w:w="9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980" w:type="dxa"/>
            <w:vAlign w:val="bottom"/>
          </w:tcPr>
          <w:p>
            <w:pPr>
              <w:spacing w:after="0"/>
              <w:rPr>
                <w:sz w:val="22"/>
                <w:szCs w:val="22"/>
                <w:color w:val="auto"/>
              </w:rPr>
            </w:pPr>
          </w:p>
        </w:tc>
        <w:tc>
          <w:tcPr>
            <w:tcW w:w="84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Unaudited Condensed Consolidated Statements of Operations for the Three and Six Months Ended March 29, 2025 and</w:t>
            </w:r>
          </w:p>
        </w:tc>
      </w:tr>
      <w:tr>
        <w:trPr>
          <w:trHeight w:val="203"/>
        </w:trPr>
        <w:tc>
          <w:tcPr>
            <w:tcW w:w="980" w:type="dxa"/>
            <w:vAlign w:val="bottom"/>
          </w:tcPr>
          <w:p>
            <w:pPr>
              <w:spacing w:after="0"/>
              <w:rPr>
                <w:sz w:val="17"/>
                <w:szCs w:val="17"/>
                <w:color w:val="auto"/>
              </w:rPr>
            </w:pPr>
          </w:p>
        </w:tc>
        <w:tc>
          <w:tcPr>
            <w:tcW w:w="838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7"/>
                <w:szCs w:val="17"/>
                <w:color w:val="0000FF"/>
              </w:rPr>
              <w:t>March 30, 2024</w:t>
            </w:r>
          </w:p>
        </w:tc>
        <w:tc>
          <w:tcPr>
            <w:tcW w:w="80" w:type="dxa"/>
            <w:vAlign w:val="bottom"/>
            <w:gridSpan w:val="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2"/>
        </w:trPr>
        <w:tc>
          <w:tcPr>
            <w:tcW w:w="980" w:type="dxa"/>
            <w:vAlign w:val="bottom"/>
          </w:tcPr>
          <w:p>
            <w:pPr>
              <w:spacing w:after="0"/>
              <w:rPr>
                <w:sz w:val="21"/>
                <w:szCs w:val="21"/>
                <w:color w:val="auto"/>
              </w:rPr>
            </w:pPr>
          </w:p>
        </w:tc>
        <w:tc>
          <w:tcPr>
            <w:tcW w:w="84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7"/>
                <w:szCs w:val="17"/>
                <w:color w:val="0000FF"/>
              </w:rPr>
              <w:t>Unaudited Condensed Consolidated Statements of Comprehensive Loss for the Three and Six Months Ended March 29,</w:t>
            </w:r>
          </w:p>
        </w:tc>
        <w:tc>
          <w:tcPr>
            <w:tcW w:w="60" w:type="dxa"/>
            <w:vAlign w:val="bottom"/>
          </w:tcPr>
          <w:p>
            <w:pPr>
              <w:spacing w:after="0"/>
              <w:rPr>
                <w:sz w:val="21"/>
                <w:szCs w:val="21"/>
                <w:color w:val="auto"/>
              </w:rPr>
            </w:pPr>
          </w:p>
        </w:tc>
      </w:tr>
      <w:tr>
        <w:trPr>
          <w:trHeight w:val="203"/>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0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2025 and March 30, 2024</w:t>
            </w: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242"/>
        </w:trPr>
        <w:tc>
          <w:tcPr>
            <w:tcW w:w="980" w:type="dxa"/>
            <w:vAlign w:val="bottom"/>
          </w:tcPr>
          <w:p>
            <w:pPr>
              <w:spacing w:after="0"/>
              <w:rPr>
                <w:sz w:val="21"/>
                <w:szCs w:val="21"/>
                <w:color w:val="auto"/>
              </w:rPr>
            </w:pPr>
          </w:p>
        </w:tc>
        <w:tc>
          <w:tcPr>
            <w:tcW w:w="84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Unaudited Condensed Consolidated Statements of Changes in Equity (Deficit) for the Three and Six Months Ended</w:t>
            </w:r>
          </w:p>
        </w:tc>
      </w:tr>
      <w:tr>
        <w:trPr>
          <w:trHeight w:val="203"/>
        </w:trPr>
        <w:tc>
          <w:tcPr>
            <w:tcW w:w="98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79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rPr>
              <w:t>March 29, 2025 and March 30, 2024</w:t>
            </w:r>
          </w:p>
        </w:tc>
        <w:tc>
          <w:tcPr>
            <w:tcW w:w="360" w:type="dxa"/>
            <w:vAlign w:val="bottom"/>
            <w:gridSpan w:val="3"/>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r>
      <w:tr>
        <w:trPr>
          <w:trHeight w:val="242"/>
        </w:trPr>
        <w:tc>
          <w:tcPr>
            <w:tcW w:w="980" w:type="dxa"/>
            <w:vAlign w:val="bottom"/>
          </w:tcPr>
          <w:p>
            <w:pPr>
              <w:spacing w:after="0"/>
              <w:rPr>
                <w:sz w:val="21"/>
                <w:szCs w:val="21"/>
                <w:color w:val="auto"/>
              </w:rPr>
            </w:pPr>
          </w:p>
        </w:tc>
        <w:tc>
          <w:tcPr>
            <w:tcW w:w="84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7"/>
                <w:szCs w:val="17"/>
                <w:color w:val="0000FF"/>
              </w:rPr>
              <w:t>Unaudited Condensed Consolidated Statements of Cash Flows for the Six Months Ended March 29, 2025 and March 30,</w:t>
            </w:r>
          </w:p>
        </w:tc>
      </w:tr>
      <w:tr>
        <w:trPr>
          <w:trHeight w:val="203"/>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2024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2"/>
        </w:trPr>
        <w:tc>
          <w:tcPr>
            <w:tcW w:w="980" w:type="dxa"/>
            <w:vAlign w:val="bottom"/>
          </w:tcPr>
          <w:p>
            <w:pPr>
              <w:spacing w:after="0"/>
              <w:rPr>
                <w:sz w:val="21"/>
                <w:szCs w:val="21"/>
                <w:color w:val="auto"/>
              </w:rPr>
            </w:pPr>
          </w:p>
        </w:tc>
        <w:tc>
          <w:tcPr>
            <w:tcW w:w="46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Notes to Unaudited Condensed Consolidated Financial Statements</w:t>
            </w:r>
          </w:p>
        </w:tc>
        <w:tc>
          <w:tcPr>
            <w:tcW w:w="3800" w:type="dxa"/>
            <w:vAlign w:val="bottom"/>
            <w:gridSpan w:val="7"/>
          </w:tcPr>
          <w:p>
            <w:pPr>
              <w:spacing w:after="0"/>
              <w:rPr>
                <w:sz w:val="21"/>
                <w:szCs w:val="21"/>
                <w:color w:val="auto"/>
              </w:rPr>
            </w:pPr>
          </w:p>
        </w:tc>
      </w:tr>
      <w:tr>
        <w:trPr>
          <w:trHeight w:val="25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8460" w:type="dxa"/>
            <w:vAlign w:val="bottom"/>
            <w:gridSpan w:val="25"/>
          </w:tcPr>
          <w:p>
            <w:pPr>
              <w:spacing w:after="0"/>
              <w:rPr>
                <w:sz w:val="20"/>
                <w:szCs w:val="20"/>
                <w:color w:val="auto"/>
              </w:rPr>
            </w:pPr>
            <w:r>
              <w:rPr>
                <w:rFonts w:ascii="Times New Roman" w:cs="Times New Roman" w:eastAsia="Times New Roman" w:hAnsi="Times New Roman"/>
                <w:sz w:val="17"/>
                <w:szCs w:val="17"/>
                <w:color w:val="0E32E1"/>
              </w:rPr>
              <w:t>Management’s Discussion and Analysis of Financial Condition and Results of Operations</w:t>
            </w:r>
          </w:p>
        </w:tc>
      </w:tr>
      <w:tr>
        <w:trPr>
          <w:trHeight w:val="25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4260" w:type="dxa"/>
            <w:vAlign w:val="bottom"/>
            <w:tcBorders>
              <w:top w:val="single" w:sz="8" w:color="0E32E1"/>
              <w:bottom w:val="single" w:sz="8" w:color="0E32E1"/>
            </w:tcBorders>
            <w:gridSpan w:val="17"/>
          </w:tcPr>
          <w:p>
            <w:pPr>
              <w:spacing w:after="0"/>
              <w:rPr>
                <w:sz w:val="20"/>
                <w:szCs w:val="20"/>
                <w:color w:val="auto"/>
              </w:rPr>
            </w:pPr>
            <w:r>
              <w:rPr>
                <w:rFonts w:ascii="Times New Roman" w:cs="Times New Roman" w:eastAsia="Times New Roman" w:hAnsi="Times New Roman"/>
                <w:sz w:val="17"/>
                <w:szCs w:val="17"/>
                <w:color w:val="0E32E1"/>
              </w:rPr>
              <w:t>Quantitative and Qualitative Disclosures About Market Risk</w:t>
            </w:r>
          </w:p>
        </w:tc>
        <w:tc>
          <w:tcPr>
            <w:tcW w:w="2020" w:type="dxa"/>
            <w:vAlign w:val="bottom"/>
            <w:tcBorders>
              <w:top w:val="single" w:sz="8" w:color="0E32E1"/>
            </w:tcBorders>
            <w:gridSpan w:val="3"/>
          </w:tcPr>
          <w:p>
            <w:pPr>
              <w:spacing w:after="0"/>
              <w:rPr>
                <w:sz w:val="22"/>
                <w:szCs w:val="22"/>
                <w:color w:val="auto"/>
              </w:rPr>
            </w:pPr>
          </w:p>
        </w:tc>
        <w:tc>
          <w:tcPr>
            <w:tcW w:w="2180" w:type="dxa"/>
            <w:vAlign w:val="bottom"/>
            <w:gridSpan w:val="5"/>
          </w:tcPr>
          <w:p>
            <w:pPr>
              <w:spacing w:after="0"/>
              <w:rPr>
                <w:sz w:val="22"/>
                <w:szCs w:val="22"/>
                <w:color w:val="auto"/>
              </w:rPr>
            </w:pPr>
          </w:p>
        </w:tc>
      </w:tr>
      <w:tr>
        <w:trPr>
          <w:trHeight w:val="25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8460" w:type="dxa"/>
            <w:vAlign w:val="bottom"/>
            <w:gridSpan w:val="25"/>
          </w:tcPr>
          <w:p>
            <w:pPr>
              <w:spacing w:after="0"/>
              <w:rPr>
                <w:sz w:val="20"/>
                <w:szCs w:val="20"/>
                <w:color w:val="auto"/>
              </w:rPr>
            </w:pPr>
            <w:r>
              <w:rPr>
                <w:rFonts w:ascii="Times New Roman" w:cs="Times New Roman" w:eastAsia="Times New Roman" w:hAnsi="Times New Roman"/>
                <w:sz w:val="17"/>
                <w:szCs w:val="17"/>
                <w:color w:val="0E32E1"/>
              </w:rPr>
              <w:t>Controls and Procedures</w:t>
            </w:r>
          </w:p>
        </w:tc>
      </w:tr>
      <w:tr>
        <w:trPr>
          <w:trHeight w:val="255"/>
        </w:trPr>
        <w:tc>
          <w:tcPr>
            <w:tcW w:w="980" w:type="dxa"/>
            <w:vAlign w:val="bottom"/>
          </w:tcPr>
          <w:p>
            <w:pPr>
              <w:spacing w:after="0"/>
              <w:rPr>
                <w:sz w:val="22"/>
                <w:szCs w:val="22"/>
                <w:color w:val="auto"/>
              </w:rPr>
            </w:pPr>
          </w:p>
        </w:tc>
        <w:tc>
          <w:tcPr>
            <w:tcW w:w="160" w:type="dxa"/>
            <w:vAlign w:val="bottom"/>
            <w:tcBorders>
              <w:top w:val="single" w:sz="8" w:color="0E32E1"/>
            </w:tcBorders>
          </w:tcPr>
          <w:p>
            <w:pPr>
              <w:spacing w:after="0"/>
              <w:rPr>
                <w:sz w:val="22"/>
                <w:szCs w:val="22"/>
                <w:color w:val="auto"/>
              </w:rPr>
            </w:pPr>
          </w:p>
        </w:tc>
        <w:tc>
          <w:tcPr>
            <w:tcW w:w="360" w:type="dxa"/>
            <w:vAlign w:val="bottom"/>
            <w:tcBorders>
              <w:top w:val="single" w:sz="8" w:color="0E32E1"/>
            </w:tcBorders>
          </w:tcPr>
          <w:p>
            <w:pPr>
              <w:spacing w:after="0"/>
              <w:rPr>
                <w:sz w:val="22"/>
                <w:szCs w:val="22"/>
                <w:color w:val="auto"/>
              </w:rPr>
            </w:pPr>
          </w:p>
        </w:tc>
        <w:tc>
          <w:tcPr>
            <w:tcW w:w="80" w:type="dxa"/>
            <w:vAlign w:val="bottom"/>
            <w:tcBorders>
              <w:top w:val="single" w:sz="8" w:color="0E32E1"/>
            </w:tcBorders>
          </w:tcPr>
          <w:p>
            <w:pPr>
              <w:spacing w:after="0"/>
              <w:rPr>
                <w:sz w:val="22"/>
                <w:szCs w:val="22"/>
                <w:color w:val="auto"/>
              </w:rPr>
            </w:pPr>
          </w:p>
        </w:tc>
        <w:tc>
          <w:tcPr>
            <w:tcW w:w="140" w:type="dxa"/>
            <w:vAlign w:val="bottom"/>
            <w:tcBorders>
              <w:top w:val="single" w:sz="8" w:color="0E32E1"/>
            </w:tcBorders>
          </w:tcPr>
          <w:p>
            <w:pPr>
              <w:spacing w:after="0"/>
              <w:rPr>
                <w:sz w:val="22"/>
                <w:szCs w:val="22"/>
                <w:color w:val="auto"/>
              </w:rPr>
            </w:pPr>
          </w:p>
        </w:tc>
        <w:tc>
          <w:tcPr>
            <w:tcW w:w="140" w:type="dxa"/>
            <w:vAlign w:val="bottom"/>
            <w:tcBorders>
              <w:top w:val="single" w:sz="8" w:color="0E32E1"/>
            </w:tcBorders>
          </w:tcPr>
          <w:p>
            <w:pPr>
              <w:spacing w:after="0"/>
              <w:rPr>
                <w:sz w:val="22"/>
                <w:szCs w:val="22"/>
                <w:color w:val="auto"/>
              </w:rPr>
            </w:pPr>
          </w:p>
        </w:tc>
        <w:tc>
          <w:tcPr>
            <w:tcW w:w="240" w:type="dxa"/>
            <w:vAlign w:val="bottom"/>
            <w:tcBorders>
              <w:top w:val="single" w:sz="8" w:color="0E32E1"/>
            </w:tcBorders>
          </w:tcPr>
          <w:p>
            <w:pPr>
              <w:spacing w:after="0"/>
              <w:rPr>
                <w:sz w:val="22"/>
                <w:szCs w:val="22"/>
                <w:color w:val="auto"/>
              </w:rPr>
            </w:pPr>
          </w:p>
        </w:tc>
        <w:tc>
          <w:tcPr>
            <w:tcW w:w="160" w:type="dxa"/>
            <w:vAlign w:val="bottom"/>
            <w:tcBorders>
              <w:top w:val="single" w:sz="8" w:color="0E32E1"/>
            </w:tcBorders>
          </w:tcPr>
          <w:p>
            <w:pPr>
              <w:spacing w:after="0"/>
              <w:rPr>
                <w:sz w:val="22"/>
                <w:szCs w:val="22"/>
                <w:color w:val="auto"/>
              </w:rPr>
            </w:pPr>
          </w:p>
        </w:tc>
        <w:tc>
          <w:tcPr>
            <w:tcW w:w="20" w:type="dxa"/>
            <w:vAlign w:val="bottom"/>
            <w:tcBorders>
              <w:top w:val="single" w:sz="8" w:color="0E32E1"/>
            </w:tcBorders>
          </w:tcPr>
          <w:p>
            <w:pPr>
              <w:spacing w:after="0"/>
              <w:rPr>
                <w:sz w:val="22"/>
                <w:szCs w:val="22"/>
                <w:color w:val="auto"/>
              </w:rPr>
            </w:pPr>
          </w:p>
        </w:tc>
        <w:tc>
          <w:tcPr>
            <w:tcW w:w="180" w:type="dxa"/>
            <w:vAlign w:val="bottom"/>
            <w:tcBorders>
              <w:top w:val="single" w:sz="8" w:color="0E32E1"/>
            </w:tcBorders>
          </w:tcPr>
          <w:p>
            <w:pPr>
              <w:spacing w:after="0"/>
              <w:rPr>
                <w:sz w:val="22"/>
                <w:szCs w:val="22"/>
                <w:color w:val="auto"/>
              </w:rPr>
            </w:pPr>
          </w:p>
        </w:tc>
        <w:tc>
          <w:tcPr>
            <w:tcW w:w="240" w:type="dxa"/>
            <w:vAlign w:val="bottom"/>
            <w:tcBorders>
              <w:top w:val="single" w:sz="8" w:color="0E32E1"/>
            </w:tcBorders>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20" w:type="dxa"/>
            <w:vAlign w:val="bottom"/>
            <w:gridSpan w:val="11"/>
          </w:tcPr>
          <w:p>
            <w:pPr>
              <w:spacing w:after="0"/>
              <w:rPr>
                <w:sz w:val="20"/>
                <w:szCs w:val="20"/>
                <w:color w:val="auto"/>
              </w:rPr>
            </w:pPr>
            <w:r>
              <w:rPr>
                <w:rFonts w:ascii="Times New Roman" w:cs="Times New Roman" w:eastAsia="Times New Roman" w:hAnsi="Times New Roman"/>
                <w:sz w:val="17"/>
                <w:szCs w:val="17"/>
                <w:b w:val="1"/>
                <w:bCs w:val="1"/>
                <w:color w:val="0E32E1"/>
              </w:rPr>
              <w:t>Part II - Other Information</w:t>
            </w:r>
          </w:p>
        </w:tc>
      </w:tr>
      <w:tr>
        <w:trPr>
          <w:trHeight w:val="25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3240" w:type="dxa"/>
            <w:vAlign w:val="bottom"/>
            <w:gridSpan w:val="14"/>
          </w:tcPr>
          <w:p>
            <w:pPr>
              <w:spacing w:after="0"/>
              <w:rPr>
                <w:sz w:val="20"/>
                <w:szCs w:val="20"/>
                <w:color w:val="auto"/>
              </w:rPr>
            </w:pPr>
            <w:r>
              <w:rPr>
                <w:rFonts w:ascii="Times New Roman" w:cs="Times New Roman" w:eastAsia="Times New Roman" w:hAnsi="Times New Roman"/>
                <w:sz w:val="17"/>
                <w:szCs w:val="17"/>
                <w:color w:val="0E32E1"/>
              </w:rPr>
              <w:t>Legal Proceedings</w:t>
            </w:r>
          </w:p>
        </w:tc>
        <w:tc>
          <w:tcPr>
            <w:tcW w:w="2060" w:type="dxa"/>
            <w:vAlign w:val="bottom"/>
            <w:tcBorders>
              <w:top w:val="single" w:sz="8" w:color="0E32E1"/>
            </w:tcBorders>
            <w:gridSpan w:val="5"/>
          </w:tcPr>
          <w:p>
            <w:pPr>
              <w:spacing w:after="0"/>
              <w:rPr>
                <w:sz w:val="22"/>
                <w:szCs w:val="22"/>
                <w:color w:val="auto"/>
              </w:rPr>
            </w:pPr>
          </w:p>
        </w:tc>
        <w:tc>
          <w:tcPr>
            <w:tcW w:w="3160" w:type="dxa"/>
            <w:vAlign w:val="bottom"/>
            <w:gridSpan w:val="6"/>
          </w:tcPr>
          <w:p>
            <w:pPr>
              <w:spacing w:after="0"/>
              <w:rPr>
                <w:sz w:val="22"/>
                <w:szCs w:val="22"/>
                <w:color w:val="auto"/>
              </w:rPr>
            </w:pPr>
          </w:p>
        </w:tc>
      </w:tr>
      <w:tr>
        <w:trPr>
          <w:trHeight w:val="25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Item 1A.</w:t>
            </w:r>
          </w:p>
        </w:tc>
        <w:tc>
          <w:tcPr>
            <w:tcW w:w="1300" w:type="dxa"/>
            <w:vAlign w:val="bottom"/>
            <w:tcBorders>
              <w:top w:val="single" w:sz="8" w:color="0E32E1"/>
            </w:tcBorders>
            <w:gridSpan w:val="8"/>
          </w:tcPr>
          <w:p>
            <w:pPr>
              <w:spacing w:after="0"/>
              <w:rPr>
                <w:sz w:val="20"/>
                <w:szCs w:val="20"/>
                <w:color w:val="auto"/>
              </w:rPr>
            </w:pPr>
            <w:r>
              <w:rPr>
                <w:rFonts w:ascii="Times New Roman" w:cs="Times New Roman" w:eastAsia="Times New Roman" w:hAnsi="Times New Roman"/>
                <w:sz w:val="17"/>
                <w:szCs w:val="17"/>
                <w:color w:val="0E32E1"/>
              </w:rPr>
              <w:t>Risk Factors</w:t>
            </w:r>
          </w:p>
        </w:tc>
        <w:tc>
          <w:tcPr>
            <w:tcW w:w="7160" w:type="dxa"/>
            <w:vAlign w:val="bottom"/>
            <w:gridSpan w:val="17"/>
          </w:tcPr>
          <w:p>
            <w:pPr>
              <w:spacing w:after="0"/>
              <w:rPr>
                <w:sz w:val="22"/>
                <w:szCs w:val="22"/>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gridSpan w:val="3"/>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r>
      <w:tr>
        <w:trPr>
          <w:trHeight w:val="25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4240" w:type="dxa"/>
            <w:vAlign w:val="bottom"/>
            <w:tcBorders>
              <w:bottom w:val="single" w:sz="8" w:color="0E32E1"/>
            </w:tcBorders>
            <w:gridSpan w:val="16"/>
          </w:tcPr>
          <w:p>
            <w:pPr>
              <w:spacing w:after="0"/>
              <w:rPr>
                <w:sz w:val="20"/>
                <w:szCs w:val="20"/>
                <w:color w:val="auto"/>
              </w:rPr>
            </w:pPr>
            <w:r>
              <w:rPr>
                <w:rFonts w:ascii="Times New Roman" w:cs="Times New Roman" w:eastAsia="Times New Roman" w:hAnsi="Times New Roman"/>
                <w:sz w:val="17"/>
                <w:szCs w:val="17"/>
                <w:color w:val="0E32E1"/>
              </w:rPr>
              <w:t>Unregistered Sales of Equity Securities and Use of Proceeds</w:t>
            </w:r>
          </w:p>
        </w:tc>
        <w:tc>
          <w:tcPr>
            <w:tcW w:w="4220" w:type="dxa"/>
            <w:vAlign w:val="bottom"/>
            <w:gridSpan w:val="9"/>
          </w:tcPr>
          <w:p>
            <w:pPr>
              <w:spacing w:after="0"/>
              <w:rPr>
                <w:sz w:val="22"/>
                <w:szCs w:val="22"/>
                <w:color w:val="auto"/>
              </w:rPr>
            </w:pPr>
          </w:p>
        </w:tc>
      </w:tr>
      <w:tr>
        <w:trPr>
          <w:trHeight w:val="25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8460" w:type="dxa"/>
            <w:vAlign w:val="bottom"/>
            <w:gridSpan w:val="25"/>
          </w:tcPr>
          <w:p>
            <w:pPr>
              <w:spacing w:after="0"/>
              <w:rPr>
                <w:sz w:val="20"/>
                <w:szCs w:val="20"/>
                <w:color w:val="auto"/>
              </w:rPr>
            </w:pPr>
            <w:r>
              <w:rPr>
                <w:rFonts w:ascii="Times New Roman" w:cs="Times New Roman" w:eastAsia="Times New Roman" w:hAnsi="Times New Roman"/>
                <w:sz w:val="17"/>
                <w:szCs w:val="17"/>
                <w:color w:val="0E32E1"/>
              </w:rPr>
              <w:t>Defaults Upon Senior Securities</w:t>
            </w:r>
          </w:p>
        </w:tc>
      </w:tr>
      <w:tr>
        <w:trPr>
          <w:trHeight w:val="25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2260" w:type="dxa"/>
            <w:vAlign w:val="bottom"/>
            <w:tcBorders>
              <w:top w:val="single" w:sz="8" w:color="0E32E1"/>
            </w:tcBorders>
            <w:gridSpan w:val="12"/>
          </w:tcPr>
          <w:p>
            <w:pPr>
              <w:spacing w:after="0"/>
              <w:rPr>
                <w:sz w:val="20"/>
                <w:szCs w:val="20"/>
                <w:color w:val="auto"/>
              </w:rPr>
            </w:pPr>
            <w:r>
              <w:rPr>
                <w:rFonts w:ascii="Times New Roman" w:cs="Times New Roman" w:eastAsia="Times New Roman" w:hAnsi="Times New Roman"/>
                <w:sz w:val="17"/>
                <w:szCs w:val="17"/>
                <w:color w:val="0E32E1"/>
              </w:rPr>
              <w:t>Mine Safety Disclosures</w:t>
            </w:r>
          </w:p>
        </w:tc>
        <w:tc>
          <w:tcPr>
            <w:tcW w:w="6200" w:type="dxa"/>
            <w:vAlign w:val="bottom"/>
            <w:gridSpan w:val="13"/>
          </w:tcPr>
          <w:p>
            <w:pPr>
              <w:spacing w:after="0"/>
              <w:rPr>
                <w:sz w:val="22"/>
                <w:szCs w:val="22"/>
                <w:color w:val="auto"/>
              </w:rPr>
            </w:pPr>
          </w:p>
        </w:tc>
      </w:tr>
      <w:tr>
        <w:trPr>
          <w:trHeight w:val="25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Item 5.</w:t>
            </w:r>
          </w:p>
        </w:tc>
        <w:tc>
          <w:tcPr>
            <w:tcW w:w="1720" w:type="dxa"/>
            <w:vAlign w:val="bottom"/>
            <w:tcBorders>
              <w:top w:val="single" w:sz="8" w:color="0E32E1"/>
            </w:tcBorders>
            <w:gridSpan w:val="10"/>
          </w:tcPr>
          <w:p>
            <w:pPr>
              <w:spacing w:after="0"/>
              <w:rPr>
                <w:sz w:val="20"/>
                <w:szCs w:val="20"/>
                <w:color w:val="auto"/>
              </w:rPr>
            </w:pPr>
            <w:r>
              <w:rPr>
                <w:rFonts w:ascii="Times New Roman" w:cs="Times New Roman" w:eastAsia="Times New Roman" w:hAnsi="Times New Roman"/>
                <w:sz w:val="17"/>
                <w:szCs w:val="17"/>
                <w:color w:val="0E32E1"/>
              </w:rPr>
              <w:t>Other Information</w:t>
            </w:r>
          </w:p>
        </w:tc>
        <w:tc>
          <w:tcPr>
            <w:tcW w:w="6740" w:type="dxa"/>
            <w:vAlign w:val="bottom"/>
            <w:gridSpan w:val="15"/>
          </w:tcPr>
          <w:p>
            <w:pPr>
              <w:spacing w:after="0"/>
              <w:rPr>
                <w:sz w:val="22"/>
                <w:szCs w:val="22"/>
                <w:color w:val="auto"/>
              </w:rPr>
            </w:pPr>
          </w:p>
        </w:tc>
      </w:tr>
      <w:tr>
        <w:trPr>
          <w:trHeight w:val="25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600" w:type="dxa"/>
            <w:vAlign w:val="bottom"/>
            <w:tcBorders>
              <w:top w:val="single" w:sz="8" w:color="0E32E1"/>
              <w:bottom w:val="single" w:sz="8" w:color="0E32E1"/>
            </w:tcBorders>
            <w:gridSpan w:val="3"/>
          </w:tcPr>
          <w:p>
            <w:pPr>
              <w:spacing w:after="0"/>
              <w:rPr>
                <w:sz w:val="20"/>
                <w:szCs w:val="20"/>
                <w:color w:val="auto"/>
              </w:rPr>
            </w:pPr>
            <w:r>
              <w:rPr>
                <w:rFonts w:ascii="Times New Roman" w:cs="Times New Roman" w:eastAsia="Times New Roman" w:hAnsi="Times New Roman"/>
                <w:sz w:val="17"/>
                <w:szCs w:val="17"/>
                <w:color w:val="0E32E1"/>
              </w:rPr>
              <w:t>Exhibits</w:t>
            </w:r>
          </w:p>
        </w:tc>
        <w:tc>
          <w:tcPr>
            <w:tcW w:w="680" w:type="dxa"/>
            <w:vAlign w:val="bottom"/>
            <w:tcBorders>
              <w:top w:val="single" w:sz="8" w:color="0E32E1"/>
            </w:tcBorders>
            <w:gridSpan w:val="4"/>
          </w:tcPr>
          <w:p>
            <w:pPr>
              <w:spacing w:after="0"/>
              <w:rPr>
                <w:sz w:val="22"/>
                <w:szCs w:val="22"/>
                <w:color w:val="auto"/>
              </w:rPr>
            </w:pPr>
          </w:p>
        </w:tc>
        <w:tc>
          <w:tcPr>
            <w:tcW w:w="7180" w:type="dxa"/>
            <w:vAlign w:val="bottom"/>
            <w:gridSpan w:val="18"/>
          </w:tcPr>
          <w:p>
            <w:pPr>
              <w:spacing w:after="0"/>
              <w:rPr>
                <w:sz w:val="22"/>
                <w:szCs w:val="22"/>
                <w:color w:val="auto"/>
              </w:rPr>
            </w:pPr>
          </w:p>
        </w:tc>
      </w:tr>
      <w:tr>
        <w:trPr>
          <w:trHeight w:val="255"/>
        </w:trPr>
        <w:tc>
          <w:tcPr>
            <w:tcW w:w="980" w:type="dxa"/>
            <w:vAlign w:val="bottom"/>
          </w:tcPr>
          <w:p>
            <w:pPr>
              <w:spacing w:after="0"/>
              <w:rPr>
                <w:sz w:val="22"/>
                <w:szCs w:val="22"/>
                <w:color w:val="auto"/>
              </w:rPr>
            </w:pPr>
          </w:p>
        </w:tc>
        <w:tc>
          <w:tcPr>
            <w:tcW w:w="8460" w:type="dxa"/>
            <w:vAlign w:val="bottom"/>
            <w:gridSpan w:val="25"/>
          </w:tcPr>
          <w:p>
            <w:pPr>
              <w:spacing w:after="0"/>
              <w:rPr>
                <w:sz w:val="20"/>
                <w:szCs w:val="20"/>
                <w:color w:val="auto"/>
              </w:rPr>
            </w:pPr>
            <w:r>
              <w:rPr>
                <w:rFonts w:ascii="Times New Roman" w:cs="Times New Roman" w:eastAsia="Times New Roman" w:hAnsi="Times New Roman"/>
                <w:sz w:val="17"/>
                <w:szCs w:val="17"/>
                <w:color w:val="0E32E1"/>
              </w:rPr>
              <w:t>Signatures</w:t>
            </w:r>
          </w:p>
        </w:tc>
      </w:tr>
      <w:tr>
        <w:trPr>
          <w:trHeight w:val="20"/>
        </w:trPr>
        <w:tc>
          <w:tcPr>
            <w:tcW w:w="98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-3813175</wp:posOffset>
            </wp:positionV>
            <wp:extent cx="6528435" cy="174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28435" cy="17462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-3463290</wp:posOffset>
            </wp:positionV>
            <wp:extent cx="6528435" cy="307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28435" cy="3079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-2847340</wp:posOffset>
            </wp:positionV>
            <wp:extent cx="6528435" cy="307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28435" cy="3079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-2230755</wp:posOffset>
            </wp:positionV>
            <wp:extent cx="6528435" cy="174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28435" cy="17462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-1881505</wp:posOffset>
            </wp:positionV>
            <wp:extent cx="6528435" cy="174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28435" cy="17462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-1531620</wp:posOffset>
            </wp:positionV>
            <wp:extent cx="6528435" cy="174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28435" cy="17462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-1181735</wp:posOffset>
            </wp:positionV>
            <wp:extent cx="6528435" cy="174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28435" cy="17462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-831850</wp:posOffset>
            </wp:positionV>
            <wp:extent cx="6528435" cy="174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28435" cy="17462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-482600</wp:posOffset>
            </wp:positionV>
            <wp:extent cx="6528435" cy="174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28435" cy="17462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-132715</wp:posOffset>
            </wp:positionV>
            <wp:extent cx="6528435" cy="174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2843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74930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w:t>
      </w: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w:t>
      </w:r>
    </w:p>
    <w:p>
      <w:pPr>
        <w:spacing w:after="0" w:line="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w:t>
      </w:r>
    </w:p>
    <w:p>
      <w:pPr>
        <w:spacing w:after="0" w:line="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w:t>
      </w:r>
    </w:p>
    <w:p>
      <w:pPr>
        <w:spacing w:after="0" w:line="2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w:t>
      </w:r>
    </w:p>
    <w:p>
      <w:pPr>
        <w:spacing w:after="0" w:line="2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5</w:t>
      </w:r>
    </w:p>
    <w:p>
      <w:pPr>
        <w:spacing w:after="0" w:line="2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7</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9</w:t>
      </w:r>
    </w:p>
    <w:p>
      <w:pPr>
        <w:spacing w:after="0" w:line="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26</w:t>
      </w:r>
    </w:p>
    <w:p>
      <w:pPr>
        <w:spacing w:after="0" w:line="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39</w:t>
      </w:r>
    </w:p>
    <w:p>
      <w:pPr>
        <w:spacing w:after="0" w:line="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39</w:t>
      </w: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40</w:t>
      </w:r>
    </w:p>
    <w:p>
      <w:pPr>
        <w:spacing w:after="0" w:line="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41</w:t>
      </w:r>
    </w:p>
    <w:p>
      <w:pPr>
        <w:spacing w:after="0" w:line="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41</w:t>
      </w:r>
    </w:p>
    <w:p>
      <w:pPr>
        <w:spacing w:after="0" w:line="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41</w:t>
      </w:r>
    </w:p>
    <w:p>
      <w:pPr>
        <w:spacing w:after="0" w:line="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41</w:t>
      </w:r>
    </w:p>
    <w:p>
      <w:pPr>
        <w:spacing w:after="0" w:line="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41</w:t>
      </w:r>
    </w:p>
    <w:p>
      <w:pPr>
        <w:spacing w:after="0" w:line="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42</w:t>
      </w:r>
    </w:p>
    <w:p>
      <w:pPr>
        <w:spacing w:after="0" w:line="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2">
            <w:col w:w="9440" w:space="280"/>
            <w:col w:w="540"/>
          </w:cols>
          <w:pgMar w:left="500" w:top="1440" w:right="11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CAUTIONARY NOTE ON FORWARD-LOOKING STATEMENTS</w:t>
      </w:r>
    </w:p>
    <w:p>
      <w:pPr>
        <w:spacing w:after="0" w:line="174" w:lineRule="exact"/>
        <w:rPr>
          <w:sz w:val="20"/>
          <w:szCs w:val="20"/>
          <w:color w:val="auto"/>
        </w:rPr>
      </w:pPr>
    </w:p>
    <w:p>
      <w:pPr>
        <w:ind w:right="160" w:firstLine="315"/>
        <w:spacing w:after="0" w:line="264"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Private Securities Litigation Reform Act of 1995, Section 27A of the Securities Act of 1933, as amended (the “Securities Act”), and Section 21E of the Securities Exchange Act of 1934, as amended (the “Exchange Act”). These statements include, but are not limited to, the Company’s expectations or predictions of future financial or business performance or conditions. Forward-looking statements are inherently subject to risks, uncertainties and assumptions. Generally, statements that are not historical facts, including statements concerning the Company’s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w:t>
      </w:r>
    </w:p>
    <w:p>
      <w:pPr>
        <w:spacing w:after="0" w:line="16" w:lineRule="exact"/>
        <w:rPr>
          <w:sz w:val="20"/>
          <w:szCs w:val="20"/>
          <w:color w:val="auto"/>
        </w:rPr>
      </w:pPr>
    </w:p>
    <w:p>
      <w:pPr>
        <w:ind w:right="80" w:firstLine="315"/>
        <w:spacing w:after="0" w:line="289" w:lineRule="auto"/>
        <w:rPr>
          <w:sz w:val="20"/>
          <w:szCs w:val="20"/>
          <w:color w:val="auto"/>
        </w:rPr>
      </w:pPr>
      <w:r>
        <w:rPr>
          <w:rFonts w:ascii="Times New Roman" w:cs="Times New Roman" w:eastAsia="Times New Roman" w:hAnsi="Times New Roman"/>
          <w:sz w:val="17"/>
          <w:szCs w:val="17"/>
          <w:color w:val="auto"/>
        </w:rPr>
        <w:t>Forward-looking statements contained in this Quarterly Report on Form 10-Q include, but are not limited to, statements about the Company’s ability to, or expectations that it will:</w:t>
      </w:r>
    </w:p>
    <w:p>
      <w:pPr>
        <w:spacing w:after="0" w:line="1" w:lineRule="exact"/>
        <w:rPr>
          <w:sz w:val="20"/>
          <w:szCs w:val="20"/>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 the technical requirements of existing or future supply agreements with its customers, including with respect to existing backlog;</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its target customer base and maintain its existing customer base;</w:t>
      </w:r>
    </w:p>
    <w:p>
      <w:pPr>
        <w:spacing w:after="0" w:line="66" w:lineRule="exact"/>
        <w:rPr>
          <w:rFonts w:ascii="Times New Roman" w:cs="Times New Roman" w:eastAsia="Times New Roman" w:hAnsi="Times New Roman"/>
          <w:sz w:val="17"/>
          <w:szCs w:val="17"/>
          <w:color w:val="auto"/>
        </w:rPr>
      </w:pPr>
    </w:p>
    <w:p>
      <w:pPr>
        <w:ind w:left="640" w:hanging="320"/>
        <w:spacing w:after="0" w:line="277"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realize the benefits expected from the acquisition of Walmart’s Advanced Systems and Robotics business, the GreenBox joint venture, the Commercial Agreement with GreenBox, Symbotic’s acquisitions of developed technology intangible assets, and the commercial agreement with Walmart de México y Centroamérica;</w:t>
      </w:r>
    </w:p>
    <w:p>
      <w:pPr>
        <w:spacing w:after="0" w:line="5"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realize its outlook, including its system gross margin;</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 industry trends;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and enhance its system;</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the listing of the Symbotic Class A Common Stock on Nasdaq;</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its growth strategy;</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design and sell systems that are differentiated from those of competitors;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its research and development strategy;</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maintain, protect and enforce intellectual property;</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train and retain effective officers, key employees or directors;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laws and regulations applicable to its business;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stay abreast of modified or new laws and regulations applying to its business;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defend litigation;</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equity securities in connection with future transactions;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 future liquidity requirements and, if applicable, comply with restrictive covenants related to long-term indebtedness;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timely and effectively remediate any material weaknesses in its internal control over financial reporting;</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 rapid technological changes; and</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respond to general economic and business conditions.</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Forward-looking statements made in this Quarterly Report on Form 10-Q also include, but are not limited to, statements with respect to:</w:t>
      </w:r>
    </w:p>
    <w:p>
      <w:pPr>
        <w:spacing w:after="0" w:line="67" w:lineRule="exact"/>
        <w:rPr>
          <w:sz w:val="20"/>
          <w:szCs w:val="20"/>
          <w:color w:val="auto"/>
        </w:rPr>
      </w:pPr>
    </w:p>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performance of Symbotic’s business and operations;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regarding revenues, expenses, adjusted EBITDA and anticipated cash needs;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regarding cash flow, liquidity and sources of funding;</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regarding capital expenditures;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anticipated benefits of Symbotic’s leadership structure;</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pending and future legislation;</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disruption;</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 to the business due to Symbotic’s dependency on certain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4" w:name="page5"/>
    <w:bookmarkEnd w:id="4"/>
    <w:p>
      <w:pPr>
        <w:spacing w:after="0" w:line="45" w:lineRule="exact"/>
        <w:rPr>
          <w:sz w:val="20"/>
          <w:szCs w:val="20"/>
          <w:color w:val="auto"/>
        </w:rPr>
      </w:pPr>
    </w:p>
    <w:p>
      <w:pPr>
        <w:ind w:left="620" w:hanging="300"/>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competition in the warehouse automation industry;</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delays in the design, production or launch of Symbotic’s systems and products;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meet customers’ requirements under existing or future contracts or customer’s expectations as to price or pricing structure;</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defects in new products or enhancements to existing products;</w:t>
      </w:r>
    </w:p>
    <w:p>
      <w:pPr>
        <w:spacing w:after="0" w:line="66" w:lineRule="exact"/>
        <w:rPr>
          <w:rFonts w:ascii="Times New Roman" w:cs="Times New Roman" w:eastAsia="Times New Roman" w:hAnsi="Times New Roman"/>
          <w:sz w:val="17"/>
          <w:szCs w:val="17"/>
          <w:color w:val="auto"/>
        </w:rPr>
      </w:pPr>
    </w:p>
    <w:p>
      <w:pPr>
        <w:ind w:left="640" w:right="500" w:hanging="320"/>
        <w:spacing w:after="0" w:line="289" w:lineRule="auto"/>
        <w:tabs>
          <w:tab w:leader="none" w:pos="6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fluctuation of operating results from period to period due to a number of factors, including the pace of customer adoption of Symbotic’s new products and services and any changes in its product mix that shift too far into lower gross margin products; and</w:t>
      </w:r>
    </w:p>
    <w:p>
      <w:pPr>
        <w:spacing w:after="0" w:line="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consequences associated with joint ventures and legislative and regulatory actions and reforms.</w:t>
      </w:r>
    </w:p>
    <w:p>
      <w:pPr>
        <w:spacing w:after="0" w:line="67" w:lineRule="exact"/>
        <w:rPr>
          <w:sz w:val="20"/>
          <w:szCs w:val="20"/>
          <w:color w:val="auto"/>
        </w:rPr>
      </w:pPr>
    </w:p>
    <w:p>
      <w:pPr>
        <w:ind w:firstLine="315"/>
        <w:spacing w:after="0" w:line="261" w:lineRule="auto"/>
        <w:rPr>
          <w:sz w:val="20"/>
          <w:szCs w:val="20"/>
          <w:color w:val="auto"/>
        </w:rPr>
      </w:pPr>
      <w:r>
        <w:rPr>
          <w:rFonts w:ascii="Times New Roman" w:cs="Times New Roman" w:eastAsia="Times New Roman" w:hAnsi="Times New Roman"/>
          <w:sz w:val="17"/>
          <w:szCs w:val="17"/>
          <w:color w:val="auto"/>
        </w:rPr>
        <w:t>Such forward-looking statements involve risks and uncertainties that may cause actual events, results or performance to differ materially from those indicated by such statements. Certain of these risks are identified and discussed in other sections of this Quarterly Report on Form 10-Q and in the Company’s Annual Report on Form 10-K filed with the U.S. Securities and Exchange Commission (“SEC”) on December 4, 2024. These risk factors will be important to consider in determining future results and should be reviewed in their entirety. These forward-looking statements are expressed in good faith, and the Company believes there is a reasonable basis for them. However, there can be no assurance that the events, results or trends identified in these forward-looking statements will occur or be achieved. Forward-looking statements are provided for the purposes of assisting the reader in understanding the Company’s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the Company believes that the assumptions and expectations reflected in the forward-looking statements are reasonable based on information currently available to management, there is no assurance that such assumptions and expectations will prove to have been correct.</w:t>
      </w:r>
    </w:p>
    <w:p>
      <w:pPr>
        <w:spacing w:after="0" w:line="22" w:lineRule="exact"/>
        <w:rPr>
          <w:sz w:val="20"/>
          <w:szCs w:val="20"/>
          <w:color w:val="auto"/>
        </w:rPr>
      </w:pPr>
    </w:p>
    <w:p>
      <w:pPr>
        <w:ind w:right="100" w:firstLine="315"/>
        <w:spacing w:after="0" w:line="270" w:lineRule="auto"/>
        <w:rPr>
          <w:sz w:val="20"/>
          <w:szCs w:val="20"/>
          <w:color w:val="auto"/>
        </w:rPr>
      </w:pPr>
      <w:r>
        <w:rPr>
          <w:rFonts w:ascii="Times New Roman" w:cs="Times New Roman" w:eastAsia="Times New Roman" w:hAnsi="Times New Roman"/>
          <w:sz w:val="17"/>
          <w:szCs w:val="17"/>
          <w:color w:val="auto"/>
        </w:rPr>
        <w:t>The forward-looking statements made in this Quarterly Report on Form 10-Q relate only to events as of the date on which the statements are made and are based on the beliefs, estimates, expectations and opinions of management on that date. The Company is not under any obligation, and expressly disclaims any obligation, to update, alter or otherwise revise any forward-looking statements made in this Quarterly Report on Form 10-Q, whether as a result of new information, future events or otherwise, except as required by law.</w:t>
      </w:r>
    </w:p>
    <w:p>
      <w:pPr>
        <w:spacing w:after="0" w:line="12" w:lineRule="exact"/>
        <w:rPr>
          <w:sz w:val="20"/>
          <w:szCs w:val="20"/>
          <w:color w:val="auto"/>
        </w:rPr>
      </w:pPr>
    </w:p>
    <w:p>
      <w:pPr>
        <w:ind w:right="120" w:firstLine="315"/>
        <w:spacing w:after="0" w:line="270" w:lineRule="auto"/>
        <w:rPr>
          <w:sz w:val="20"/>
          <w:szCs w:val="20"/>
          <w:color w:val="auto"/>
        </w:rPr>
      </w:pPr>
      <w:r>
        <w:rPr>
          <w:rFonts w:ascii="Times New Roman" w:cs="Times New Roman" w:eastAsia="Times New Roman" w:hAnsi="Times New Roman"/>
          <w:sz w:val="17"/>
          <w:szCs w:val="17"/>
          <w:color w:val="auto"/>
        </w:rPr>
        <w:t>In addition to factors previously disclosed in the Company’s Annual Report on Form 10-K filed with the SEC on December 4, 2024, and those identified elsewhere in this Quarterly Report on Form 10-Q, the following factors, among others, could cause actual results to differ materially from forward-looking statements or historical performance: failure to realize the benefits expected from adding to Symbotic’s base of outsourcing partners and the effects of pending and future legislation.</w:t>
      </w:r>
    </w:p>
    <w:p>
      <w:pPr>
        <w:spacing w:after="0" w:line="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Annualized and estimated numbers are not forecasts and may not reflect actual results.</w:t>
      </w:r>
    </w:p>
    <w:p>
      <w:pPr>
        <w:spacing w:after="0" w:line="67" w:lineRule="exact"/>
        <w:rPr>
          <w:sz w:val="20"/>
          <w:szCs w:val="20"/>
          <w:color w:val="auto"/>
        </w:rPr>
      </w:pPr>
    </w:p>
    <w:p>
      <w:pPr>
        <w:ind w:firstLine="315"/>
        <w:spacing w:after="0" w:line="297" w:lineRule="auto"/>
        <w:rPr>
          <w:sz w:val="20"/>
          <w:szCs w:val="20"/>
          <w:color w:val="auto"/>
        </w:rPr>
      </w:pPr>
      <w:r>
        <w:rPr>
          <w:rFonts w:ascii="Times New Roman" w:cs="Times New Roman" w:eastAsia="Times New Roman" w:hAnsi="Times New Roman"/>
          <w:sz w:val="17"/>
          <w:szCs w:val="17"/>
          <w:color w:val="auto"/>
        </w:rPr>
        <w:t>In this Quarterly Report on Form 10-Q, the terms “Symbotic,” “we,” “us,” and “our” refer to Symbotic Inc. and its subsidiaries, unless the context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Unaudited Condensed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Symbotic Inc.</w:t>
      </w:r>
    </w:p>
    <w:p>
      <w:pPr>
        <w:spacing w:after="0" w:line="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Unaudited Condensed Consolidated Balance Sheets</w:t>
      </w:r>
    </w:p>
    <w:p>
      <w:pPr>
        <w:spacing w:after="0" w:line="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(in thousands, except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20" w:type="dxa"/>
            <w:vAlign w:val="bottom"/>
          </w:tcPr>
          <w:p>
            <w:pPr>
              <w:spacing w:after="0"/>
              <w:rPr>
                <w:sz w:val="18"/>
                <w:szCs w:val="18"/>
                <w:color w:val="auto"/>
              </w:rPr>
            </w:pPr>
          </w:p>
        </w:tc>
        <w:tc>
          <w:tcPr>
            <w:tcW w:w="148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8"/>
              </w:rPr>
              <w:t>September 28, 2024</w:t>
            </w:r>
          </w:p>
        </w:tc>
      </w:tr>
      <w:tr>
        <w:trPr>
          <w:trHeight w:val="31"/>
        </w:trPr>
        <w:tc>
          <w:tcPr>
            <w:tcW w:w="4020" w:type="dxa"/>
            <w:vAlign w:val="bottom"/>
          </w:tcPr>
          <w:p>
            <w:pPr>
              <w:spacing w:after="0"/>
              <w:rPr>
                <w:sz w:val="2"/>
                <w:szCs w:val="2"/>
                <w:color w:val="auto"/>
              </w:rPr>
            </w:pPr>
          </w:p>
        </w:tc>
        <w:tc>
          <w:tcPr>
            <w:tcW w:w="41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6"/>
        </w:trPr>
        <w:tc>
          <w:tcPr>
            <w:tcW w:w="4020" w:type="dxa"/>
            <w:vAlign w:val="bottom"/>
          </w:tcPr>
          <w:p>
            <w:pPr>
              <w:spacing w:after="0"/>
              <w:rPr>
                <w:sz w:val="18"/>
                <w:szCs w:val="18"/>
                <w:color w:val="auto"/>
              </w:rPr>
            </w:pPr>
          </w:p>
        </w:tc>
        <w:tc>
          <w:tcPr>
            <w:tcW w:w="3920" w:type="dxa"/>
            <w:vAlign w:val="bottom"/>
          </w:tcPr>
          <w:p>
            <w:pPr>
              <w:jc w:val="center"/>
              <w:ind w:right="633"/>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40"/>
        </w:trPr>
        <w:tc>
          <w:tcPr>
            <w:tcW w:w="402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36"/>
        </w:trPr>
        <w:tc>
          <w:tcPr>
            <w:tcW w:w="4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12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954,944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727,310</w:t>
            </w:r>
          </w:p>
        </w:tc>
      </w:tr>
      <w:tr>
        <w:trPr>
          <w:trHeight w:val="40"/>
        </w:trPr>
        <w:tc>
          <w:tcPr>
            <w:tcW w:w="402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5"/>
        </w:trPr>
        <w:tc>
          <w:tcPr>
            <w:tcW w:w="4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w:t>
            </w:r>
          </w:p>
        </w:tc>
        <w:tc>
          <w:tcPr>
            <w:tcW w:w="3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201,548</w:t>
            </w:r>
          </w:p>
        </w:tc>
      </w:tr>
      <w:tr>
        <w:trPr>
          <w:trHeight w:val="236"/>
        </w:trPr>
        <w:tc>
          <w:tcPr>
            <w:tcW w:w="4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Unbilled accounts receivable</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218,233</w:t>
            </w:r>
          </w:p>
        </w:tc>
      </w:tr>
      <w:tr>
        <w:trPr>
          <w:trHeight w:val="40"/>
        </w:trPr>
        <w:tc>
          <w:tcPr>
            <w:tcW w:w="402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5"/>
        </w:trPr>
        <w:tc>
          <w:tcPr>
            <w:tcW w:w="4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Inventories</w:t>
            </w:r>
          </w:p>
        </w:tc>
        <w:tc>
          <w:tcPr>
            <w:tcW w:w="3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106,136</w:t>
            </w:r>
          </w:p>
        </w:tc>
      </w:tr>
      <w:tr>
        <w:trPr>
          <w:trHeight w:val="236"/>
        </w:trPr>
        <w:tc>
          <w:tcPr>
            <w:tcW w:w="4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expenses</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w:t>
            </w:r>
          </w:p>
        </w:tc>
      </w:tr>
      <w:tr>
        <w:trPr>
          <w:trHeight w:val="40"/>
        </w:trPr>
        <w:tc>
          <w:tcPr>
            <w:tcW w:w="402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75"/>
        </w:trPr>
        <w:tc>
          <w:tcPr>
            <w:tcW w:w="4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9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93,966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101,252</w:t>
            </w:r>
          </w:p>
        </w:tc>
      </w:tr>
      <w:tr>
        <w:trPr>
          <w:trHeight w:val="229"/>
        </w:trPr>
        <w:tc>
          <w:tcPr>
            <w:tcW w:w="40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current assets</w:t>
            </w:r>
          </w:p>
        </w:tc>
        <w:tc>
          <w:tcPr>
            <w:tcW w:w="39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1,497,980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1,355,537</w:t>
            </w:r>
          </w:p>
        </w:tc>
      </w:tr>
      <w:tr>
        <w:trPr>
          <w:trHeight w:val="40"/>
        </w:trPr>
        <w:tc>
          <w:tcPr>
            <w:tcW w:w="402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97,109</w:t>
            </w:r>
          </w:p>
        </w:tc>
      </w:tr>
      <w:tr>
        <w:trPr>
          <w:trHeight w:val="23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3,664</w:t>
            </w:r>
          </w:p>
        </w:tc>
      </w:tr>
      <w:tr>
        <w:trPr>
          <w:trHeight w:val="40"/>
        </w:trPr>
        <w:tc>
          <w:tcPr>
            <w:tcW w:w="402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method investment</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81,289</w:t>
            </w:r>
          </w:p>
        </w:tc>
      </w:tr>
      <w:tr>
        <w:trPr>
          <w:trHeight w:val="40"/>
        </w:trPr>
        <w:tc>
          <w:tcPr>
            <w:tcW w:w="402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7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9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40,953</w:t>
            </w:r>
          </w:p>
        </w:tc>
      </w:tr>
      <w:tr>
        <w:trPr>
          <w:trHeight w:val="262"/>
        </w:trPr>
        <w:tc>
          <w:tcPr>
            <w:tcW w:w="40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assets</w:t>
            </w:r>
          </w:p>
        </w:tc>
        <w:tc>
          <w:tcPr>
            <w:tcW w:w="39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1,964,185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1,578,552</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8"/>
        </w:trPr>
        <w:tc>
          <w:tcPr>
            <w:tcW w:w="4020" w:type="dxa"/>
            <w:vAlign w:val="bottom"/>
            <w:tcBorders>
              <w:bottom w:val="single" w:sz="8" w:color="CCEEFF"/>
            </w:tcBorders>
            <w:shd w:val="clear" w:color="auto" w:fill="CCEEFF"/>
          </w:tcPr>
          <w:p>
            <w:pPr>
              <w:spacing w:after="0"/>
              <w:rPr>
                <w:sz w:val="19"/>
                <w:szCs w:val="19"/>
                <w:color w:val="auto"/>
              </w:rPr>
            </w:pPr>
          </w:p>
        </w:tc>
        <w:tc>
          <w:tcPr>
            <w:tcW w:w="3920" w:type="dxa"/>
            <w:vAlign w:val="bottom"/>
            <w:tcBorders>
              <w:bottom w:val="single" w:sz="8" w:color="CCEEFF"/>
            </w:tcBorders>
            <w:shd w:val="clear" w:color="auto" w:fill="CCEEFF"/>
          </w:tcPr>
          <w:p>
            <w:pPr>
              <w:jc w:val="center"/>
              <w:ind w:right="633"/>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r>
      <w:tr>
        <w:trPr>
          <w:trHeight w:val="23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0"/>
        </w:trPr>
        <w:tc>
          <w:tcPr>
            <w:tcW w:w="402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5"/>
        </w:trPr>
        <w:tc>
          <w:tcPr>
            <w:tcW w:w="4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payable</w:t>
            </w:r>
          </w:p>
        </w:tc>
        <w:tc>
          <w:tcPr>
            <w:tcW w:w="4120" w:type="dxa"/>
            <w:vAlign w:val="bottom"/>
            <w:tcBorders>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220,027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175,188</w:t>
            </w:r>
          </w:p>
        </w:tc>
      </w:tr>
      <w:tr>
        <w:trPr>
          <w:trHeight w:val="236"/>
        </w:trPr>
        <w:tc>
          <w:tcPr>
            <w:tcW w:w="4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166,269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165,644</w:t>
            </w:r>
          </w:p>
        </w:tc>
      </w:tr>
      <w:tr>
        <w:trPr>
          <w:trHeight w:val="40"/>
        </w:trPr>
        <w:tc>
          <w:tcPr>
            <w:tcW w:w="402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75"/>
        </w:trPr>
        <w:tc>
          <w:tcPr>
            <w:tcW w:w="4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revenue</w:t>
            </w:r>
          </w:p>
        </w:tc>
        <w:tc>
          <w:tcPr>
            <w:tcW w:w="39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1,086,297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676,314</w:t>
            </w:r>
          </w:p>
        </w:tc>
      </w:tr>
      <w:tr>
        <w:trPr>
          <w:trHeight w:val="229"/>
        </w:trPr>
        <w:tc>
          <w:tcPr>
            <w:tcW w:w="40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9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1,472,593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1,017,146</w:t>
            </w:r>
          </w:p>
        </w:tc>
      </w:tr>
      <w:tr>
        <w:trPr>
          <w:trHeight w:val="40"/>
        </w:trPr>
        <w:tc>
          <w:tcPr>
            <w:tcW w:w="402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3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129,233</w:t>
            </w:r>
          </w:p>
        </w:tc>
      </w:tr>
      <w:tr>
        <w:trPr>
          <w:trHeight w:val="23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42,043</w:t>
            </w:r>
          </w:p>
        </w:tc>
      </w:tr>
      <w:tr>
        <w:trPr>
          <w:trHeight w:val="40"/>
        </w:trPr>
        <w:tc>
          <w:tcPr>
            <w:tcW w:w="4020" w:type="dxa"/>
            <w:vAlign w:val="bottom"/>
            <w:tcBorders>
              <w:bottom w:val="single" w:sz="8" w:color="CCEEFF"/>
            </w:tcBorders>
          </w:tcPr>
          <w:p>
            <w:pPr>
              <w:spacing w:after="0"/>
              <w:rPr>
                <w:sz w:val="3"/>
                <w:szCs w:val="3"/>
                <w:color w:val="auto"/>
              </w:rPr>
            </w:pPr>
          </w:p>
        </w:tc>
        <w:tc>
          <w:tcPr>
            <w:tcW w:w="39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68"/>
        </w:trPr>
        <w:tc>
          <w:tcPr>
            <w:tcW w:w="4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 liabilities</w:t>
            </w:r>
          </w:p>
        </w:tc>
        <w:tc>
          <w:tcPr>
            <w:tcW w:w="39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1,542,611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1,188,422</w:t>
            </w:r>
          </w:p>
        </w:tc>
      </w:tr>
      <w:tr>
        <w:trPr>
          <w:trHeight w:val="242"/>
        </w:trPr>
        <w:tc>
          <w:tcPr>
            <w:tcW w:w="40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3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14)</w:t>
            </w:r>
          </w:p>
        </w:tc>
        <w:tc>
          <w:tcPr>
            <w:tcW w:w="3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4020" w:type="dxa"/>
            <w:vAlign w:val="bottom"/>
            <w:shd w:val="clear" w:color="auto" w:fill="CCEEFF"/>
          </w:tcPr>
          <w:p>
            <w:pPr>
              <w:spacing w:after="0"/>
              <w:rPr>
                <w:sz w:val="3"/>
                <w:szCs w:val="3"/>
                <w:color w:val="auto"/>
              </w:rPr>
            </w:pPr>
          </w:p>
        </w:tc>
        <w:tc>
          <w:tcPr>
            <w:tcW w:w="3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136130" cy="174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17462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Equity:</w:t>
      </w:r>
    </w:p>
    <w:p>
      <w:pPr>
        <w:spacing w:after="0" w:line="80" w:lineRule="exact"/>
        <w:rPr>
          <w:sz w:val="20"/>
          <w:szCs w:val="20"/>
          <w:color w:val="auto"/>
        </w:rPr>
      </w:pPr>
    </w:p>
    <w:p>
      <w:pPr>
        <w:ind w:left="340" w:right="780"/>
        <w:spacing w:after="0" w:line="297" w:lineRule="auto"/>
        <w:rPr>
          <w:sz w:val="20"/>
          <w:szCs w:val="20"/>
          <w:color w:val="auto"/>
        </w:rPr>
      </w:pPr>
      <w:r>
        <w:rPr>
          <w:rFonts w:ascii="Times New Roman" w:cs="Times New Roman" w:eastAsia="Times New Roman" w:hAnsi="Times New Roman"/>
          <w:sz w:val="17"/>
          <w:szCs w:val="17"/>
          <w:color w:val="auto"/>
        </w:rPr>
        <w:t>Class A Common Stock, 3,000,000,000 shares authorized, 108,380,772 and 104,689,377 shares issued and outstanding at March 29, 2025 and September 28,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136130" cy="307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307975"/>
                    </a:xfrm>
                    <a:prstGeom prst="rect">
                      <a:avLst/>
                    </a:prstGeom>
                    <a:noFill/>
                  </pic:spPr>
                </pic:pic>
              </a:graphicData>
            </a:graphic>
          </wp:anchor>
        </w:drawing>
      </w:r>
    </w:p>
    <w:p>
      <w:pPr>
        <w:ind w:left="340" w:right="820"/>
        <w:spacing w:after="0" w:line="313" w:lineRule="auto"/>
        <w:rPr>
          <w:sz w:val="20"/>
          <w:szCs w:val="20"/>
          <w:color w:val="auto"/>
        </w:rPr>
      </w:pPr>
      <w:r>
        <w:rPr>
          <w:rFonts w:ascii="Times New Roman" w:cs="Times New Roman" w:eastAsia="Times New Roman" w:hAnsi="Times New Roman"/>
          <w:sz w:val="17"/>
          <w:szCs w:val="17"/>
          <w:color w:val="auto"/>
        </w:rPr>
        <w:t>Class V-1 Common Stock, 1,000,000,000 shares authorized, 76,223,325 and 76,965,386 shares issued and outstanding at March 29, 2025 and September 28, 2024,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Times New Roman" w:cs="Times New Roman" w:eastAsia="Times New Roman" w:hAnsi="Times New Roman"/>
          <w:sz w:val="17"/>
          <w:szCs w:val="17"/>
          <w:color w:val="auto"/>
        </w:rPr>
        <w:t>13</w:t>
      </w:r>
    </w:p>
    <w:p>
      <w:pPr>
        <w:spacing w:after="0" w:line="290"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17"/>
          <w:szCs w:val="17"/>
          <w:color w:val="auto"/>
        </w:rPr>
        <w:t>7</w:t>
      </w:r>
      <w:r>
        <w:rPr>
          <w:sz w:val="20"/>
          <w:szCs w:val="20"/>
          <w:color w:val="auto"/>
        </w:rPr>
        <w:tab/>
      </w:r>
      <w:r>
        <w:rPr>
          <w:rFonts w:ascii="Times New Roman" w:cs="Times New Roman" w:eastAsia="Times New Roman" w:hAnsi="Times New Roman"/>
          <w:sz w:val="17"/>
          <w:szCs w:val="17"/>
          <w:color w:val="auto"/>
        </w:rPr>
        <w:t>7</w:t>
      </w:r>
    </w:p>
    <w:p>
      <w:pPr>
        <w:spacing w:after="0" w:line="304" w:lineRule="exact"/>
        <w:rPr>
          <w:sz w:val="20"/>
          <w:szCs w:val="20"/>
          <w:color w:val="auto"/>
        </w:rPr>
      </w:pPr>
    </w:p>
    <w:p>
      <w:pPr>
        <w:sectPr>
          <w:pgSz w:w="11900" w:h="16838" w:orient="portrait"/>
          <w:cols w:equalWidth="0" w:num="2">
            <w:col w:w="8580" w:space="720"/>
            <w:col w:w="1940"/>
          </w:cols>
          <w:pgMar w:left="320" w:top="17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6" w:name="page7"/>
    <w:bookmarkEnd w:id="6"/>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Class V-3 Common Stock, 450,000,000 shares authorized, 404,309,196 shares issued and outstanding at</w:t>
            </w:r>
          </w:p>
        </w:tc>
        <w:tc>
          <w:tcPr>
            <w:tcW w:w="44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28"/>
        </w:trPr>
        <w:tc>
          <w:tcPr>
            <w:tcW w:w="79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March 29, 2025 and September 28, 2024</w:t>
            </w:r>
          </w:p>
        </w:tc>
        <w:tc>
          <w:tcPr>
            <w:tcW w:w="4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1,539,378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1,523,692</w:t>
            </w:r>
          </w:p>
        </w:tc>
        <w:tc>
          <w:tcPr>
            <w:tcW w:w="0" w:type="dxa"/>
            <w:vAlign w:val="bottom"/>
          </w:tcPr>
          <w:p>
            <w:pPr>
              <w:spacing w:after="0"/>
              <w:rPr>
                <w:sz w:val="1"/>
                <w:szCs w:val="1"/>
                <w:color w:val="auto"/>
              </w:rPr>
            </w:pPr>
          </w:p>
        </w:tc>
      </w:tr>
      <w:tr>
        <w:trPr>
          <w:trHeight w:val="236"/>
        </w:trPr>
        <w:tc>
          <w:tcPr>
            <w:tcW w:w="79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Accumulated deficit</w:t>
            </w: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(1,331,326)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(1,323,925)</w:t>
            </w:r>
          </w:p>
        </w:tc>
        <w:tc>
          <w:tcPr>
            <w:tcW w:w="0" w:type="dxa"/>
            <w:vAlign w:val="bottom"/>
          </w:tcPr>
          <w:p>
            <w:pPr>
              <w:spacing w:after="0"/>
              <w:rPr>
                <w:sz w:val="1"/>
                <w:szCs w:val="1"/>
                <w:color w:val="auto"/>
              </w:rPr>
            </w:pPr>
          </w:p>
        </w:tc>
      </w:tr>
      <w:tr>
        <w:trPr>
          <w:trHeight w:val="40"/>
        </w:trPr>
        <w:tc>
          <w:tcPr>
            <w:tcW w:w="7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(2,594)</w:t>
            </w:r>
          </w:p>
        </w:tc>
        <w:tc>
          <w:tcPr>
            <w:tcW w:w="0" w:type="dxa"/>
            <w:vAlign w:val="bottom"/>
          </w:tcPr>
          <w:p>
            <w:pPr>
              <w:spacing w:after="0"/>
              <w:rPr>
                <w:sz w:val="1"/>
                <w:szCs w:val="1"/>
                <w:color w:val="auto"/>
              </w:rPr>
            </w:pPr>
          </w:p>
        </w:tc>
      </w:tr>
      <w:tr>
        <w:trPr>
          <w:trHeight w:val="229"/>
        </w:trPr>
        <w:tc>
          <w:tcPr>
            <w:tcW w:w="7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4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205,414</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197,233</w:t>
            </w:r>
          </w:p>
        </w:tc>
        <w:tc>
          <w:tcPr>
            <w:tcW w:w="0" w:type="dxa"/>
            <w:vAlign w:val="bottom"/>
          </w:tcPr>
          <w:p>
            <w:pPr>
              <w:spacing w:after="0"/>
              <w:rPr>
                <w:sz w:val="1"/>
                <w:szCs w:val="1"/>
                <w:color w:val="auto"/>
              </w:rPr>
            </w:pPr>
          </w:p>
        </w:tc>
      </w:tr>
      <w:tr>
        <w:trPr>
          <w:trHeight w:val="40"/>
        </w:trPr>
        <w:tc>
          <w:tcPr>
            <w:tcW w:w="7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Noncontrolling interest</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216,160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192,897</w:t>
            </w:r>
          </w:p>
        </w:tc>
        <w:tc>
          <w:tcPr>
            <w:tcW w:w="0" w:type="dxa"/>
            <w:vAlign w:val="bottom"/>
          </w:tcPr>
          <w:p>
            <w:pPr>
              <w:spacing w:after="0"/>
              <w:rPr>
                <w:sz w:val="1"/>
                <w:szCs w:val="1"/>
                <w:color w:val="auto"/>
              </w:rPr>
            </w:pPr>
          </w:p>
        </w:tc>
      </w:tr>
      <w:tr>
        <w:trPr>
          <w:trHeight w:val="229"/>
        </w:trPr>
        <w:tc>
          <w:tcPr>
            <w:tcW w:w="7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equity</w:t>
            </w:r>
          </w:p>
        </w:tc>
        <w:tc>
          <w:tcPr>
            <w:tcW w:w="4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421,574</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390,130</w:t>
            </w:r>
          </w:p>
        </w:tc>
        <w:tc>
          <w:tcPr>
            <w:tcW w:w="0" w:type="dxa"/>
            <w:vAlign w:val="bottom"/>
          </w:tcPr>
          <w:p>
            <w:pPr>
              <w:spacing w:after="0"/>
              <w:rPr>
                <w:sz w:val="1"/>
                <w:szCs w:val="1"/>
                <w:color w:val="auto"/>
              </w:rPr>
            </w:pPr>
          </w:p>
        </w:tc>
      </w:tr>
      <w:tr>
        <w:trPr>
          <w:trHeight w:val="40"/>
        </w:trPr>
        <w:tc>
          <w:tcPr>
            <w:tcW w:w="79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1,964,185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1,578,552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7" w:name="page8"/>
    <w:bookmarkEnd w:id="7"/>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Symbotic Inc.</w:t>
      </w:r>
    </w:p>
    <w:p>
      <w:pPr>
        <w:spacing w:after="0" w:line="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Operations</w:t>
      </w:r>
    </w:p>
    <w:p>
      <w:pPr>
        <w:spacing w:after="0" w:line="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(in thousands, except share and per share information)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8"/>
                <w:szCs w:val="18"/>
                <w:color w:val="auto"/>
              </w:rPr>
            </w:pPr>
          </w:p>
        </w:tc>
        <w:tc>
          <w:tcPr>
            <w:tcW w:w="2640" w:type="dxa"/>
            <w:vAlign w:val="bottom"/>
            <w:gridSpan w:val="4"/>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31"/>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2"/>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4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1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4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7"/>
              </w:rPr>
              <w:t>March 30, 2024</w:t>
            </w:r>
          </w:p>
        </w:tc>
      </w:tr>
      <w:tr>
        <w:trPr>
          <w:trHeight w:val="31"/>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5"/>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Revenue:</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6"/>
        </w:trPr>
        <w:tc>
          <w:tcPr>
            <w:tcW w:w="5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Systems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513,372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370,693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977,431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718,398</w:t>
            </w:r>
          </w:p>
        </w:tc>
      </w:tr>
      <w:tr>
        <w:trPr>
          <w:trHeight w:val="40"/>
        </w:trPr>
        <w:tc>
          <w:tcPr>
            <w:tcW w:w="5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5"/>
        </w:trPr>
        <w:tc>
          <w:tcPr>
            <w:tcW w:w="5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Software maintenance and support</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4,735</w:t>
            </w:r>
          </w:p>
        </w:tc>
      </w:tr>
      <w:tr>
        <w:trPr>
          <w:trHeight w:val="236"/>
        </w:trPr>
        <w:tc>
          <w:tcPr>
            <w:tcW w:w="5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Operation services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30,142</w:t>
            </w:r>
          </w:p>
        </w:tc>
      </w:tr>
      <w:tr>
        <w:trPr>
          <w:trHeight w:val="40"/>
        </w:trPr>
        <w:tc>
          <w:tcPr>
            <w:tcW w:w="56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8"/>
        </w:trPr>
        <w:tc>
          <w:tcPr>
            <w:tcW w:w="56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Total revenue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549,651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393,332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1,036,344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753,275</w:t>
            </w:r>
          </w:p>
        </w:tc>
      </w:tr>
      <w:tr>
        <w:trPr>
          <w:trHeight w:val="236"/>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Cost of revenue:</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0"/>
        </w:trPr>
        <w:tc>
          <w:tcPr>
            <w:tcW w:w="5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5"/>
        </w:trPr>
        <w:tc>
          <w:tcPr>
            <w:tcW w:w="5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Systems</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414,560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342,124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796,378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626,071</w:t>
            </w:r>
          </w:p>
        </w:tc>
      </w:tr>
      <w:tr>
        <w:trPr>
          <w:trHeight w:val="236"/>
        </w:trPr>
        <w:tc>
          <w:tcPr>
            <w:tcW w:w="5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Software maintenance and support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3,662</w:t>
            </w:r>
          </w:p>
        </w:tc>
      </w:tr>
      <w:tr>
        <w:trPr>
          <w:trHeight w:val="40"/>
        </w:trPr>
        <w:tc>
          <w:tcPr>
            <w:tcW w:w="5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5"/>
        </w:trPr>
        <w:tc>
          <w:tcPr>
            <w:tcW w:w="5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Operation services</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25,168</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48,120</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29,266</w:t>
            </w:r>
          </w:p>
        </w:tc>
      </w:tr>
      <w:tr>
        <w:trPr>
          <w:trHeight w:val="229"/>
        </w:trPr>
        <w:tc>
          <w:tcPr>
            <w:tcW w:w="56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Total cost of revenue</w:t>
            </w: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441,823</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363,112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848,477</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658,999</w:t>
            </w:r>
          </w:p>
        </w:tc>
      </w:tr>
      <w:tr>
        <w:trPr>
          <w:trHeight w:val="40"/>
        </w:trPr>
        <w:tc>
          <w:tcPr>
            <w:tcW w:w="56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68"/>
        </w:trPr>
        <w:tc>
          <w:tcPr>
            <w:tcW w:w="5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Gross profit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107,828</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187,867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94,276</w:t>
            </w: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Operating expenses:</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40"/>
        </w:trPr>
        <w:tc>
          <w:tcPr>
            <w:tcW w:w="5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5"/>
        </w:trPr>
        <w:tc>
          <w:tcPr>
            <w:tcW w:w="5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61,540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105,133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88,606</w:t>
            </w:r>
          </w:p>
        </w:tc>
      </w:tr>
      <w:tr>
        <w:trPr>
          <w:trHeight w:val="236"/>
        </w:trPr>
        <w:tc>
          <w:tcPr>
            <w:tcW w:w="5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139,421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95,663</w:t>
            </w:r>
          </w:p>
        </w:tc>
      </w:tr>
      <w:tr>
        <w:trPr>
          <w:trHeight w:val="40"/>
        </w:trPr>
        <w:tc>
          <w:tcPr>
            <w:tcW w:w="56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68"/>
        </w:trPr>
        <w:tc>
          <w:tcPr>
            <w:tcW w:w="56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139,887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244,554</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184,269</w:t>
            </w:r>
          </w:p>
        </w:tc>
      </w:tr>
      <w:tr>
        <w:trPr>
          <w:trHeight w:val="229"/>
        </w:trPr>
        <w:tc>
          <w:tcPr>
            <w:tcW w:w="5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loss</w:t>
            </w: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(32,059)</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(64,894)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(56,687)</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(89,993)</w:t>
            </w:r>
          </w:p>
        </w:tc>
      </w:tr>
      <w:tr>
        <w:trPr>
          <w:trHeight w:val="40"/>
        </w:trPr>
        <w:tc>
          <w:tcPr>
            <w:tcW w:w="5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5"/>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11,714</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19,536</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16,011</w:t>
            </w:r>
          </w:p>
        </w:tc>
      </w:tr>
      <w:tr>
        <w:trPr>
          <w:trHeight w:val="229"/>
        </w:trPr>
        <w:tc>
          <w:tcPr>
            <w:tcW w:w="5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Loss before income tax and equity method investment</w:t>
            </w: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(20,345)</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(55,082)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(37,151)</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(73,982)</w:t>
            </w:r>
          </w:p>
        </w:tc>
      </w:tr>
      <w:tr>
        <w:trPr>
          <w:trHeight w:val="40"/>
        </w:trPr>
        <w:tc>
          <w:tcPr>
            <w:tcW w:w="5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5"/>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36"/>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equity method investment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6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8"/>
        </w:trPr>
        <w:tc>
          <w:tcPr>
            <w:tcW w:w="5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loss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(21,438)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(39,958)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(73,902)</w:t>
            </w:r>
          </w:p>
        </w:tc>
      </w:tr>
      <w:tr>
        <w:trPr>
          <w:trHeight w:val="236"/>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(62,257)</w:t>
            </w:r>
          </w:p>
        </w:tc>
      </w:tr>
      <w:tr>
        <w:trPr>
          <w:trHeight w:val="40"/>
        </w:trPr>
        <w:tc>
          <w:tcPr>
            <w:tcW w:w="56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87"/>
        </w:trPr>
        <w:tc>
          <w:tcPr>
            <w:tcW w:w="5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(3,925)</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(7,401)</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5"/>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per share of Class A Common Stock:</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36"/>
        </w:trPr>
        <w:tc>
          <w:tcPr>
            <w:tcW w:w="5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w:t>
            </w:r>
          </w:p>
        </w:tc>
      </w:tr>
      <w:tr>
        <w:trPr>
          <w:trHeight w:val="40"/>
        </w:trPr>
        <w:tc>
          <w:tcPr>
            <w:tcW w:w="5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5"/>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shares of Class A Common Stock outstanding:</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36"/>
        </w:trPr>
        <w:tc>
          <w:tcPr>
            <w:tcW w:w="5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 and Diluted</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107,726,978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93,043,769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106,900,622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88,155,791</w:t>
            </w:r>
          </w:p>
        </w:tc>
      </w:tr>
    </w:tbl>
    <w:p>
      <w:pPr>
        <w:spacing w:after="0" w:line="15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8" w:name="page9"/>
    <w:bookmarkEnd w:id="8"/>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Symbotic Inc.</w:t>
      </w:r>
    </w:p>
    <w:p>
      <w:pPr>
        <w:spacing w:after="0" w:line="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Comprehensive Loss</w:t>
      </w:r>
    </w:p>
    <w:p>
      <w:pPr>
        <w:spacing w:after="0" w:line="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8"/>
                <w:szCs w:val="18"/>
                <w:color w:val="auto"/>
              </w:rPr>
            </w:pPr>
          </w:p>
        </w:tc>
        <w:tc>
          <w:tcPr>
            <w:tcW w:w="2640" w:type="dxa"/>
            <w:vAlign w:val="bottom"/>
            <w:gridSpan w:val="4"/>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4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1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4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7"/>
              </w:rPr>
              <w:t>March 30, 2024</w:t>
            </w:r>
          </w:p>
        </w:tc>
        <w:tc>
          <w:tcPr>
            <w:tcW w:w="0" w:type="dxa"/>
            <w:vAlign w:val="bottom"/>
          </w:tcPr>
          <w:p>
            <w:pPr>
              <w:spacing w:after="0"/>
              <w:rPr>
                <w:sz w:val="1"/>
                <w:szCs w:val="1"/>
                <w:color w:val="auto"/>
              </w:rPr>
            </w:pPr>
          </w:p>
        </w:tc>
      </w:tr>
      <w:tr>
        <w:trPr>
          <w:trHeight w:val="31"/>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(21,438)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(39,958)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(73,902)</w:t>
            </w:r>
          </w:p>
        </w:tc>
        <w:tc>
          <w:tcPr>
            <w:tcW w:w="0" w:type="dxa"/>
            <w:vAlign w:val="bottom"/>
          </w:tcPr>
          <w:p>
            <w:pPr>
              <w:spacing w:after="0"/>
              <w:rPr>
                <w:sz w:val="1"/>
                <w:szCs w:val="1"/>
                <w:color w:val="auto"/>
              </w:rPr>
            </w:pPr>
          </w:p>
        </w:tc>
      </w:tr>
      <w:tr>
        <w:trPr>
          <w:trHeight w:val="236"/>
        </w:trPr>
        <w:tc>
          <w:tcPr>
            <w:tcW w:w="5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Less: Net loss attributable to noncontrolling interests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(62,257)</w:t>
            </w:r>
          </w:p>
        </w:tc>
        <w:tc>
          <w:tcPr>
            <w:tcW w:w="0" w:type="dxa"/>
            <w:vAlign w:val="bottom"/>
          </w:tcPr>
          <w:p>
            <w:pPr>
              <w:spacing w:after="0"/>
              <w:rPr>
                <w:sz w:val="1"/>
                <w:szCs w:val="1"/>
                <w:color w:val="auto"/>
              </w:rPr>
            </w:pPr>
          </w:p>
        </w:tc>
      </w:tr>
      <w:tr>
        <w:trPr>
          <w:trHeight w:val="40"/>
        </w:trPr>
        <w:tc>
          <w:tcPr>
            <w:tcW w:w="56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(3,925)</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(7,401)</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(11,645)</w:t>
            </w: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5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5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31"/>
        </w:trPr>
        <w:tc>
          <w:tcPr>
            <w:tcW w:w="5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Changes in unrealized gain on investments, net of income taxes of $— for</w:t>
            </w:r>
          </w:p>
        </w:tc>
        <w:tc>
          <w:tcPr>
            <w:tcW w:w="120" w:type="dxa"/>
            <w:vAlign w:val="bottom"/>
          </w:tcPr>
          <w:p>
            <w:pPr>
              <w:spacing w:after="0"/>
              <w:rPr>
                <w:sz w:val="20"/>
                <w:szCs w:val="20"/>
                <w:color w:val="auto"/>
              </w:rPr>
            </w:pPr>
          </w:p>
        </w:tc>
        <w:tc>
          <w:tcPr>
            <w:tcW w:w="1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(3,251)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vMerge w:val="restart"/>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(4,163)</w:t>
            </w:r>
          </w:p>
        </w:tc>
        <w:tc>
          <w:tcPr>
            <w:tcW w:w="0" w:type="dxa"/>
            <w:vAlign w:val="bottom"/>
          </w:tcPr>
          <w:p>
            <w:pPr>
              <w:spacing w:after="0"/>
              <w:rPr>
                <w:sz w:val="1"/>
                <w:szCs w:val="1"/>
                <w:color w:val="auto"/>
              </w:rPr>
            </w:pPr>
          </w:p>
        </w:tc>
      </w:tr>
      <w:tr>
        <w:trPr>
          <w:trHeight w:val="228"/>
        </w:trPr>
        <w:tc>
          <w:tcPr>
            <w:tcW w:w="5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three and six months ended March 29, 2025 and March 30, 2024</w:t>
            </w:r>
          </w:p>
        </w:tc>
        <w:tc>
          <w:tcPr>
            <w:tcW w:w="1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(4,304)</w:t>
            </w:r>
          </w:p>
        </w:tc>
        <w:tc>
          <w:tcPr>
            <w:tcW w:w="0" w:type="dxa"/>
            <w:vAlign w:val="bottom"/>
          </w:tcPr>
          <w:p>
            <w:pPr>
              <w:spacing w:after="0"/>
              <w:rPr>
                <w:sz w:val="1"/>
                <w:szCs w:val="1"/>
                <w:color w:val="auto"/>
              </w:rPr>
            </w:pPr>
          </w:p>
        </w:tc>
      </w:tr>
      <w:tr>
        <w:trPr>
          <w:trHeight w:val="236"/>
        </w:trPr>
        <w:tc>
          <w:tcPr>
            <w:tcW w:w="5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Less: other comprehensive loss attributable to noncontrolling interests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(3,618)</w:t>
            </w:r>
          </w:p>
        </w:tc>
        <w:tc>
          <w:tcPr>
            <w:tcW w:w="0" w:type="dxa"/>
            <w:vAlign w:val="bottom"/>
          </w:tcPr>
          <w:p>
            <w:pPr>
              <w:spacing w:after="0"/>
              <w:rPr>
                <w:sz w:val="1"/>
                <w:szCs w:val="1"/>
                <w:color w:val="auto"/>
              </w:rPr>
            </w:pPr>
          </w:p>
        </w:tc>
      </w:tr>
      <w:tr>
        <w:trPr>
          <w:trHeight w:val="40"/>
        </w:trPr>
        <w:tc>
          <w:tcPr>
            <w:tcW w:w="56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 attributable to common stockholders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loss</w:t>
            </w: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(21,451)</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(58,583)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(40,534)</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(78,206)</w:t>
            </w:r>
          </w:p>
        </w:tc>
        <w:tc>
          <w:tcPr>
            <w:tcW w:w="0" w:type="dxa"/>
            <w:vAlign w:val="bottom"/>
          </w:tcPr>
          <w:p>
            <w:pPr>
              <w:spacing w:after="0"/>
              <w:rPr>
                <w:sz w:val="1"/>
                <w:szCs w:val="1"/>
                <w:color w:val="auto"/>
              </w:rPr>
            </w:pPr>
          </w:p>
        </w:tc>
      </w:tr>
      <w:tr>
        <w:trPr>
          <w:trHeight w:val="40"/>
        </w:trPr>
        <w:tc>
          <w:tcPr>
            <w:tcW w:w="5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Less: Comprehensive loss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(17,524)</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(49,171)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(33,029)</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(65,875)</w:t>
            </w:r>
          </w:p>
        </w:tc>
        <w:tc>
          <w:tcPr>
            <w:tcW w:w="0" w:type="dxa"/>
            <w:vAlign w:val="bottom"/>
          </w:tcPr>
          <w:p>
            <w:pPr>
              <w:spacing w:after="0"/>
              <w:rPr>
                <w:sz w:val="1"/>
                <w:szCs w:val="1"/>
                <w:color w:val="auto"/>
              </w:rPr>
            </w:pPr>
          </w:p>
        </w:tc>
      </w:tr>
      <w:tr>
        <w:trPr>
          <w:trHeight w:val="262"/>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comprehensive loss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(3,927)</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(9,412)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(7,505)</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(12,331)</w:t>
            </w: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9" w:name="page10"/>
    <w:bookmarkEnd w:id="9"/>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Symbotic Inc.</w:t>
      </w:r>
    </w:p>
    <w:p>
      <w:pPr>
        <w:spacing w:after="0" w:line="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Changes in Equity (Deficit)</w:t>
      </w:r>
    </w:p>
    <w:p>
      <w:pPr>
        <w:spacing w:after="0" w:line="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(in thousands, except share information)</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0" w:type="dxa"/>
            <w:vAlign w:val="bottom"/>
            <w:gridSpan w:val="10"/>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Three Months Ended March 29, 2025</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740" w:type="dxa"/>
            <w:vAlign w:val="bottom"/>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500" w:type="dxa"/>
            <w:vAlign w:val="bottom"/>
            <w:tcBorders>
              <w:bottom w:val="single" w:sz="8" w:color="auto"/>
            </w:tcBorders>
            <w:gridSpan w:val="5"/>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40" w:type="dxa"/>
            <w:vAlign w:val="bottom"/>
          </w:tcPr>
          <w:p>
            <w:pPr>
              <w:spacing w:after="0"/>
              <w:rPr>
                <w:sz w:val="17"/>
                <w:szCs w:val="17"/>
                <w:color w:val="auto"/>
              </w:rPr>
            </w:pPr>
          </w:p>
        </w:tc>
        <w:tc>
          <w:tcPr>
            <w:tcW w:w="15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Class A Common</w:t>
            </w:r>
          </w:p>
        </w:tc>
        <w:tc>
          <w:tcPr>
            <w:tcW w:w="150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Class V-1 Common</w:t>
            </w: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Class V-3 Common</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1120" w:type="dxa"/>
            <w:vAlign w:val="bottom"/>
            <w:tcBorders>
              <w:bottom w:val="single" w:sz="8" w:color="auto"/>
            </w:tcBorders>
            <w:gridSpan w:val="3"/>
          </w:tcPr>
          <w:p>
            <w:pPr>
              <w:jc w:val="center"/>
              <w:ind w:left="261"/>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gridSpan w:val="3"/>
          </w:tcPr>
          <w:p>
            <w:pPr>
              <w:jc w:val="center"/>
              <w:ind w:left="281"/>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bottom w:val="single" w:sz="8" w:color="auto"/>
            </w:tcBorders>
            <w:gridSpan w:val="3"/>
          </w:tcPr>
          <w:p>
            <w:pPr>
              <w:jc w:val="center"/>
              <w:ind w:left="261"/>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8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5"/>
        </w:trPr>
        <w:tc>
          <w:tcPr>
            <w:tcW w:w="1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60" w:type="dxa"/>
            <w:vAlign w:val="bottom"/>
            <w:gridSpan w:val="3"/>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0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1140" w:type="dxa"/>
            <w:vAlign w:val="bottom"/>
            <w:gridSpan w:val="3"/>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7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8"/>
        </w:trPr>
        <w:tc>
          <w:tcPr>
            <w:tcW w:w="174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18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31"/>
        </w:trPr>
        <w:tc>
          <w:tcPr>
            <w:tcW w:w="17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28,</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106,521,915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76,588,618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404,309,196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7"/>
              </w:rPr>
              <w:t>$1,526,573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(1,327,401)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197,389</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$ 393,925</w:t>
            </w:r>
          </w:p>
        </w:tc>
        <w:tc>
          <w:tcPr>
            <w:tcW w:w="0" w:type="dxa"/>
            <w:vAlign w:val="bottom"/>
          </w:tcPr>
          <w:p>
            <w:pPr>
              <w:spacing w:after="0"/>
              <w:rPr>
                <w:sz w:val="1"/>
                <w:szCs w:val="1"/>
                <w:color w:val="auto"/>
              </w:rPr>
            </w:pPr>
          </w:p>
        </w:tc>
      </w:tr>
      <w:tr>
        <w:trPr>
          <w:trHeight w:val="218"/>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(17,513)</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(21,438)</w:t>
            </w:r>
          </w:p>
        </w:tc>
        <w:tc>
          <w:tcPr>
            <w:tcW w:w="0" w:type="dxa"/>
            <w:vAlign w:val="bottom"/>
          </w:tcPr>
          <w:p>
            <w:pPr>
              <w:spacing w:after="0"/>
              <w:rPr>
                <w:sz w:val="1"/>
                <w:szCs w:val="1"/>
                <w:color w:val="auto"/>
              </w:rPr>
            </w:pPr>
          </w:p>
        </w:tc>
      </w:tr>
      <w:tr>
        <w:trPr>
          <w:trHeight w:val="31"/>
        </w:trPr>
        <w:tc>
          <w:tcPr>
            <w:tcW w:w="1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Issuance of common stock</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under stock plans, net of</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withheld for</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taxes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1,286,900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Issuance of common stock</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under employee stock</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plan, net of</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for</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taxes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206,664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w:t>
            </w:r>
          </w:p>
        </w:tc>
        <w:tc>
          <w:tcPr>
            <w:tcW w:w="0" w:type="dxa"/>
            <w:vAlign w:val="bottom"/>
          </w:tcPr>
          <w:p>
            <w:pPr>
              <w:spacing w:after="0"/>
              <w:rPr>
                <w:sz w:val="1"/>
                <w:szCs w:val="1"/>
                <w:color w:val="auto"/>
              </w:rPr>
            </w:pPr>
          </w:p>
        </w:tc>
      </w:tr>
      <w:tr>
        <w:trPr>
          <w:trHeight w:val="31"/>
        </w:trPr>
        <w:tc>
          <w:tcPr>
            <w:tcW w:w="1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of Class V-1</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V-3 common stock</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365,293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(365,293)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 to Symbotic</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Holdings LLC partners</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31"/>
        </w:trPr>
        <w:tc>
          <w:tcPr>
            <w:tcW w:w="1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Stock-based compensation</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8,512</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37,739</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46,251</w:t>
            </w:r>
          </w:p>
        </w:tc>
        <w:tc>
          <w:tcPr>
            <w:tcW w:w="0" w:type="dxa"/>
            <w:vAlign w:val="bottom"/>
          </w:tcPr>
          <w:p>
            <w:pPr>
              <w:spacing w:after="0"/>
              <w:rPr>
                <w:sz w:val="1"/>
                <w:szCs w:val="1"/>
                <w:color w:val="auto"/>
              </w:rPr>
            </w:pPr>
          </w:p>
        </w:tc>
      </w:tr>
      <w:tr>
        <w:trPr>
          <w:trHeight w:val="218"/>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31"/>
        </w:trPr>
        <w:tc>
          <w:tcPr>
            <w:tcW w:w="17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29,</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108,380,772</w:t>
            </w:r>
          </w:p>
        </w:tc>
        <w:tc>
          <w:tcPr>
            <w:tcW w:w="8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76,223,325</w:t>
            </w:r>
          </w:p>
        </w:tc>
        <w:tc>
          <w:tcPr>
            <w:tcW w:w="8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404,309,196</w:t>
            </w:r>
          </w:p>
        </w:tc>
        <w:tc>
          <w:tcPr>
            <w:tcW w:w="8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7"/>
              </w:rPr>
              <w:t>$1,539,378</w:t>
            </w:r>
          </w:p>
        </w:tc>
        <w:tc>
          <w:tcPr>
            <w:tcW w:w="80" w:type="dxa"/>
            <w:vAlign w:val="bottom"/>
            <w:shd w:val="clear" w:color="auto" w:fill="CCEEFF"/>
          </w:tcPr>
          <w:p>
            <w:pPr>
              <w:spacing w:after="0"/>
              <w:rPr>
                <w:sz w:val="16"/>
                <w:szCs w:val="16"/>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(1,331,326)</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216,160</w:t>
            </w:r>
          </w:p>
        </w:tc>
        <w:tc>
          <w:tcPr>
            <w:tcW w:w="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$ 421,574</w:t>
            </w:r>
          </w:p>
        </w:tc>
        <w:tc>
          <w:tcPr>
            <w:tcW w:w="0" w:type="dxa"/>
            <w:vAlign w:val="bottom"/>
          </w:tcPr>
          <w:p>
            <w:pPr>
              <w:spacing w:after="0"/>
              <w:rPr>
                <w:sz w:val="1"/>
                <w:szCs w:val="1"/>
                <w:color w:val="auto"/>
              </w:rPr>
            </w:pPr>
          </w:p>
        </w:tc>
      </w:tr>
      <w:tr>
        <w:trPr>
          <w:trHeight w:val="228"/>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gridSpan w:val="10"/>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Six Months Ended March 29, 2025</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40" w:type="dxa"/>
            <w:vAlign w:val="bottom"/>
          </w:tcPr>
          <w:p>
            <w:pPr>
              <w:spacing w:after="0"/>
              <w:rPr>
                <w:sz w:val="17"/>
                <w:szCs w:val="17"/>
                <w:color w:val="auto"/>
              </w:rPr>
            </w:pPr>
          </w:p>
        </w:tc>
        <w:tc>
          <w:tcPr>
            <w:tcW w:w="156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Class A Common</w:t>
            </w:r>
          </w:p>
        </w:tc>
        <w:tc>
          <w:tcPr>
            <w:tcW w:w="15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Class V-1 Common</w:t>
            </w:r>
          </w:p>
        </w:tc>
        <w:tc>
          <w:tcPr>
            <w:tcW w:w="15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Class V-3 Common</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740" w:type="dxa"/>
            <w:vAlign w:val="bottom"/>
          </w:tcPr>
          <w:p>
            <w:pPr>
              <w:spacing w:after="0"/>
              <w:rPr>
                <w:sz w:val="11"/>
                <w:szCs w:val="11"/>
                <w:color w:val="auto"/>
              </w:rPr>
            </w:pPr>
          </w:p>
        </w:tc>
        <w:tc>
          <w:tcPr>
            <w:tcW w:w="1560" w:type="dxa"/>
            <w:vAlign w:val="bottom"/>
            <w:gridSpan w:val="5"/>
            <w:vMerge w:val="continue"/>
          </w:tcPr>
          <w:p>
            <w:pPr>
              <w:spacing w:after="0"/>
              <w:rPr>
                <w:sz w:val="11"/>
                <w:szCs w:val="11"/>
                <w:color w:val="auto"/>
              </w:rPr>
            </w:pPr>
          </w:p>
        </w:tc>
        <w:tc>
          <w:tcPr>
            <w:tcW w:w="1500" w:type="dxa"/>
            <w:vAlign w:val="bottom"/>
            <w:gridSpan w:val="5"/>
            <w:vMerge w:val="continue"/>
          </w:tcPr>
          <w:p>
            <w:pPr>
              <w:spacing w:after="0"/>
              <w:rPr>
                <w:sz w:val="11"/>
                <w:szCs w:val="11"/>
                <w:color w:val="auto"/>
              </w:rPr>
            </w:pPr>
          </w:p>
        </w:tc>
        <w:tc>
          <w:tcPr>
            <w:tcW w:w="1560" w:type="dxa"/>
            <w:vAlign w:val="bottom"/>
            <w:gridSpan w:val="5"/>
            <w:vMerge w:val="continue"/>
          </w:tcPr>
          <w:p>
            <w:pPr>
              <w:spacing w:after="0"/>
              <w:rPr>
                <w:sz w:val="11"/>
                <w:szCs w:val="11"/>
                <w:color w:val="auto"/>
              </w:rPr>
            </w:pP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80" w:type="dxa"/>
            <w:vAlign w:val="bottom"/>
          </w:tcPr>
          <w:p>
            <w:pPr>
              <w:spacing w:after="0"/>
              <w:rPr>
                <w:sz w:val="11"/>
                <w:szCs w:val="11"/>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66"/>
        </w:trPr>
        <w:tc>
          <w:tcPr>
            <w:tcW w:w="1740" w:type="dxa"/>
            <w:vAlign w:val="bottom"/>
          </w:tcPr>
          <w:p>
            <w:pPr>
              <w:spacing w:after="0"/>
              <w:rPr>
                <w:sz w:val="5"/>
                <w:szCs w:val="5"/>
                <w:color w:val="auto"/>
              </w:rPr>
            </w:pPr>
          </w:p>
        </w:tc>
        <w:tc>
          <w:tcPr>
            <w:tcW w:w="1120" w:type="dxa"/>
            <w:vAlign w:val="bottom"/>
            <w:gridSpan w:val="3"/>
            <w:vMerge w:val="restart"/>
          </w:tcPr>
          <w:p>
            <w:pPr>
              <w:jc w:val="center"/>
              <w:ind w:left="261"/>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3"/>
            <w:vMerge w:val="restart"/>
          </w:tcPr>
          <w:p>
            <w:pPr>
              <w:jc w:val="center"/>
              <w:ind w:left="281"/>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3"/>
            <w:vMerge w:val="restart"/>
          </w:tcPr>
          <w:p>
            <w:pPr>
              <w:jc w:val="center"/>
              <w:ind w:left="261"/>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7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center"/>
              <w:ind w:right="100"/>
              <w:spacing w:after="0" w:line="174"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60" w:type="dxa"/>
            <w:vAlign w:val="bottom"/>
            <w:gridSpan w:val="3"/>
            <w:vMerge w:val="restart"/>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00" w:type="dxa"/>
            <w:vAlign w:val="bottom"/>
            <w:gridSpan w:val="2"/>
            <w:vMerge w:val="restart"/>
          </w:tcPr>
          <w:p>
            <w:pPr>
              <w:jc w:val="center"/>
              <w:ind w:right="80"/>
              <w:spacing w:after="0" w:line="174"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1140" w:type="dxa"/>
            <w:vAlign w:val="bottom"/>
            <w:gridSpan w:val="3"/>
            <w:vMerge w:val="restart"/>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700" w:type="dxa"/>
            <w:vAlign w:val="bottom"/>
            <w:vMerge w:val="restart"/>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31"/>
        </w:trPr>
        <w:tc>
          <w:tcPr>
            <w:tcW w:w="1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74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18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31"/>
        </w:trPr>
        <w:tc>
          <w:tcPr>
            <w:tcW w:w="17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28,</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104,689,377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76,965,386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404,309,196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7"/>
              </w:rPr>
              <w:t>$1,523,692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(1,323,925)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192,897</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$ 390,130</w:t>
            </w:r>
          </w:p>
        </w:tc>
        <w:tc>
          <w:tcPr>
            <w:tcW w:w="0" w:type="dxa"/>
            <w:vAlign w:val="bottom"/>
          </w:tcPr>
          <w:p>
            <w:pPr>
              <w:spacing w:after="0"/>
              <w:rPr>
                <w:sz w:val="1"/>
                <w:szCs w:val="1"/>
                <w:color w:val="auto"/>
              </w:rPr>
            </w:pPr>
          </w:p>
        </w:tc>
      </w:tr>
      <w:tr>
        <w:trPr>
          <w:trHeight w:val="218"/>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(32,557)</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(39,958)</w:t>
            </w:r>
          </w:p>
        </w:tc>
        <w:tc>
          <w:tcPr>
            <w:tcW w:w="0" w:type="dxa"/>
            <w:vAlign w:val="bottom"/>
          </w:tcPr>
          <w:p>
            <w:pPr>
              <w:spacing w:after="0"/>
              <w:rPr>
                <w:sz w:val="1"/>
                <w:szCs w:val="1"/>
                <w:color w:val="auto"/>
              </w:rPr>
            </w:pPr>
          </w:p>
        </w:tc>
      </w:tr>
      <w:tr>
        <w:trPr>
          <w:trHeight w:val="31"/>
        </w:trPr>
        <w:tc>
          <w:tcPr>
            <w:tcW w:w="1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Issuance of common stock</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under stock plans, net of</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withheld for</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taxes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2,939,571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0" w:type="dxa"/>
            <w:vAlign w:val="bottom"/>
          </w:tcPr>
          <w:p>
            <w:pPr>
              <w:spacing w:after="0"/>
              <w:rPr>
                <w:sz w:val="1"/>
                <w:szCs w:val="1"/>
                <w:color w:val="auto"/>
              </w:rPr>
            </w:pPr>
          </w:p>
        </w:tc>
      </w:tr>
      <w:tr>
        <w:trPr>
          <w:trHeight w:val="209"/>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Issuance of common stock</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under employee stock</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plan, net of</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for</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taxes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206,664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w:t>
            </w:r>
          </w:p>
        </w:tc>
        <w:tc>
          <w:tcPr>
            <w:tcW w:w="0" w:type="dxa"/>
            <w:vAlign w:val="bottom"/>
          </w:tcPr>
          <w:p>
            <w:pPr>
              <w:spacing w:after="0"/>
              <w:rPr>
                <w:sz w:val="1"/>
                <w:szCs w:val="1"/>
                <w:color w:val="auto"/>
              </w:rPr>
            </w:pPr>
          </w:p>
        </w:tc>
      </w:tr>
      <w:tr>
        <w:trPr>
          <w:trHeight w:val="31"/>
        </w:trPr>
        <w:tc>
          <w:tcPr>
            <w:tcW w:w="1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of Class V-1</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545,160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(545,160)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Cancellation of Class V-1</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(196,901)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
        </w:trPr>
        <w:tc>
          <w:tcPr>
            <w:tcW w:w="1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 to Symbotic</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Holdings LLC partners</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0" w:type="dxa"/>
            <w:vAlign w:val="bottom"/>
          </w:tcPr>
          <w:p>
            <w:pPr>
              <w:spacing w:after="0"/>
              <w:rPr>
                <w:sz w:val="1"/>
                <w:szCs w:val="1"/>
                <w:color w:val="auto"/>
              </w:rPr>
            </w:pPr>
          </w:p>
        </w:tc>
      </w:tr>
      <w:tr>
        <w:trPr>
          <w:trHeight w:val="218"/>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Stock-based compensation</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59,630</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72,991</w:t>
            </w:r>
          </w:p>
        </w:tc>
        <w:tc>
          <w:tcPr>
            <w:tcW w:w="0" w:type="dxa"/>
            <w:vAlign w:val="bottom"/>
          </w:tcPr>
          <w:p>
            <w:pPr>
              <w:spacing w:after="0"/>
              <w:rPr>
                <w:sz w:val="1"/>
                <w:szCs w:val="1"/>
                <w:color w:val="auto"/>
              </w:rPr>
            </w:pPr>
          </w:p>
        </w:tc>
      </w:tr>
      <w:tr>
        <w:trPr>
          <w:trHeight w:val="31"/>
        </w:trPr>
        <w:tc>
          <w:tcPr>
            <w:tcW w:w="17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189"/>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29,</w:t>
            </w:r>
          </w:p>
        </w:tc>
        <w:tc>
          <w:tcPr>
            <w:tcW w:w="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108,380,772</w:t>
            </w:r>
          </w:p>
        </w:tc>
        <w:tc>
          <w:tcPr>
            <w:tcW w:w="80" w:type="dxa"/>
            <w:vAlign w:val="bottom"/>
          </w:tcPr>
          <w:p>
            <w:pPr>
              <w:spacing w:after="0"/>
              <w:rPr>
                <w:sz w:val="16"/>
                <w:szCs w:val="16"/>
                <w:color w:val="auto"/>
              </w:rPr>
            </w:pPr>
          </w:p>
        </w:tc>
        <w:tc>
          <w:tcPr>
            <w:tcW w:w="2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6"/>
                <w:szCs w:val="16"/>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76,223,325</w:t>
            </w:r>
          </w:p>
        </w:tc>
        <w:tc>
          <w:tcPr>
            <w:tcW w:w="80" w:type="dxa"/>
            <w:vAlign w:val="bottom"/>
          </w:tcPr>
          <w:p>
            <w:pPr>
              <w:spacing w:after="0"/>
              <w:rPr>
                <w:sz w:val="16"/>
                <w:szCs w:val="16"/>
                <w:color w:val="auto"/>
              </w:rPr>
            </w:pPr>
          </w:p>
        </w:tc>
        <w:tc>
          <w:tcPr>
            <w:tcW w:w="2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6"/>
                <w:szCs w:val="16"/>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404,309,196</w:t>
            </w:r>
          </w:p>
        </w:tc>
        <w:tc>
          <w:tcPr>
            <w:tcW w:w="80" w:type="dxa"/>
            <w:vAlign w:val="bottom"/>
          </w:tcPr>
          <w:p>
            <w:pPr>
              <w:spacing w:after="0"/>
              <w:rPr>
                <w:sz w:val="16"/>
                <w:szCs w:val="16"/>
                <w:color w:val="auto"/>
              </w:rPr>
            </w:pPr>
          </w:p>
        </w:tc>
        <w:tc>
          <w:tcPr>
            <w:tcW w:w="2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6"/>
                <w:szCs w:val="16"/>
                <w:color w:val="auto"/>
              </w:rPr>
            </w:pPr>
          </w:p>
        </w:tc>
        <w:tc>
          <w:tcPr>
            <w:tcW w:w="80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97"/>
              </w:rPr>
              <w:t>$1,539,378</w:t>
            </w:r>
          </w:p>
        </w:tc>
        <w:tc>
          <w:tcPr>
            <w:tcW w:w="80" w:type="dxa"/>
            <w:vAlign w:val="bottom"/>
          </w:tcPr>
          <w:p>
            <w:pPr>
              <w:spacing w:after="0"/>
              <w:rPr>
                <w:sz w:val="16"/>
                <w:szCs w:val="16"/>
                <w:color w:val="auto"/>
              </w:rPr>
            </w:pPr>
          </w:p>
        </w:tc>
        <w:tc>
          <w:tcPr>
            <w:tcW w:w="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80" w:type="dxa"/>
            <w:vAlign w:val="bottom"/>
          </w:tcPr>
          <w:p>
            <w:pPr>
              <w:spacing w:after="0"/>
              <w:rPr>
                <w:sz w:val="16"/>
                <w:szCs w:val="16"/>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 (1,331,326)</w:t>
            </w:r>
          </w:p>
        </w:tc>
        <w:tc>
          <w:tcPr>
            <w:tcW w:w="80" w:type="dxa"/>
            <w:vAlign w:val="bottom"/>
          </w:tcPr>
          <w:p>
            <w:pPr>
              <w:spacing w:after="0"/>
              <w:rPr>
                <w:sz w:val="16"/>
                <w:szCs w:val="16"/>
                <w:color w:val="auto"/>
              </w:rPr>
            </w:pPr>
          </w:p>
        </w:tc>
        <w:tc>
          <w:tcPr>
            <w:tcW w:w="1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216,160</w:t>
            </w:r>
          </w:p>
        </w:tc>
        <w:tc>
          <w:tcPr>
            <w:tcW w:w="80" w:type="dxa"/>
            <w:vAlign w:val="bottom"/>
          </w:tcPr>
          <w:p>
            <w:pPr>
              <w:spacing w:after="0"/>
              <w:rPr>
                <w:sz w:val="16"/>
                <w:szCs w:val="16"/>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6"/>
              </w:rPr>
              <w:t>$ 421,574</w:t>
            </w:r>
          </w:p>
        </w:tc>
        <w:tc>
          <w:tcPr>
            <w:tcW w:w="0" w:type="dxa"/>
            <w:vAlign w:val="bottom"/>
          </w:tcPr>
          <w:p>
            <w:pPr>
              <w:spacing w:after="0"/>
              <w:rPr>
                <w:sz w:val="1"/>
                <w:szCs w:val="1"/>
                <w:color w:val="auto"/>
              </w:rPr>
            </w:pPr>
          </w:p>
        </w:tc>
      </w:tr>
      <w:tr>
        <w:trPr>
          <w:trHeight w:val="213"/>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4" w:right="339" w:bottom="6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665" w:gutter="0" w:footer="0" w:header="0"/>
          <w:type w:val="continuous"/>
        </w:sectPr>
      </w:pPr>
    </w:p>
    <w:bookmarkStart w:id="10" w:name="page11"/>
    <w:bookmarkEnd w:id="10"/>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0" w:type="dxa"/>
            <w:vAlign w:val="bottom"/>
            <w:gridSpan w:val="10"/>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March 30, 2024</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7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00" w:type="dxa"/>
            <w:vAlign w:val="bottom"/>
          </w:tcPr>
          <w:p>
            <w:pPr>
              <w:spacing w:after="0"/>
              <w:rPr>
                <w:sz w:val="17"/>
                <w:szCs w:val="17"/>
                <w:color w:val="auto"/>
              </w:rPr>
            </w:pPr>
          </w:p>
        </w:tc>
        <w:tc>
          <w:tcPr>
            <w:tcW w:w="158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Class A Common</w:t>
            </w:r>
          </w:p>
        </w:tc>
        <w:tc>
          <w:tcPr>
            <w:tcW w:w="152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Class V-1 Common</w:t>
            </w:r>
          </w:p>
        </w:tc>
        <w:tc>
          <w:tcPr>
            <w:tcW w:w="15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Class V-3 Common</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1580" w:type="dxa"/>
            <w:vAlign w:val="bottom"/>
            <w:gridSpan w:val="5"/>
            <w:vMerge w:val="continue"/>
          </w:tcPr>
          <w:p>
            <w:pPr>
              <w:spacing w:after="0"/>
              <w:rPr>
                <w:sz w:val="11"/>
                <w:szCs w:val="11"/>
                <w:color w:val="auto"/>
              </w:rPr>
            </w:pPr>
          </w:p>
        </w:tc>
        <w:tc>
          <w:tcPr>
            <w:tcW w:w="1520" w:type="dxa"/>
            <w:vAlign w:val="bottom"/>
            <w:gridSpan w:val="5"/>
            <w:vMerge w:val="continue"/>
          </w:tcPr>
          <w:p>
            <w:pPr>
              <w:spacing w:after="0"/>
              <w:rPr>
                <w:sz w:val="11"/>
                <w:szCs w:val="11"/>
                <w:color w:val="auto"/>
              </w:rPr>
            </w:pPr>
          </w:p>
        </w:tc>
        <w:tc>
          <w:tcPr>
            <w:tcW w:w="1560" w:type="dxa"/>
            <w:vAlign w:val="bottom"/>
            <w:gridSpan w:val="5"/>
            <w:vMerge w:val="continue"/>
          </w:tcPr>
          <w:p>
            <w:pPr>
              <w:spacing w:after="0"/>
              <w:rPr>
                <w:sz w:val="11"/>
                <w:szCs w:val="11"/>
                <w:color w:val="auto"/>
              </w:rPr>
            </w:pP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80" w:type="dxa"/>
            <w:vAlign w:val="bottom"/>
          </w:tcPr>
          <w:p>
            <w:pPr>
              <w:spacing w:after="0"/>
              <w:rPr>
                <w:sz w:val="11"/>
                <w:szCs w:val="11"/>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66"/>
        </w:trPr>
        <w:tc>
          <w:tcPr>
            <w:tcW w:w="1700" w:type="dxa"/>
            <w:vAlign w:val="bottom"/>
          </w:tcPr>
          <w:p>
            <w:pPr>
              <w:spacing w:after="0"/>
              <w:rPr>
                <w:sz w:val="5"/>
                <w:szCs w:val="5"/>
                <w:color w:val="auto"/>
              </w:rPr>
            </w:pPr>
          </w:p>
        </w:tc>
        <w:tc>
          <w:tcPr>
            <w:tcW w:w="1140" w:type="dxa"/>
            <w:vAlign w:val="bottom"/>
            <w:gridSpan w:val="3"/>
            <w:vMerge w:val="restart"/>
          </w:tcPr>
          <w:p>
            <w:pPr>
              <w:jc w:val="center"/>
              <w:ind w:left="281"/>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3"/>
            <w:vMerge w:val="restart"/>
          </w:tcPr>
          <w:p>
            <w:pPr>
              <w:jc w:val="center"/>
              <w:ind w:left="261"/>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3"/>
            <w:vMerge w:val="restart"/>
          </w:tcPr>
          <w:p>
            <w:pPr>
              <w:jc w:val="center"/>
              <w:ind w:left="261"/>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7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center"/>
              <w:ind w:right="100"/>
              <w:spacing w:after="0" w:line="174"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60" w:type="dxa"/>
            <w:vAlign w:val="bottom"/>
            <w:gridSpan w:val="3"/>
            <w:vMerge w:val="restart"/>
          </w:tcPr>
          <w:p>
            <w:pPr>
              <w:jc w:val="center"/>
              <w:ind w:right="80"/>
              <w:spacing w:after="0" w:line="174" w:lineRule="exact"/>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1000" w:type="dxa"/>
            <w:vAlign w:val="bottom"/>
            <w:gridSpan w:val="3"/>
            <w:vMerge w:val="restart"/>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40" w:type="dxa"/>
            <w:vAlign w:val="bottom"/>
            <w:gridSpan w:val="3"/>
            <w:vMerge w:val="restart"/>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700" w:type="dxa"/>
            <w:vAlign w:val="bottom"/>
            <w:vMerge w:val="restart"/>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31"/>
        </w:trPr>
        <w:tc>
          <w:tcPr>
            <w:tcW w:w="17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70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4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31"/>
        </w:trPr>
        <w:tc>
          <w:tcPr>
            <w:tcW w:w="17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85,106,588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81,489,643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406,512,941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7"/>
              </w:rPr>
              <w:t>$1,257,853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(1,313,271)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222,899</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$ 165,770</w:t>
            </w:r>
          </w:p>
        </w:tc>
        <w:tc>
          <w:tcPr>
            <w:tcW w:w="0" w:type="dxa"/>
            <w:vAlign w:val="bottom"/>
          </w:tcPr>
          <w:p>
            <w:pPr>
              <w:spacing w:after="0"/>
              <w:rPr>
                <w:sz w:val="1"/>
                <w:szCs w:val="1"/>
                <w:color w:val="auto"/>
              </w:rPr>
            </w:pPr>
          </w:p>
        </w:tc>
      </w:tr>
      <w:tr>
        <w:trPr>
          <w:trHeight w:val="218"/>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(46,021)</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(54,830)</w:t>
            </w:r>
          </w:p>
        </w:tc>
        <w:tc>
          <w:tcPr>
            <w:tcW w:w="0" w:type="dxa"/>
            <w:vAlign w:val="bottom"/>
          </w:tcPr>
          <w:p>
            <w:pPr>
              <w:spacing w:after="0"/>
              <w:rPr>
                <w:sz w:val="1"/>
                <w:szCs w:val="1"/>
                <w:color w:val="auto"/>
              </w:rPr>
            </w:pPr>
          </w:p>
        </w:tc>
      </w:tr>
      <w:tr>
        <w:trPr>
          <w:trHeight w:val="31"/>
        </w:trPr>
        <w:tc>
          <w:tcPr>
            <w:tcW w:w="1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4,250,067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under stock plans,</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shares withheld for</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taxes</w:t>
            </w: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0" w:type="dxa"/>
            <w:vAlign w:val="bottom"/>
          </w:tcPr>
          <w:p>
            <w:pPr>
              <w:spacing w:after="0"/>
              <w:rPr>
                <w:sz w:val="1"/>
                <w:szCs w:val="1"/>
                <w:color w:val="auto"/>
              </w:rPr>
            </w:pPr>
          </w:p>
        </w:tc>
      </w:tr>
      <w:tr>
        <w:trPr>
          <w:trHeight w:val="209"/>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under employee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purchase plan, net</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shares withheld for</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taxes</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0" w:type="dxa"/>
            <w:vAlign w:val="bottom"/>
          </w:tcPr>
          <w:p>
            <w:pPr>
              <w:spacing w:after="0"/>
              <w:rPr>
                <w:sz w:val="1"/>
                <w:szCs w:val="1"/>
                <w:color w:val="auto"/>
              </w:rPr>
            </w:pPr>
          </w:p>
        </w:tc>
      </w:tr>
      <w:tr>
        <w:trPr>
          <w:trHeight w:val="31"/>
        </w:trPr>
        <w:tc>
          <w:tcPr>
            <w:tcW w:w="1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of Class V-1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5,236,000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(3,057,255)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(2,178,745)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V-3 common stock</w:t>
            </w: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in connection with</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offering</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257,986</w:t>
            </w:r>
          </w:p>
        </w:tc>
        <w:tc>
          <w:tcPr>
            <w:tcW w:w="0" w:type="dxa"/>
            <w:vAlign w:val="bottom"/>
          </w:tcPr>
          <w:p>
            <w:pPr>
              <w:spacing w:after="0"/>
              <w:rPr>
                <w:sz w:val="1"/>
                <w:szCs w:val="1"/>
                <w:color w:val="auto"/>
              </w:rPr>
            </w:pPr>
          </w:p>
        </w:tc>
      </w:tr>
      <w:tr>
        <w:trPr>
          <w:trHeight w:val="31"/>
        </w:trPr>
        <w:tc>
          <w:tcPr>
            <w:tcW w:w="1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23,200</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28,065</w:t>
            </w:r>
          </w:p>
        </w:tc>
        <w:tc>
          <w:tcPr>
            <w:tcW w:w="0" w:type="dxa"/>
            <w:vAlign w:val="bottom"/>
          </w:tcPr>
          <w:p>
            <w:pPr>
              <w:spacing w:after="0"/>
              <w:rPr>
                <w:sz w:val="1"/>
                <w:szCs w:val="1"/>
                <w:color w:val="auto"/>
              </w:rPr>
            </w:pPr>
          </w:p>
        </w:tc>
      </w:tr>
      <w:tr>
        <w:trPr>
          <w:trHeight w:val="218"/>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Other comprehensive loss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0" w:type="dxa"/>
            <w:vAlign w:val="bottom"/>
          </w:tcPr>
          <w:p>
            <w:pPr>
              <w:spacing w:after="0"/>
              <w:rPr>
                <w:sz w:val="1"/>
                <w:szCs w:val="1"/>
                <w:color w:val="auto"/>
              </w:rPr>
            </w:pPr>
          </w:p>
        </w:tc>
      </w:tr>
      <w:tr>
        <w:trPr>
          <w:trHeight w:val="31"/>
        </w:trPr>
        <w:tc>
          <w:tcPr>
            <w:tcW w:w="17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101,195,288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78,432,388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404,334,196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7"/>
              </w:rPr>
              <w:t>$1,521,489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(1,322,080)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196,547</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$ 393,643</w:t>
            </w:r>
          </w:p>
        </w:tc>
        <w:tc>
          <w:tcPr>
            <w:tcW w:w="0" w:type="dxa"/>
            <w:vAlign w:val="bottom"/>
          </w:tcPr>
          <w:p>
            <w:pPr>
              <w:spacing w:after="0"/>
              <w:rPr>
                <w:sz w:val="1"/>
                <w:szCs w:val="1"/>
                <w:color w:val="auto"/>
              </w:rPr>
            </w:pPr>
          </w:p>
        </w:tc>
      </w:tr>
      <w:tr>
        <w:trPr>
          <w:trHeight w:val="233"/>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74"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Six Months Ended March 30, 2024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156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Class A Common</w:t>
            </w:r>
          </w:p>
        </w:tc>
        <w:tc>
          <w:tcPr>
            <w:tcW w:w="152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Class V-1 Common</w:t>
            </w:r>
          </w:p>
        </w:tc>
        <w:tc>
          <w:tcPr>
            <w:tcW w:w="156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Class V-3 Common</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1560" w:type="dxa"/>
            <w:vAlign w:val="bottom"/>
            <w:gridSpan w:val="5"/>
            <w:vMerge w:val="continue"/>
          </w:tcPr>
          <w:p>
            <w:pPr>
              <w:spacing w:after="0"/>
              <w:rPr>
                <w:sz w:val="11"/>
                <w:szCs w:val="11"/>
                <w:color w:val="auto"/>
              </w:rPr>
            </w:pPr>
          </w:p>
        </w:tc>
        <w:tc>
          <w:tcPr>
            <w:tcW w:w="1520" w:type="dxa"/>
            <w:vAlign w:val="bottom"/>
            <w:gridSpan w:val="5"/>
            <w:vMerge w:val="continue"/>
          </w:tcPr>
          <w:p>
            <w:pPr>
              <w:spacing w:after="0"/>
              <w:rPr>
                <w:sz w:val="11"/>
                <w:szCs w:val="11"/>
                <w:color w:val="auto"/>
              </w:rPr>
            </w:pPr>
          </w:p>
        </w:tc>
        <w:tc>
          <w:tcPr>
            <w:tcW w:w="156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Paid-in</w:t>
            </w: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11"/>
                <w:szCs w:val="11"/>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66"/>
        </w:trPr>
        <w:tc>
          <w:tcPr>
            <w:tcW w:w="1000" w:type="dxa"/>
            <w:vAlign w:val="bottom"/>
          </w:tcPr>
          <w:p>
            <w:pPr>
              <w:spacing w:after="0"/>
              <w:rPr>
                <w:sz w:val="5"/>
                <w:szCs w:val="5"/>
                <w:color w:val="auto"/>
              </w:rPr>
            </w:pPr>
          </w:p>
        </w:tc>
        <w:tc>
          <w:tcPr>
            <w:tcW w:w="1120" w:type="dxa"/>
            <w:vAlign w:val="bottom"/>
            <w:gridSpan w:val="3"/>
            <w:vMerge w:val="restart"/>
          </w:tcPr>
          <w:p>
            <w:pPr>
              <w:jc w:val="center"/>
              <w:ind w:left="301"/>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3"/>
            <w:vMerge w:val="restart"/>
          </w:tcPr>
          <w:p>
            <w:pPr>
              <w:jc w:val="center"/>
              <w:ind w:left="301"/>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3"/>
            <w:vMerge w:val="restart"/>
          </w:tcPr>
          <w:p>
            <w:pPr>
              <w:jc w:val="center"/>
              <w:ind w:left="301"/>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0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jc w:val="center"/>
              <w:ind w:right="80"/>
              <w:spacing w:after="0" w:line="174" w:lineRule="exact"/>
              <w:rPr>
                <w:sz w:val="20"/>
                <w:szCs w:val="20"/>
                <w:color w:val="auto"/>
              </w:rPr>
            </w:pPr>
            <w:r>
              <w:rPr>
                <w:rFonts w:ascii="Times New Roman" w:cs="Times New Roman" w:eastAsia="Times New Roman" w:hAnsi="Times New Roman"/>
                <w:sz w:val="16"/>
                <w:szCs w:val="16"/>
                <w:b w:val="1"/>
                <w:bCs w:val="1"/>
                <w:color w:val="auto"/>
                <w:w w:val="99"/>
              </w:rPr>
              <w:t>Capital -</w:t>
            </w:r>
          </w:p>
        </w:tc>
        <w:tc>
          <w:tcPr>
            <w:tcW w:w="880" w:type="dxa"/>
            <w:vAlign w:val="bottom"/>
            <w:gridSpan w:val="2"/>
            <w:vMerge w:val="restart"/>
          </w:tcPr>
          <w:p>
            <w:pPr>
              <w:jc w:val="center"/>
              <w:ind w:right="80"/>
              <w:spacing w:after="0" w:line="174" w:lineRule="exact"/>
              <w:rPr>
                <w:sz w:val="20"/>
                <w:szCs w:val="20"/>
                <w:color w:val="auto"/>
              </w:rPr>
            </w:pPr>
            <w:r>
              <w:rPr>
                <w:rFonts w:ascii="Times New Roman" w:cs="Times New Roman" w:eastAsia="Times New Roman" w:hAnsi="Times New Roman"/>
                <w:sz w:val="16"/>
                <w:szCs w:val="16"/>
                <w:b w:val="1"/>
                <w:bCs w:val="1"/>
                <w:color w:val="auto"/>
                <w:w w:val="96"/>
              </w:rPr>
              <w:t>Paid-in</w:t>
            </w:r>
          </w:p>
        </w:tc>
        <w:tc>
          <w:tcPr>
            <w:tcW w:w="1160" w:type="dxa"/>
            <w:vAlign w:val="bottom"/>
            <w:gridSpan w:val="3"/>
            <w:vMerge w:val="restart"/>
          </w:tcPr>
          <w:p>
            <w:pPr>
              <w:jc w:val="center"/>
              <w:ind w:right="80"/>
              <w:spacing w:after="0" w:line="174" w:lineRule="exact"/>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1020" w:type="dxa"/>
            <w:vAlign w:val="bottom"/>
            <w:gridSpan w:val="3"/>
            <w:vMerge w:val="restart"/>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gridSpan w:val="3"/>
            <w:vMerge w:val="restart"/>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100" w:type="dxa"/>
            <w:vAlign w:val="bottom"/>
          </w:tcPr>
          <w:p>
            <w:pPr>
              <w:spacing w:after="0"/>
              <w:rPr>
                <w:sz w:val="12"/>
                <w:szCs w:val="12"/>
                <w:color w:val="auto"/>
              </w:rPr>
            </w:pPr>
          </w:p>
        </w:tc>
        <w:tc>
          <w:tcPr>
            <w:tcW w:w="580" w:type="dxa"/>
            <w:vAlign w:val="bottom"/>
            <w:vMerge w:val="restart"/>
          </w:tcPr>
          <w:p>
            <w:pPr>
              <w:jc w:val="center"/>
              <w:ind w:right="1"/>
              <w:spacing w:after="0" w:line="174"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31"/>
        </w:trPr>
        <w:tc>
          <w:tcPr>
            <w:tcW w:w="1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00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Warrants</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4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31"/>
        </w:trPr>
        <w:tc>
          <w:tcPr>
            <w:tcW w:w="10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82,112,881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66,931,097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407,528,941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58,126</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$1,254,022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(1,310,435)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0" w:type="dxa"/>
            <w:vAlign w:val="bottom"/>
          </w:tcPr>
          <w:p>
            <w:pPr>
              <w:spacing w:after="0"/>
              <w:rPr>
                <w:sz w:val="1"/>
                <w:szCs w:val="1"/>
                <w:color w:val="auto"/>
              </w:rPr>
            </w:pPr>
          </w:p>
        </w:tc>
      </w:tr>
      <w:tr>
        <w:trPr>
          <w:trHeight w:val="218"/>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(73,902)</w:t>
            </w:r>
          </w:p>
        </w:tc>
        <w:tc>
          <w:tcPr>
            <w:tcW w:w="0" w:type="dxa"/>
            <w:vAlign w:val="bottom"/>
          </w:tcPr>
          <w:p>
            <w:pPr>
              <w:spacing w:after="0"/>
              <w:rPr>
                <w:sz w:val="1"/>
                <w:szCs w:val="1"/>
                <w:color w:val="auto"/>
              </w:rPr>
            </w:pPr>
          </w:p>
        </w:tc>
      </w:tr>
      <w:tr>
        <w:trPr>
          <w:trHeight w:val="31"/>
        </w:trPr>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4,915,909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under stock</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 net of</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withheld for</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under</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purchase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 net of</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withheld for</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0" w:type="dxa"/>
            <w:vAlign w:val="bottom"/>
          </w:tcPr>
          <w:p>
            <w:pPr>
              <w:spacing w:after="0"/>
              <w:rPr>
                <w:sz w:val="1"/>
                <w:szCs w:val="1"/>
                <w:color w:val="auto"/>
              </w:rPr>
            </w:pPr>
          </w:p>
        </w:tc>
      </w:tr>
      <w:tr>
        <w:trPr>
          <w:trHeight w:val="31"/>
        </w:trPr>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of</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7,563,865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(4,369,120)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(3,194,745)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6"/>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V-1 and</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V-3 common</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connection</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with equity</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offering</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257,986</w:t>
            </w:r>
          </w:p>
        </w:tc>
        <w:tc>
          <w:tcPr>
            <w:tcW w:w="0" w:type="dxa"/>
            <w:vAlign w:val="bottom"/>
          </w:tcPr>
          <w:p>
            <w:pPr>
              <w:spacing w:after="0"/>
              <w:rPr>
                <w:sz w:val="1"/>
                <w:szCs w:val="1"/>
                <w:color w:val="auto"/>
              </w:rPr>
            </w:pPr>
          </w:p>
        </w:tc>
      </w:tr>
      <w:tr>
        <w:trPr>
          <w:trHeight w:val="31"/>
        </w:trPr>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15,870,411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216,828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158,705</w:t>
            </w: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57,527</w:t>
            </w:r>
          </w:p>
        </w:tc>
        <w:tc>
          <w:tcPr>
            <w:tcW w:w="0" w:type="dxa"/>
            <w:vAlign w:val="bottom"/>
          </w:tcPr>
          <w:p>
            <w:pPr>
              <w:spacing w:after="0"/>
              <w:rPr>
                <w:sz w:val="1"/>
                <w:szCs w:val="1"/>
                <w:color w:val="auto"/>
              </w:rPr>
            </w:pPr>
          </w:p>
        </w:tc>
      </w:tr>
      <w:tr>
        <w:trPr>
          <w:trHeight w:val="31"/>
        </w:trPr>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comprehensive</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w:t>
            </w: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101,195,288</w:t>
            </w:r>
          </w:p>
        </w:tc>
        <w:tc>
          <w:tcPr>
            <w:tcW w:w="80" w:type="dxa"/>
            <w:vAlign w:val="bottom"/>
          </w:tcPr>
          <w:p>
            <w:pPr>
              <w:spacing w:after="0"/>
              <w:rPr>
                <w:sz w:val="16"/>
                <w:szCs w:val="16"/>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78,432,388</w:t>
            </w:r>
          </w:p>
        </w:tc>
        <w:tc>
          <w:tcPr>
            <w:tcW w:w="80" w:type="dxa"/>
            <w:vAlign w:val="bottom"/>
          </w:tcPr>
          <w:p>
            <w:pPr>
              <w:spacing w:after="0"/>
              <w:rPr>
                <w:sz w:val="16"/>
                <w:szCs w:val="16"/>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404,334,196</w:t>
            </w:r>
          </w:p>
        </w:tc>
        <w:tc>
          <w:tcPr>
            <w:tcW w:w="80" w:type="dxa"/>
            <w:vAlign w:val="bottom"/>
          </w:tcPr>
          <w:p>
            <w:pPr>
              <w:spacing w:after="0"/>
              <w:rPr>
                <w:sz w:val="16"/>
                <w:szCs w:val="16"/>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$1,521,489</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80" w:type="dxa"/>
            <w:vAlign w:val="bottom"/>
          </w:tcPr>
          <w:p>
            <w:pPr>
              <w:spacing w:after="0"/>
              <w:rPr>
                <w:sz w:val="16"/>
                <w:szCs w:val="16"/>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(1,322,080)</w:t>
            </w:r>
          </w:p>
        </w:tc>
        <w:tc>
          <w:tcPr>
            <w:tcW w:w="80" w:type="dxa"/>
            <w:vAlign w:val="bottom"/>
          </w:tcPr>
          <w:p>
            <w:pPr>
              <w:spacing w:after="0"/>
              <w:rPr>
                <w:sz w:val="16"/>
                <w:szCs w:val="16"/>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196,547</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393,643</w:t>
            </w:r>
          </w:p>
        </w:tc>
        <w:tc>
          <w:tcPr>
            <w:tcW w:w="0" w:type="dxa"/>
            <w:vAlign w:val="bottom"/>
          </w:tcPr>
          <w:p>
            <w:pPr>
              <w:spacing w:after="0"/>
              <w:rPr>
                <w:sz w:val="1"/>
                <w:szCs w:val="1"/>
                <w:color w:val="auto"/>
              </w:rPr>
            </w:pPr>
          </w:p>
        </w:tc>
      </w:tr>
      <w:tr>
        <w:trPr>
          <w:trHeight w:val="19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76" w:right="23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Symbotic Inc.</w:t>
      </w:r>
    </w:p>
    <w:p>
      <w:pPr>
        <w:spacing w:after="0" w:line="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Cash Flows</w:t>
      </w:r>
    </w:p>
    <w:p>
      <w:pPr>
        <w:spacing w:after="0" w:line="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4"/>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31"/>
        </w:trPr>
        <w:tc>
          <w:tcPr>
            <w:tcW w:w="8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2"/>
        </w:trPr>
        <w:tc>
          <w:tcPr>
            <w:tcW w:w="8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60" w:type="dxa"/>
            <w:vAlign w:val="bottom"/>
          </w:tcPr>
          <w:p>
            <w:pPr>
              <w:spacing w:after="0"/>
              <w:rPr>
                <w:sz w:val="18"/>
                <w:szCs w:val="18"/>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March 30, 2024</w:t>
            </w:r>
          </w:p>
        </w:tc>
      </w:tr>
      <w:tr>
        <w:trPr>
          <w:trHeight w:val="31"/>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5"/>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(39,958)</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(73,902)</w:t>
            </w:r>
          </w:p>
        </w:tc>
      </w:tr>
      <w:tr>
        <w:trPr>
          <w:trHeight w:val="40"/>
        </w:trPr>
        <w:tc>
          <w:tcPr>
            <w:tcW w:w="8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(used in)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36"/>
        </w:trPr>
        <w:tc>
          <w:tcPr>
            <w:tcW w:w="8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6,352</w:t>
            </w:r>
          </w:p>
        </w:tc>
      </w:tr>
      <w:tr>
        <w:trPr>
          <w:trHeight w:val="40"/>
        </w:trPr>
        <w:tc>
          <w:tcPr>
            <w:tcW w:w="8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from equity method investment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8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Foreign currency gains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40"/>
        </w:trPr>
        <w:tc>
          <w:tcPr>
            <w:tcW w:w="8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Gain on investments</w:t>
            </w: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(8,745)</w:t>
            </w:r>
          </w:p>
        </w:tc>
      </w:tr>
      <w:tr>
        <w:trPr>
          <w:trHeight w:val="236"/>
        </w:trPr>
        <w:tc>
          <w:tcPr>
            <w:tcW w:w="8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Provision for excess and obsolete inventory</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34,276</w:t>
            </w:r>
          </w:p>
        </w:tc>
      </w:tr>
      <w:tr>
        <w:trPr>
          <w:trHeight w:val="40"/>
        </w:trPr>
        <w:tc>
          <w:tcPr>
            <w:tcW w:w="8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on disposal of assets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8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57,527</w:t>
            </w:r>
          </w:p>
        </w:tc>
      </w:tr>
      <w:tr>
        <w:trPr>
          <w:trHeight w:val="40"/>
        </w:trPr>
        <w:tc>
          <w:tcPr>
            <w:tcW w:w="8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Gain from strategic investment fair value adjustment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8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0"/>
        </w:trPr>
        <w:tc>
          <w:tcPr>
            <w:tcW w:w="8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8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Accounts receivable</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64,181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(58,461)</w:t>
            </w:r>
          </w:p>
        </w:tc>
      </w:tr>
      <w:tr>
        <w:trPr>
          <w:trHeight w:val="236"/>
        </w:trPr>
        <w:tc>
          <w:tcPr>
            <w:tcW w:w="82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Inventories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(33,657)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(17,920)</w:t>
            </w:r>
          </w:p>
        </w:tc>
      </w:tr>
      <w:tr>
        <w:trPr>
          <w:trHeight w:val="40"/>
        </w:trPr>
        <w:tc>
          <w:tcPr>
            <w:tcW w:w="8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8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99,808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(42,430)</w:t>
            </w:r>
          </w:p>
        </w:tc>
      </w:tr>
      <w:tr>
        <w:trPr>
          <w:trHeight w:val="236"/>
        </w:trPr>
        <w:tc>
          <w:tcPr>
            <w:tcW w:w="82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Deferred expenses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(5,046)</w:t>
            </w:r>
          </w:p>
        </w:tc>
      </w:tr>
      <w:tr>
        <w:trPr>
          <w:trHeight w:val="40"/>
        </w:trPr>
        <w:tc>
          <w:tcPr>
            <w:tcW w:w="8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8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(5,466)</w:t>
            </w:r>
          </w:p>
        </w:tc>
      </w:tr>
      <w:tr>
        <w:trPr>
          <w:trHeight w:val="236"/>
        </w:trPr>
        <w:tc>
          <w:tcPr>
            <w:tcW w:w="82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23,315</w:t>
            </w:r>
          </w:p>
        </w:tc>
      </w:tr>
      <w:tr>
        <w:trPr>
          <w:trHeight w:val="40"/>
        </w:trPr>
        <w:tc>
          <w:tcPr>
            <w:tcW w:w="8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8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(20,145)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(1,884)</w:t>
            </w:r>
          </w:p>
        </w:tc>
      </w:tr>
      <w:tr>
        <w:trPr>
          <w:trHeight w:val="236"/>
        </w:trPr>
        <w:tc>
          <w:tcPr>
            <w:tcW w:w="82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Deferred revenue</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288,619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72,644</w:t>
            </w:r>
          </w:p>
        </w:tc>
      </w:tr>
      <w:tr>
        <w:trPr>
          <w:trHeight w:val="40"/>
        </w:trPr>
        <w:tc>
          <w:tcPr>
            <w:tcW w:w="8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5"/>
        </w:trPr>
        <w:tc>
          <w:tcPr>
            <w:tcW w:w="8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(8,592)</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10,670</w:t>
            </w: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474,602</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(9,078)</w:t>
            </w:r>
          </w:p>
        </w:tc>
      </w:tr>
      <w:tr>
        <w:trPr>
          <w:trHeight w:val="40"/>
        </w:trPr>
        <w:tc>
          <w:tcPr>
            <w:tcW w:w="82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5"/>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Purchases of property and equipment and capitalization of internal use software development costs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(5,864)</w:t>
            </w:r>
          </w:p>
        </w:tc>
      </w:tr>
      <w:tr>
        <w:trPr>
          <w:trHeight w:val="40"/>
        </w:trPr>
        <w:tc>
          <w:tcPr>
            <w:tcW w:w="8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maturities of marketable securities</w:t>
            </w: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290,000</w:t>
            </w:r>
          </w:p>
        </w:tc>
      </w:tr>
      <w:tr>
        <w:trPr>
          <w:trHeight w:val="23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1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(48,660)</w:t>
            </w:r>
          </w:p>
        </w:tc>
      </w:tr>
      <w:tr>
        <w:trPr>
          <w:trHeight w:val="40"/>
        </w:trPr>
        <w:tc>
          <w:tcPr>
            <w:tcW w:w="8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Acquisitions of strategic investments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paid for business acquisitions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82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68"/>
        </w:trPr>
        <w:tc>
          <w:tcPr>
            <w:tcW w:w="8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(245,909)</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235,476</w:t>
            </w:r>
          </w:p>
        </w:tc>
      </w:tr>
      <w:tr>
        <w:trPr>
          <w:trHeight w:val="21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40"/>
        </w:trPr>
        <w:tc>
          <w:tcPr>
            <w:tcW w:w="8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 for taxes related to net share settlement of stock-based compensation awards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(3,181)</w:t>
            </w:r>
          </w:p>
        </w:tc>
      </w:tr>
      <w:tr>
        <w:trPr>
          <w:trHeight w:val="23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proceeds from issuance of common stock under employee stock purchase plan</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3,435</w:t>
            </w:r>
          </w:p>
        </w:tc>
      </w:tr>
      <w:tr>
        <w:trPr>
          <w:trHeight w:val="40"/>
        </w:trPr>
        <w:tc>
          <w:tcPr>
            <w:tcW w:w="8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issuance of Class A Common Stock</w:t>
            </w: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257,985</w:t>
            </w:r>
          </w:p>
        </w:tc>
      </w:tr>
      <w:tr>
        <w:trPr>
          <w:trHeight w:val="23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exercise of warrants</w:t>
            </w:r>
          </w:p>
        </w:tc>
        <w:tc>
          <w:tcPr>
            <w:tcW w:w="1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158,702</w:t>
            </w:r>
          </w:p>
        </w:tc>
      </w:tr>
      <w:tr>
        <w:trPr>
          <w:trHeight w:val="40"/>
        </w:trPr>
        <w:tc>
          <w:tcPr>
            <w:tcW w:w="8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5"/>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 to or on behalf of Symbotic Holdings LLC partners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416,941</w:t>
            </w:r>
          </w:p>
        </w:tc>
      </w:tr>
      <w:tr>
        <w:trPr>
          <w:trHeight w:val="40"/>
        </w:trPr>
        <w:tc>
          <w:tcPr>
            <w:tcW w:w="8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227,648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643,324</w:t>
            </w:r>
          </w:p>
        </w:tc>
      </w:tr>
    </w:tbl>
    <w:p>
      <w:pPr>
        <w:spacing w:after="0" w:line="200" w:lineRule="exact"/>
        <w:rPr>
          <w:sz w:val="20"/>
          <w:szCs w:val="20"/>
          <w:color w:val="auto"/>
        </w:rPr>
      </w:pP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13" w:name="page14"/>
    <w:bookmarkEnd w:id="13"/>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 beginning of period</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730,354</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260,918</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 end of period</w:t>
            </w:r>
          </w:p>
        </w:tc>
        <w:tc>
          <w:tcPr>
            <w:tcW w:w="4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958,002</w:t>
            </w:r>
          </w:p>
        </w:tc>
        <w:tc>
          <w:tcPr>
            <w:tcW w:w="80" w:type="dxa"/>
            <w:vAlign w:val="bottom"/>
          </w:tcPr>
          <w:p>
            <w:pPr>
              <w:spacing w:after="0"/>
              <w:rPr>
                <w:sz w:val="19"/>
                <w:szCs w:val="19"/>
                <w:color w:val="auto"/>
              </w:rPr>
            </w:pPr>
          </w:p>
        </w:tc>
        <w:tc>
          <w:tcPr>
            <w:tcW w:w="4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904,242</w:t>
            </w:r>
          </w:p>
        </w:tc>
      </w:tr>
      <w:tr>
        <w:trPr>
          <w:trHeight w:val="40"/>
        </w:trPr>
        <w:tc>
          <w:tcPr>
            <w:tcW w:w="82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5"/>
        </w:trPr>
        <w:tc>
          <w:tcPr>
            <w:tcW w:w="8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activities:</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0"/>
        </w:trPr>
        <w:tc>
          <w:tcPr>
            <w:tcW w:w="8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5"/>
        </w:trPr>
        <w:tc>
          <w:tcPr>
            <w:tcW w:w="8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 right-of-use assets obtained in exchange for operating lease liabilities</w:t>
            </w: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7,988</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5,818</w:t>
            </w:r>
          </w:p>
        </w:tc>
      </w:tr>
      <w:tr>
        <w:trPr>
          <w:trHeight w:val="236"/>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Transfer of equipment from deferred cost to property and equipment</w:t>
            </w: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7,982</w:t>
            </w:r>
          </w:p>
        </w:tc>
        <w:tc>
          <w:tcPr>
            <w:tcW w:w="80" w:type="dxa"/>
            <w:vAlign w:val="bottom"/>
          </w:tcPr>
          <w:p>
            <w:pPr>
              <w:spacing w:after="0"/>
              <w:rPr>
                <w:sz w:val="20"/>
                <w:szCs w:val="20"/>
                <w:color w:val="auto"/>
              </w:rPr>
            </w:pPr>
          </w:p>
        </w:tc>
        <w:tc>
          <w:tcPr>
            <w:tcW w:w="4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38,454</w:t>
            </w:r>
          </w:p>
        </w:tc>
      </w:tr>
      <w:tr>
        <w:trPr>
          <w:trHeight w:val="40"/>
        </w:trPr>
        <w:tc>
          <w:tcPr>
            <w:tcW w:w="8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6"/>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contribution to unconsolidated entity</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8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Symbotic Inc.</w:t>
      </w: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Operations</w:t>
      </w:r>
    </w:p>
    <w:p>
      <w:pPr>
        <w:spacing w:after="0" w:line="69" w:lineRule="exact"/>
        <w:rPr>
          <w:sz w:val="20"/>
          <w:szCs w:val="20"/>
          <w:color w:val="auto"/>
        </w:rPr>
      </w:pPr>
    </w:p>
    <w:p>
      <w:pPr>
        <w:ind w:firstLine="315"/>
        <w:spacing w:after="0" w:line="263" w:lineRule="auto"/>
        <w:rPr>
          <w:sz w:val="20"/>
          <w:szCs w:val="20"/>
          <w:color w:val="auto"/>
        </w:rPr>
      </w:pPr>
      <w:r>
        <w:rPr>
          <w:rFonts w:ascii="Times New Roman" w:cs="Times New Roman" w:eastAsia="Times New Roman" w:hAnsi="Times New Roman"/>
          <w:sz w:val="17"/>
          <w:szCs w:val="17"/>
          <w:color w:val="auto"/>
        </w:rPr>
        <w:t>SVF Investment Corp. 3, formerly known as SVF Investment III Corp., (“SVF 3” and, after the transactions described below, “Symbotic” or the “Company”) was a blank check company incorporated as a Cayman Islands exempted company on December 11, 2020. Warehouse Technologies LLC (“Legacy Warehouse”) was formed in December 2006 to make investments in companies that develop new technologies to improve operating efficiencies in modern warehouses. Symbotic LLC, a technology company that develops and commercializes innovative technologies for use within warehouse operations, and Symbotic Group Holdings, ULC were wholly owned subsidiaries of Legacy Warehouse. On December 12, 2021, (i) SVF 3 entered into an Agreement and Plan of Merger (the “Merger Agreement”) with Legacy Warehouse, Symbotic Holdings LLC (“Symbotic Holdings”), and Saturn Acquisition (DE) Corp., a wholly owned subsidiary of SVF 3 (“Merger Sub”), and (ii) Legacy Warehouse entered into an Agreement and Plan of Merger (the “Company Merger Agreement”) with Symbotic Holdings.</w:t>
      </w:r>
    </w:p>
    <w:p>
      <w:pPr>
        <w:spacing w:after="0" w:line="231" w:lineRule="exact"/>
        <w:rPr>
          <w:sz w:val="20"/>
          <w:szCs w:val="20"/>
          <w:color w:val="auto"/>
        </w:rPr>
      </w:pPr>
    </w:p>
    <w:p>
      <w:pPr>
        <w:ind w:right="120" w:firstLine="315"/>
        <w:spacing w:after="0" w:line="265" w:lineRule="auto"/>
        <w:rPr>
          <w:sz w:val="20"/>
          <w:szCs w:val="20"/>
          <w:color w:val="auto"/>
        </w:rPr>
      </w:pPr>
      <w:r>
        <w:rPr>
          <w:rFonts w:ascii="Times New Roman" w:cs="Times New Roman" w:eastAsia="Times New Roman" w:hAnsi="Times New Roman"/>
          <w:sz w:val="17"/>
          <w:szCs w:val="17"/>
          <w:color w:val="auto"/>
        </w:rPr>
        <w:t>On June 7, 2022, as contemplated by the Company Merger Agreement, Legacy Warehouse merged with and into Symbotic Holdings (the “Company Reorganization”), with Symbotic Holdings surviving the merger (“Interim Symbotic”). Immediately following such merger, on June 7, 2022, as contemplated by the Merger Agreement, SVF 3 transferred by way of continuation from the Cayman Islands and domesticated as a Delaware corporation, changing its name to “Symbotic Inc.”. Immediately following the domestication of SVF 3, on June 7, 2022, as contemplated by the Merger Agreement, Merger Sub merged with and into Interim Symbotic (the “Merger” and, together with the Company Reorganization, the “Business Combination”), with Interim Symbotic surviving the merger as a subsidiary of Symbotic (“New Symbotic Holdings”).</w:t>
      </w:r>
    </w:p>
    <w:p>
      <w:pPr>
        <w:spacing w:after="0" w:line="16" w:lineRule="exact"/>
        <w:rPr>
          <w:sz w:val="20"/>
          <w:szCs w:val="20"/>
          <w:color w:val="auto"/>
        </w:rPr>
      </w:pPr>
    </w:p>
    <w:p>
      <w:pPr>
        <w:ind w:right="40" w:firstLine="315"/>
        <w:spacing w:after="0" w:line="267" w:lineRule="auto"/>
        <w:rPr>
          <w:sz w:val="20"/>
          <w:szCs w:val="20"/>
          <w:color w:val="auto"/>
        </w:rPr>
      </w:pPr>
      <w:r>
        <w:rPr>
          <w:rFonts w:ascii="Times New Roman" w:cs="Times New Roman" w:eastAsia="Times New Roman" w:hAnsi="Times New Roman"/>
          <w:sz w:val="17"/>
          <w:szCs w:val="17"/>
          <w:color w:val="auto"/>
        </w:rPr>
        <w:t>Symbotic is an automation technology company established to develop technologies to improve operating efficiencies in modern warehouses. The Company’s vision is to make the supply chain work better for everyone. The Company does this by developing innovative, comprehensive technology solutions that dramatically improve supply chain operations. The Company currently automates the processing of pallets and cases in large warehouses for some of the largest retail companies in the world. Its systems enhance operations at the front end of the supply chain, and therefore benefit all supply partners further down the chain, irrespective of fulfillment strategy.</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headquarters are located in Wilmington, Massachusetts, and its Canadian headquarters are located in Montreal, Quebec.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Presentation and Consolidation</w:t>
      </w:r>
    </w:p>
    <w:p>
      <w:pPr>
        <w:spacing w:after="0" w:line="69" w:lineRule="exact"/>
        <w:rPr>
          <w:sz w:val="20"/>
          <w:szCs w:val="20"/>
          <w:color w:val="auto"/>
        </w:rPr>
      </w:pPr>
    </w:p>
    <w:p>
      <w:pPr>
        <w:ind w:right="40" w:firstLine="315"/>
        <w:spacing w:after="0" w:line="263"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U.S. dollars, in accordance with accounting principles generally accepted in the United States of America (“GAAP”). Certain information and note disclosures normally included in the Company’s annual audited consolidated financial statements and accompanying notes prepared in accordance with GAAP have been condensed in, or omitted from, these interim financial statements. Accordingly, these unaudited condensed consolidated financial statements included herein should be read in conjunction with the audited consolidated financial statements and accompanying notes thereto as of, and for the year ended, September 28, 2024, which are included within the Company’s Annual Report on Form 10-K filed with the SEC on December 4, 2024. The September 28, 2024 consolidated balance sheet included herein is derived from the Company’s audited consolidated financial statements. As a result of displaying amounts in thousands, rounding differences may exist in the financial statements and footnote tables.</w:t>
      </w:r>
    </w:p>
    <w:p>
      <w:pPr>
        <w:spacing w:after="0" w:line="231" w:lineRule="exact"/>
        <w:rPr>
          <w:sz w:val="20"/>
          <w:szCs w:val="20"/>
          <w:color w:val="auto"/>
        </w:rPr>
      </w:pPr>
    </w:p>
    <w:p>
      <w:pPr>
        <w:ind w:right="20" w:firstLine="315"/>
        <w:spacing w:after="0" w:line="265"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include the accounts of the Company and its wholly owned subsidiaries and majority-owned subsidiaries and reflect all adjustments (consisting solely of normal, recurring adjustments) which are, in the opinion of management, necessary for a fair statement of results for the interim periods presented. All intercompany balances and transactions have been eliminated in consolidation. The consolidated financial statements include 100% of the accounts of wholly owned and majority-owned subsidiaries and the ownership interest of the minority investor is recorded as a non-controlling interest in a subsidiary. The results of operations for the interim periods presented are not necessarily indicative of the results to be expected for any future period or the entire fiscal year.</w:t>
      </w:r>
    </w:p>
    <w:p>
      <w:pPr>
        <w:spacing w:after="0" w:line="16" w:lineRule="exact"/>
        <w:rPr>
          <w:sz w:val="20"/>
          <w:szCs w:val="20"/>
          <w:color w:val="auto"/>
        </w:rPr>
      </w:pPr>
    </w:p>
    <w:p>
      <w:pPr>
        <w:ind w:right="120" w:firstLine="315"/>
        <w:spacing w:after="0" w:line="297" w:lineRule="auto"/>
        <w:rPr>
          <w:sz w:val="20"/>
          <w:szCs w:val="20"/>
          <w:color w:val="auto"/>
        </w:rPr>
      </w:pPr>
      <w:r>
        <w:rPr>
          <w:rFonts w:ascii="Times New Roman" w:cs="Times New Roman" w:eastAsia="Times New Roman" w:hAnsi="Times New Roman"/>
          <w:sz w:val="17"/>
          <w:szCs w:val="17"/>
          <w:color w:val="auto"/>
        </w:rPr>
        <w:t>The Company operates and reports using a 52-53 week fiscal year ending on the last Saturday of September of each calendar year. Each of the Company’s fiscal quarters end on the last Saturday of the third month of each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69" w:lineRule="exact"/>
        <w:rPr>
          <w:sz w:val="20"/>
          <w:szCs w:val="20"/>
          <w:color w:val="auto"/>
        </w:rPr>
      </w:pPr>
    </w:p>
    <w:p>
      <w:pPr>
        <w:ind w:firstLine="315"/>
        <w:spacing w:after="0" w:line="265" w:lineRule="auto"/>
        <w:rPr>
          <w:sz w:val="20"/>
          <w:szCs w:val="20"/>
          <w:color w:val="auto"/>
        </w:rPr>
      </w:pPr>
      <w:r>
        <w:rPr>
          <w:rFonts w:ascii="Times New Roman" w:cs="Times New Roman" w:eastAsia="Times New Roman" w:hAnsi="Times New Roman"/>
          <w:sz w:val="17"/>
          <w:szCs w:val="17"/>
          <w:color w:val="auto"/>
        </w:rPr>
        <w:t>The preparation of unaudited condensed consolidated financial statements in conformity with GAAP requires management to make estimates, judgments, and assumptions that affect the reported amounts of assets, liabilities, revenue, and expenses, and the amounts disclosed in the related notes to the consolidated financial statements. Actual results and outcomes may differ materially from management’s estimates, judgments, and assumptions. Significant estimates, judgments, and assumptions used in these financial statements include, but are not limited to, those related to revenue, useful lives and realizability of long-lived assets, accounting for income taxes and related valuation allowances, and stock-based compensation. Estimates are periodically reviewed in light of changes in circumstances, facts, and experience.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Significant Accounting Policies</w:t>
      </w:r>
    </w:p>
    <w:p>
      <w:pPr>
        <w:spacing w:after="0" w:line="67" w:lineRule="exact"/>
        <w:rPr>
          <w:sz w:val="20"/>
          <w:szCs w:val="20"/>
          <w:color w:val="auto"/>
        </w:rPr>
      </w:pPr>
    </w:p>
    <w:p>
      <w:pPr>
        <w:ind w:right="160" w:firstLine="315"/>
        <w:spacing w:after="0" w:line="278" w:lineRule="auto"/>
        <w:rPr>
          <w:sz w:val="20"/>
          <w:szCs w:val="20"/>
          <w:color w:val="auto"/>
        </w:rPr>
      </w:pPr>
      <w:r>
        <w:rPr>
          <w:rFonts w:ascii="Times New Roman" w:cs="Times New Roman" w:eastAsia="Times New Roman" w:hAnsi="Times New Roman"/>
          <w:sz w:val="17"/>
          <w:szCs w:val="17"/>
          <w:color w:val="auto"/>
        </w:rPr>
        <w:t xml:space="preserve">The Company’s significant accounting policies are described in Note 2,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 to the audited consolidated financial statements and related notes thereto as of and for the year ended September 28, 2024. Except as noted below, there have been no material changes to the significant accounting policies during the three month period ended March 29, 2025.</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Acquisitions</w:t>
      </w:r>
    </w:p>
    <w:p>
      <w:pPr>
        <w:spacing w:after="0" w:line="69" w:lineRule="exact"/>
        <w:rPr>
          <w:sz w:val="20"/>
          <w:szCs w:val="20"/>
          <w:color w:val="auto"/>
        </w:rPr>
      </w:pPr>
    </w:p>
    <w:p>
      <w:pPr>
        <w:ind w:right="60" w:firstLine="315"/>
        <w:spacing w:after="0" w:line="262" w:lineRule="auto"/>
        <w:rPr>
          <w:sz w:val="20"/>
          <w:szCs w:val="20"/>
          <w:color w:val="auto"/>
        </w:rPr>
      </w:pPr>
      <w:r>
        <w:rPr>
          <w:rFonts w:ascii="Times New Roman" w:cs="Times New Roman" w:eastAsia="Times New Roman" w:hAnsi="Times New Roman"/>
          <w:sz w:val="17"/>
          <w:szCs w:val="17"/>
          <w:color w:val="auto"/>
        </w:rPr>
        <w:t>The Company allocates the fair value of purchase consideration to the tangible assets acquired, liabilities assumed, and intangible assets acquired based on their estimated fair values. The excess of the fair value of purchase consideration over the fair value of these identifiable assets and liabilities is recorded as goodwill. During the measurement period, which may be up to one year from the acquisition date, the Company may record adjustments to the fair value of these assets acquired and liabilities assumed with the corresponding offset to goodwill. Upon the conclusion of the final determination of the fair value of assets acquired or liabilities assumed, any subsequent adjustments are recorded to the consolidated statements of operations. Determining the fair value of the tangible assets acquired, liabilities assumed, and intangible assets requires management to make significant estimates and assumptions, especially with respect to intangible assets. Significant estimates in valuing certain intangible assets include, but are not limited to, cash flows that an asset is expected to generate in the future, technology migration curves, discount rates, and useful lives. While the Company uses its best estimates and judgements, the estimates are inherently uncertain and subject to refinement. Acquisition-related transaction costs are expensed as incurred.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69" w:lineRule="exact"/>
        <w:rPr>
          <w:sz w:val="20"/>
          <w:szCs w:val="20"/>
          <w:color w:val="auto"/>
        </w:rPr>
      </w:pPr>
    </w:p>
    <w:p>
      <w:pPr>
        <w:ind w:firstLine="315"/>
        <w:spacing w:after="0" w:line="262" w:lineRule="auto"/>
        <w:rPr>
          <w:sz w:val="20"/>
          <w:szCs w:val="20"/>
          <w:color w:val="auto"/>
        </w:rPr>
      </w:pPr>
      <w:r>
        <w:rPr>
          <w:rFonts w:ascii="Times New Roman" w:cs="Times New Roman" w:eastAsia="Times New Roman" w:hAnsi="Times New Roman"/>
          <w:sz w:val="17"/>
          <w:szCs w:val="17"/>
          <w:color w:val="auto"/>
        </w:rPr>
        <w:t>Goodwill represents the excess of cost over the fair value of the net tangible and identifiable intangible assets acquired in a business combination. Goodwill is not subject to amortization but is monitored annually for impairment or more frequently if there are indicators of impairment. The Company considers the following potential indicators of impairment: significant underperformance relative to historical or projected future operating results, significant changes in the Company’s use of acquired assets or the strategy of the Company’s overall business, significant negative industry or economic trends and a significant decline in the Company’s stock price for a sustained period. The Company performs its annual impairment test on the first day of its fourth fiscal quarter. The Company’s goodwill is evaluated at the consolidated level as it has been determined there is one operating segment comprised of one reporting unit. The Company performs a quantitative or qualitative assessment, which compares the fair value of the reporting unit with its carrying value. If the carrying amount of the reporting unit exceeds its fair value, an impairment loss is recognized. The Company will perform this assessment on the first day of the fourth fiscal quarter, or June 29,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Presentation of Restricted Cash</w:t>
      </w:r>
    </w:p>
    <w:p>
      <w:pPr>
        <w:spacing w:after="0" w:line="69" w:lineRule="exact"/>
        <w:rPr>
          <w:sz w:val="20"/>
          <w:szCs w:val="20"/>
          <w:color w:val="auto"/>
        </w:rPr>
      </w:pPr>
    </w:p>
    <w:p>
      <w:pPr>
        <w:ind w:right="120" w:firstLine="315"/>
        <w:spacing w:after="0" w:line="277" w:lineRule="auto"/>
        <w:rPr>
          <w:sz w:val="20"/>
          <w:szCs w:val="20"/>
          <w:color w:val="auto"/>
        </w:rPr>
      </w:pPr>
      <w:r>
        <w:rPr>
          <w:rFonts w:ascii="Times New Roman" w:cs="Times New Roman" w:eastAsia="Times New Roman" w:hAnsi="Times New Roman"/>
          <w:sz w:val="17"/>
          <w:szCs w:val="17"/>
          <w:color w:val="auto"/>
        </w:rPr>
        <w:t>Restricted cash primarily consists of collateral required for a credit card processing program and a U.S. customs bond. The short-term or long-term classification is determined in accordance with the required amount of time the cash is to be held as collateral, which is short-term for less than 12 months, and long-term for greater than 12 months from the balance sheet date.</w:t>
      </w:r>
    </w:p>
    <w:p>
      <w:pPr>
        <w:spacing w:after="0" w:line="5" w:lineRule="exact"/>
        <w:rPr>
          <w:sz w:val="20"/>
          <w:szCs w:val="20"/>
          <w:color w:val="auto"/>
        </w:rPr>
      </w:pPr>
    </w:p>
    <w:p>
      <w:pPr>
        <w:ind w:right="340" w:firstLine="315"/>
        <w:spacing w:after="0" w:line="297" w:lineRule="auto"/>
        <w:rPr>
          <w:sz w:val="20"/>
          <w:szCs w:val="20"/>
          <w:color w:val="auto"/>
        </w:rPr>
      </w:pPr>
      <w:r>
        <w:rPr>
          <w:rFonts w:ascii="Times New Roman" w:cs="Times New Roman" w:eastAsia="Times New Roman" w:hAnsi="Times New Roman"/>
          <w:sz w:val="17"/>
          <w:szCs w:val="17"/>
          <w:color w:val="auto"/>
        </w:rPr>
        <w:t>The following table summarizes the end-of-period cash and cash equivalents from the Company’s Consolidated Balance Sheets and the total cash, cash equivalents, and restricted cash as presented on the accompanying Consolidated Statements of Cash Flows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4"/>
          </w:tcPr>
          <w:p>
            <w:pPr>
              <w:jc w:val="right"/>
              <w:ind w:right="794"/>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31"/>
        </w:trPr>
        <w:tc>
          <w:tcPr>
            <w:tcW w:w="8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2"/>
        </w:trPr>
        <w:tc>
          <w:tcPr>
            <w:tcW w:w="8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60" w:type="dxa"/>
            <w:vAlign w:val="bottom"/>
          </w:tcPr>
          <w:p>
            <w:pPr>
              <w:spacing w:after="0"/>
              <w:rPr>
                <w:sz w:val="18"/>
                <w:szCs w:val="18"/>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March 30, 2024</w:t>
            </w:r>
          </w:p>
        </w:tc>
      </w:tr>
      <w:tr>
        <w:trPr>
          <w:trHeight w:val="31"/>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954,944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901,382</w:t>
            </w: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 classified in:</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0"/>
        </w:trPr>
        <w:tc>
          <w:tcPr>
            <w:tcW w:w="8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82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assets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2,860</w:t>
            </w:r>
          </w:p>
        </w:tc>
      </w:tr>
      <w:tr>
        <w:trPr>
          <w:trHeight w:val="40"/>
        </w:trPr>
        <w:tc>
          <w:tcPr>
            <w:tcW w:w="82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8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shown in the statement of cash flows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958,002</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904,242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Volume of Business</w:t>
      </w:r>
    </w:p>
    <w:p>
      <w:pPr>
        <w:spacing w:after="0" w:line="69" w:lineRule="exact"/>
        <w:rPr>
          <w:sz w:val="20"/>
          <w:szCs w:val="20"/>
          <w:color w:val="auto"/>
        </w:rPr>
      </w:pPr>
    </w:p>
    <w:p>
      <w:pPr>
        <w:ind w:right="240" w:firstLine="315"/>
        <w:spacing w:after="0" w:line="267" w:lineRule="auto"/>
        <w:rPr>
          <w:sz w:val="20"/>
          <w:szCs w:val="20"/>
          <w:color w:val="auto"/>
        </w:rPr>
      </w:pPr>
      <w:r>
        <w:rPr>
          <w:rFonts w:ascii="Times New Roman" w:cs="Times New Roman" w:eastAsia="Times New Roman" w:hAnsi="Times New Roman"/>
          <w:sz w:val="17"/>
          <w:szCs w:val="17"/>
          <w:color w:val="auto"/>
        </w:rPr>
        <w:t>The Company has concentration in the volume of purchases it conducts with its suppliers. For the three and six months ended March 29, 2025, there was one supplier that accounted for greater than 10% of total purchases, and the aggregate purchases amounted to $61.1 million and $104.2 million, respectively. For the three months ended March 30, 2024, there were two suppliers that accounted for greater than 10% of total purchases, and the aggregate purchases amounted to $92.0 million. For the six months ended March 30, 2024, there was one supplier that accounted for greater than 10% of total purchases, and the aggregate purchases amounted to $94.9 million.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 Accounting Pronouncements</w:t>
      </w:r>
    </w:p>
    <w:p>
      <w:pPr>
        <w:spacing w:after="0" w:line="69" w:lineRule="exact"/>
        <w:rPr>
          <w:sz w:val="20"/>
          <w:szCs w:val="20"/>
          <w:color w:val="auto"/>
        </w:rPr>
      </w:pPr>
    </w:p>
    <w:p>
      <w:pPr>
        <w:ind w:right="40" w:firstLine="315"/>
        <w:spacing w:after="0" w:line="261" w:lineRule="auto"/>
        <w:rPr>
          <w:sz w:val="20"/>
          <w:szCs w:val="20"/>
          <w:color w:val="auto"/>
        </w:rPr>
      </w:pPr>
      <w:r>
        <w:rPr>
          <w:rFonts w:ascii="Times New Roman" w:cs="Times New Roman" w:eastAsia="Times New Roman" w:hAnsi="Times New Roman"/>
          <w:sz w:val="17"/>
          <w:szCs w:val="17"/>
          <w:color w:val="auto"/>
        </w:rPr>
        <w:t>In November 2023, the Financial Accounting Standards Board (“FASB”) issued Accounting Standards Update (“ASU”) 2023-07, “Segment Reporting (Topic 280): Improvements to Reportable Segment Disclosures” (“ASU 2023-07”). ASU 2023-07 enhances segment reporting under Topic 280 by expanding the breadth and frequency of segment disclosures. ASU 2023-07 requires disclosure of significant expenses that are regularly provided to an entity’s chief operating decision maker (“CODM”) and included in the reported measure(s) of a segment’s profit or loss. When applying this disclosure requirement, an entity identifies the segment expenses that are regularly provided to the CODM or easily computable from information that is regularly provided to the CODM. Entities are also required to disclose other segment items, i.e., the difference between reported segment revenue less the significant segment expenses and the reported measure(s) of a segment’s profit or loss. ASU 2023-07 also clarifies that single reportable segment entities are subject to Topic 280 in its entirety. ASU 2023-07 is effective for public entities for fiscal years beginning after December 15, 2023, and interim periods in fiscal years beginning after December 15, 2024. The amendments in ASU 2023-07 should be adopted retrospectively unless impracticable. Early adoption is permitted. The disclosures required by ASU 2023-07 are not expected to have a material effect on the Company’s consolidated financial statements.</w:t>
      </w:r>
    </w:p>
    <w:p>
      <w:pPr>
        <w:spacing w:after="0" w:line="25" w:lineRule="exact"/>
        <w:rPr>
          <w:sz w:val="20"/>
          <w:szCs w:val="20"/>
          <w:color w:val="auto"/>
        </w:rPr>
      </w:pPr>
    </w:p>
    <w:p>
      <w:pPr>
        <w:ind w:right="80" w:firstLine="315"/>
        <w:spacing w:after="0" w:line="26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(“ASU 2023-09”). ASU 2023-09 requires public entities, on an annual basis, to provide: a tabular rate reconciliation (using both percentages and reporting currency amounts) of (1) the reported income tax expense (or benefit) from continuing operations, to (2) the product of the income (or loss) from continuing operations before income taxes and the applicable statutory federal (national) income tax rate of the jurisdiction (country) of domicile using specific categories, and separate disclosure for any reconciling items within certain categories that are equal to or greater than a specified quantitative threshold. For each annual period presented, ASU 2023-09 also requires all reporting entities to disclose the year-to-date amount of income taxes paid (net of refunds received) disaggregated by federal (national), state, and foreign. It also requires additional disaggregated information on income taxes paid (net of refunds received) to an individual jurisdiction equal to or greater than 5% of total income taxes paid (net of refunds received). ASU 2023-09 is effective for public entities for fiscal years beginning after December 15, 2024. ASU 2023-09 is to be applied on a prospective basis with the option to apply the standard retrospectively. Early adoption is permitted. The Company is currently evaluating the impact that ASU 2023-09 will have on its consolidated financial statements.</w:t>
      </w:r>
    </w:p>
    <w:p>
      <w:pPr>
        <w:spacing w:after="0" w:line="25" w:lineRule="exact"/>
        <w:rPr>
          <w:sz w:val="20"/>
          <w:szCs w:val="20"/>
          <w:color w:val="auto"/>
        </w:rPr>
      </w:pPr>
    </w:p>
    <w:p>
      <w:pPr>
        <w:ind w:right="80" w:firstLine="315"/>
        <w:spacing w:after="0" w:line="267"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Income-Expense Disaggregation Disclosures (Subtopic 220-40) - Disaggregation of Income Statement Expenses” (“ASU 2024-03”),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The Company is currently evaluating the impact that ASU 2024-03 will have on its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360" w:firstLine="315"/>
        <w:spacing w:after="0" w:line="297" w:lineRule="auto"/>
        <w:rPr>
          <w:sz w:val="20"/>
          <w:szCs w:val="20"/>
          <w:color w:val="auto"/>
        </w:rPr>
      </w:pPr>
      <w:r>
        <w:rPr>
          <w:rFonts w:ascii="Times New Roman" w:cs="Times New Roman" w:eastAsia="Times New Roman" w:hAnsi="Times New Roman"/>
          <w:sz w:val="17"/>
          <w:szCs w:val="17"/>
          <w:color w:val="auto"/>
        </w:rPr>
        <w:t>The Company considers the applicability and impact of all ASUs issued by the FASB. There are no other accounting pronouncements which have been issued but are not yet effective that would have a material impact on the consolidated financial statements when adopted.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Noncontrolling Interests</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Noncontrolling interests represent the portion of net assets in consolidated entities that are not owned by the Company.</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ownership of Symbotic stock for the three months ended March 29, 2025.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40" w:type="dxa"/>
            <w:vAlign w:val="bottom"/>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Class A Common</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Class V-1 and Class</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Class A Common</w:t>
            </w: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Class V-1 and Class</w:t>
            </w:r>
          </w:p>
        </w:tc>
        <w:tc>
          <w:tcPr>
            <w:tcW w:w="1400" w:type="dxa"/>
            <w:vAlign w:val="bottom"/>
          </w:tcPr>
          <w:p>
            <w:pPr>
              <w:spacing w:after="0"/>
              <w:rPr>
                <w:sz w:val="17"/>
                <w:szCs w:val="17"/>
                <w:color w:val="auto"/>
              </w:rPr>
            </w:pPr>
          </w:p>
        </w:tc>
      </w:tr>
      <w:tr>
        <w:trPr>
          <w:trHeight w:val="208"/>
        </w:trPr>
        <w:tc>
          <w:tcPr>
            <w:tcW w:w="224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V-3 Common Stock</w:t>
            </w:r>
          </w:p>
        </w:tc>
        <w:tc>
          <w:tcPr>
            <w:tcW w:w="138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V-3 Common Stock</w:t>
            </w:r>
          </w:p>
        </w:tc>
        <w:tc>
          <w:tcPr>
            <w:tcW w:w="1400" w:type="dxa"/>
            <w:vAlign w:val="bottom"/>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1"/>
        </w:trPr>
        <w:tc>
          <w:tcPr>
            <w:tcW w:w="22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8"/>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28, 2024</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106,521,915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480,897,814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587,419,729</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6"/>
        </w:trPr>
        <w:tc>
          <w:tcPr>
            <w:tcW w:w="22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Issuances</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1,493,564</w:t>
            </w:r>
          </w:p>
        </w:tc>
        <w:tc>
          <w:tcPr>
            <w:tcW w:w="10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1,493,564</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0"/>
        </w:trPr>
        <w:tc>
          <w:tcPr>
            <w:tcW w:w="2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75"/>
        </w:trPr>
        <w:tc>
          <w:tcPr>
            <w:tcW w:w="2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Exchanges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365,293</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(365,293)</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62"/>
        </w:trPr>
        <w:tc>
          <w:tcPr>
            <w:tcW w:w="2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March 29, 2025</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108,380,772</w:t>
            </w: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480,532,521</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588,913,293</w:t>
            </w:r>
          </w:p>
        </w:tc>
        <w:tc>
          <w:tcPr>
            <w:tcW w:w="8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18.4 %</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81.6 %</w:t>
            </w:r>
          </w:p>
        </w:tc>
        <w:tc>
          <w:tcPr>
            <w:tcW w:w="8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6"/>
        </w:trPr>
        <w:tc>
          <w:tcPr>
            <w:tcW w:w="22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ownership of Symbotic stock for the six months ended March 29, 2025.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4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Class A Common</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Class V-1 and Class</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Class A Common</w:t>
            </w: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Class V-1 and Class</w:t>
            </w:r>
          </w:p>
        </w:tc>
        <w:tc>
          <w:tcPr>
            <w:tcW w:w="1380" w:type="dxa"/>
            <w:vAlign w:val="bottom"/>
          </w:tcPr>
          <w:p>
            <w:pPr>
              <w:spacing w:after="0"/>
              <w:rPr>
                <w:sz w:val="17"/>
                <w:szCs w:val="17"/>
                <w:color w:val="auto"/>
              </w:rPr>
            </w:pPr>
          </w:p>
        </w:tc>
      </w:tr>
      <w:tr>
        <w:trPr>
          <w:trHeight w:val="208"/>
        </w:trPr>
        <w:tc>
          <w:tcPr>
            <w:tcW w:w="244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V-3 Common Stock</w:t>
            </w: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V-3 Common Stock</w:t>
            </w:r>
          </w:p>
        </w:tc>
        <w:tc>
          <w:tcPr>
            <w:tcW w:w="1380" w:type="dxa"/>
            <w:vAlign w:val="bottom"/>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1"/>
        </w:trPr>
        <w:tc>
          <w:tcPr>
            <w:tcW w:w="24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8"/>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28, 2024</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104,689,377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481,274,582</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585,963,959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6"/>
        </w:trPr>
        <w:tc>
          <w:tcPr>
            <w:tcW w:w="24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Issuances</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3,146,235</w:t>
            </w:r>
          </w:p>
        </w:tc>
        <w:tc>
          <w:tcPr>
            <w:tcW w:w="10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3,146,235</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0"/>
        </w:trPr>
        <w:tc>
          <w:tcPr>
            <w:tcW w:w="24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5"/>
        </w:trPr>
        <w:tc>
          <w:tcPr>
            <w:tcW w:w="2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Exchanges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545,160</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(545,160)</w:t>
            </w:r>
          </w:p>
        </w:tc>
        <w:tc>
          <w:tcPr>
            <w:tcW w:w="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36"/>
        </w:trPr>
        <w:tc>
          <w:tcPr>
            <w:tcW w:w="24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Cancellations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(196,901)</w:t>
            </w: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(196,901)</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0"/>
        </w:trPr>
        <w:tc>
          <w:tcPr>
            <w:tcW w:w="244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87"/>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29, 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108,380,772</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480,532,521</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588,913,293</w:t>
            </w:r>
          </w:p>
        </w:tc>
        <w:tc>
          <w:tcPr>
            <w:tcW w:w="1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18.4 %</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81.6 %</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Revenue</w:t>
      </w:r>
    </w:p>
    <w:p>
      <w:pPr>
        <w:spacing w:after="0" w:line="69" w:lineRule="exact"/>
        <w:rPr>
          <w:sz w:val="20"/>
          <w:szCs w:val="20"/>
          <w:color w:val="auto"/>
        </w:rPr>
      </w:pPr>
    </w:p>
    <w:p>
      <w:pPr>
        <w:ind w:firstLine="315"/>
        <w:spacing w:after="0" w:line="264" w:lineRule="auto"/>
        <w:rPr>
          <w:sz w:val="20"/>
          <w:szCs w:val="20"/>
          <w:color w:val="auto"/>
        </w:rPr>
      </w:pPr>
      <w:r>
        <w:rPr>
          <w:rFonts w:ascii="Times New Roman" w:cs="Times New Roman" w:eastAsia="Times New Roman" w:hAnsi="Times New Roman"/>
          <w:sz w:val="17"/>
          <w:szCs w:val="17"/>
          <w:color w:val="auto"/>
        </w:rPr>
        <w:t>The Company generates revenue through its design and installation of supply chain automation systems (the “System”) to automate customers’ depalletizing, storage, selection, and palletization warehousing processes. The System has both a hardware component and an essential software component that enables the System to be programmed to operate within specific customer environments. The Company enters into contracts with customers that can include various combinations of services to design and install the System. These services are generally distinct and accounted for as separate performance obligations. As a result, each customer contract may contain multiple performance obligations. The Company determines whether performance obligations are distinct based on whether the customer can benefit from the good or service on its own or together with other resources that are readily available and whether the Company’s commitment to provide the goods or services to the customer is separately identifiable from other obligations in the contract.</w:t>
      </w:r>
    </w:p>
    <w:p>
      <w:pPr>
        <w:spacing w:after="0" w:line="16" w:lineRule="exact"/>
        <w:rPr>
          <w:sz w:val="20"/>
          <w:szCs w:val="20"/>
          <w:color w:val="auto"/>
        </w:rPr>
      </w:pPr>
    </w:p>
    <w:p>
      <w:pPr>
        <w:ind w:right="120" w:firstLine="315"/>
        <w:spacing w:after="0" w:line="264" w:lineRule="auto"/>
        <w:rPr>
          <w:sz w:val="20"/>
          <w:szCs w:val="20"/>
          <w:color w:val="auto"/>
        </w:rPr>
      </w:pPr>
      <w:r>
        <w:rPr>
          <w:rFonts w:ascii="Times New Roman" w:cs="Times New Roman" w:eastAsia="Times New Roman" w:hAnsi="Times New Roman"/>
          <w:sz w:val="17"/>
          <w:szCs w:val="17"/>
          <w:color w:val="auto"/>
        </w:rPr>
        <w:t>The Company recognizes revenue upon transfer of control of promised goods or services in a contract with a customer, generally as title and risk of loss pass to the customer, in an amount that reflects the consideration the Company expects to receive in exchange for those goods or services. Revenue is recognized only to the extent that it is probable that a significant reversal of revenue will not occur and when collection is considered probable. In instances where the timing of revenue recognition differs from the timing of invoicing, the Company has determined its contracts do not include a significant financing component. Taxes collected from customers, which are subsequently remitted to governmental authorities, are excluded from revenue. Shipping and handling costs billed to customers are included in revenue and the related costs are included in cost of revenue when incurred. The Company presents amounts collected from customers for sales and other taxes net of the related amounts remitted.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40" w:firstLine="315"/>
        <w:spacing w:after="0" w:line="265" w:lineRule="auto"/>
        <w:rPr>
          <w:sz w:val="20"/>
          <w:szCs w:val="20"/>
          <w:color w:val="auto"/>
        </w:rPr>
      </w:pPr>
      <w:r>
        <w:rPr>
          <w:rFonts w:ascii="Times New Roman" w:cs="Times New Roman" w:eastAsia="Times New Roman" w:hAnsi="Times New Roman"/>
          <w:sz w:val="17"/>
          <w:szCs w:val="17"/>
          <w:color w:val="auto"/>
        </w:rPr>
        <w:t>The design, assembly, and installation of a System includes substantive customer-specified acceptance criteria that allow the customer to accept or reject Systems that do not meet the customer’s specifications. When the Company cannot objectively determine that acceptance criteria will be met upon contract inception, revenue relating to Systems is deferred and recognized at a point in time upon final acceptance from the customer. If acceptance can be reasonably certain upon contract inception, revenue is recognized over time based on an input method, using a cost-to-cost measure of progress. Under this method, revenue is recorded based on the ratio of costs incurred over total estimated contract costs. This method provides a faithful depiction of the transfer of the System to the customer because the costs incurred represent the Company’s inputs towards satisfying the performance obligation.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Disaggregation of Revenue</w:t>
      </w:r>
    </w:p>
    <w:p>
      <w:pPr>
        <w:spacing w:after="0" w:line="69" w:lineRule="exact"/>
        <w:rPr>
          <w:sz w:val="20"/>
          <w:szCs w:val="20"/>
          <w:color w:val="auto"/>
        </w:rPr>
      </w:pPr>
    </w:p>
    <w:p>
      <w:pPr>
        <w:ind w:right="500" w:firstLine="315"/>
        <w:spacing w:after="0" w:line="297" w:lineRule="auto"/>
        <w:rPr>
          <w:sz w:val="20"/>
          <w:szCs w:val="20"/>
          <w:color w:val="auto"/>
        </w:rPr>
      </w:pPr>
      <w:r>
        <w:rPr>
          <w:rFonts w:ascii="Times New Roman" w:cs="Times New Roman" w:eastAsia="Times New Roman" w:hAnsi="Times New Roman"/>
          <w:sz w:val="17"/>
          <w:szCs w:val="17"/>
          <w:color w:val="auto"/>
        </w:rPr>
        <w:t>The Company provides disaggregation of revenue based on product and service type on the consolidated statements of operations as it believes these categories best depict how the nature, amount, timing, and uncertainty of revenue and cash flows are affected by economic factors.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Balances</w:t>
      </w:r>
    </w:p>
    <w:p>
      <w:pPr>
        <w:spacing w:after="0" w:line="69" w:lineRule="exact"/>
        <w:rPr>
          <w:sz w:val="20"/>
          <w:szCs w:val="20"/>
          <w:color w:val="auto"/>
        </w:rPr>
      </w:pPr>
    </w:p>
    <w:p>
      <w:pPr>
        <w:ind w:right="60" w:firstLine="315"/>
        <w:spacing w:after="0" w:line="297" w:lineRule="auto"/>
        <w:rPr>
          <w:sz w:val="20"/>
          <w:szCs w:val="20"/>
          <w:color w:val="auto"/>
        </w:rPr>
      </w:pPr>
      <w:r>
        <w:rPr>
          <w:rFonts w:ascii="Times New Roman" w:cs="Times New Roman" w:eastAsia="Times New Roman" w:hAnsi="Times New Roman"/>
          <w:sz w:val="17"/>
          <w:szCs w:val="17"/>
          <w:color w:val="auto"/>
        </w:rPr>
        <w:t>The following table provides information about accounts receivable, unbilled accounts receivable, and contract liabilities from contracts with customers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20" w:type="dxa"/>
            <w:vAlign w:val="bottom"/>
          </w:tcPr>
          <w:p>
            <w:pPr>
              <w:spacing w:after="0"/>
              <w:rPr>
                <w:sz w:val="18"/>
                <w:szCs w:val="18"/>
                <w:color w:val="auto"/>
              </w:rPr>
            </w:pPr>
          </w:p>
        </w:tc>
        <w:tc>
          <w:tcPr>
            <w:tcW w:w="17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September 28, 2024</w:t>
            </w:r>
          </w:p>
        </w:tc>
      </w:tr>
      <w:tr>
        <w:trPr>
          <w:trHeight w:val="31"/>
        </w:trPr>
        <w:tc>
          <w:tcPr>
            <w:tcW w:w="7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201,548</w:t>
            </w:r>
          </w:p>
        </w:tc>
      </w:tr>
      <w:tr>
        <w:trPr>
          <w:trHeight w:val="236"/>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Unbilled accounts receivable</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160,248</w:t>
            </w:r>
          </w:p>
        </w:tc>
        <w:tc>
          <w:tcPr>
            <w:tcW w:w="10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218,233</w:t>
            </w:r>
          </w:p>
        </w:tc>
      </w:tr>
      <w:tr>
        <w:trPr>
          <w:trHeight w:val="40"/>
        </w:trPr>
        <w:tc>
          <w:tcPr>
            <w:tcW w:w="7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3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liabilities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1,094,449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805,547</w:t>
            </w:r>
          </w:p>
        </w:tc>
      </w:tr>
      <w:tr>
        <w:trPr>
          <w:trHeight w:val="40"/>
        </w:trPr>
        <w:tc>
          <w:tcPr>
            <w:tcW w:w="71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r>
    </w:tbl>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change in the opening and closing balances of the Company’s accounts receivable primarily results from the increase in customer system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implementations in the current fiscal year as well as the timing of when customer payments are due. The change in the opening and closing balances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contract liabilities primarily results from the timing difference between the Company’s performance and customer payments. The Company’s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performance obligations are typically satisfied over time as work is performed. Payment from customers can vary, and is often received in advance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satisfaction of the performance obligations, resulting in a contract liability balance. During the six months ended March 29, 2025, the Company recognized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$420.0 million of the contract liability balance at September 28, 2024, as revenue upon transfer of the products or services to customers. During the six months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ended March 30, 2024, the Company recognized $459.2 million of the contract liability balance at September 30, 2023, as revenue upon transfer of the products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services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Remaining Performance Obligations</w:t>
      </w:r>
    </w:p>
    <w:p>
      <w:pPr>
        <w:spacing w:after="0" w:line="69" w:lineRule="exact"/>
        <w:rPr>
          <w:sz w:val="20"/>
          <w:szCs w:val="20"/>
          <w:color w:val="auto"/>
        </w:rPr>
      </w:pPr>
    </w:p>
    <w:p>
      <w:pPr>
        <w:ind w:right="60" w:firstLine="315"/>
        <w:spacing w:after="0" w:line="259" w:lineRule="auto"/>
        <w:rPr>
          <w:sz w:val="20"/>
          <w:szCs w:val="20"/>
          <w:color w:val="auto"/>
        </w:rPr>
      </w:pPr>
      <w:r>
        <w:rPr>
          <w:rFonts w:ascii="Times New Roman" w:cs="Times New Roman" w:eastAsia="Times New Roman" w:hAnsi="Times New Roman"/>
          <w:sz w:val="17"/>
          <w:szCs w:val="17"/>
          <w:color w:val="auto"/>
        </w:rPr>
        <w:t>Remaining performance obligations represent the aggregate amount of the transaction price allocated to performance obligations not delivered, or partially undelivered, at the end of the reporting period. Remaining performance obligations include deferred revenue plus unbilled amounts not yet recorded in deferred revenue. Remaining performance obligation estimates are subject to change and are affected by several factors, including terminations, changes in scope of contracts, periodic revalidation, adjustments for revenue that have not materialized, adjustments for inflation, and adjustments for currency. The definition of remaining performance obligations excludes those contracts that provide the customer with the right to cancel or terminate the contract without incurring a substantial penalty as well as operation services contracts. For contracts with a duration of greater than one year, the transaction price allocated to performance obligations that are unsatisfied as of March 29, 2025 was $22.7 billion, which is primarily comprised of undelivered or partially undelivered Systems under contract, and which a substantial majority relates to undelivered or partially undelivered Systems in connection with the Master Automation Agreement (“MAA”) with Walmart Inc. (“Walmart”) to implement Systems in all of Walmart’s 42 regional distribution centers, and in connection with the Commercial Agreement with GreenBox Systems LLC (“GreenBox”) under which Symbotic will implement its System into GreenBox distribution center locations. As the Company accounts for GreenBox as an equity method investment, the remaining performance obligation includes the Company’s proportionate share of unconsolidated variable interest entity contracts. In the second quarter of fiscal year 2025, Symbotic LLC entered into a Master Automation Agreement (“2025 MAA”), which sets forth the terms and conditions governing the development, manufacture, and installation of accelerated pickup and delivery systems (“APDs”) by Symbotic LLC for Walmart. The 2025 MAA provides for a commitment, subject to the satisfaction of defined system performance metrics of the APDs, from Walmart to purchase 400 APDs, which could increase the Company’s future remaining performance obligation by more than $5.0 billion. The Company expects to recognize approximately 11% of its remaining performance obligations as revenue in the next 12 months, approximately 53% of its remaining performance obligations as revenue within the following 13 to 60 months, and the remaining thereafter, which is dependent on the timing of System installation timelines. The Company does not disclose the value of remaining performance obligations for contracts with an original expected duration of one year or less.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Significant Customers</w:t>
      </w:r>
    </w:p>
    <w:p>
      <w:pPr>
        <w:spacing w:after="0" w:line="69" w:lineRule="exact"/>
        <w:rPr>
          <w:sz w:val="20"/>
          <w:szCs w:val="20"/>
          <w:color w:val="auto"/>
        </w:rPr>
      </w:pPr>
    </w:p>
    <w:p>
      <w:pPr>
        <w:ind w:right="340" w:firstLine="315"/>
        <w:spacing w:after="0" w:line="297" w:lineRule="auto"/>
        <w:rPr>
          <w:sz w:val="20"/>
          <w:szCs w:val="20"/>
          <w:color w:val="auto"/>
        </w:rPr>
      </w:pPr>
      <w:r>
        <w:rPr>
          <w:rFonts w:ascii="Times New Roman" w:cs="Times New Roman" w:eastAsia="Times New Roman" w:hAnsi="Times New Roman"/>
          <w:sz w:val="17"/>
          <w:szCs w:val="17"/>
          <w:color w:val="auto"/>
        </w:rPr>
        <w:t>For the three and six months ended March 29, 2025 and March 30, 2024, there was one customer, including all affiliates, subsidiaries, and consolidated entities, that individually accounted for 10% or more of total revenue. The following table represents this customer’s aggregate percent of total revenue.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60" w:type="dxa"/>
            <w:vAlign w:val="bottom"/>
          </w:tcPr>
          <w:p>
            <w:pPr>
              <w:spacing w:after="0"/>
              <w:rPr>
                <w:sz w:val="18"/>
                <w:szCs w:val="18"/>
                <w:color w:val="auto"/>
              </w:rPr>
            </w:pPr>
          </w:p>
        </w:tc>
        <w:tc>
          <w:tcPr>
            <w:tcW w:w="3220" w:type="dxa"/>
            <w:vAlign w:val="bottom"/>
            <w:gridSpan w:val="4"/>
          </w:tcPr>
          <w:p>
            <w:pPr>
              <w:ind w:left="8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160" w:type="dxa"/>
            <w:vAlign w:val="bottom"/>
            <w:gridSpan w:val="3"/>
          </w:tcPr>
          <w:p>
            <w:pPr>
              <w:jc w:val="right"/>
              <w:ind w:right="877"/>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31"/>
        </w:trPr>
        <w:tc>
          <w:tcPr>
            <w:tcW w:w="486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2"/>
        </w:trPr>
        <w:tc>
          <w:tcPr>
            <w:tcW w:w="4860" w:type="dxa"/>
            <w:vAlign w:val="bottom"/>
          </w:tcPr>
          <w:p>
            <w:pPr>
              <w:spacing w:after="0"/>
              <w:rPr>
                <w:sz w:val="18"/>
                <w:szCs w:val="18"/>
                <w:color w:val="auto"/>
              </w:rPr>
            </w:pP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540" w:type="dxa"/>
            <w:vAlign w:val="bottom"/>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March 30, 2024</w:t>
            </w:r>
          </w:p>
        </w:tc>
      </w:tr>
      <w:tr>
        <w:trPr>
          <w:trHeight w:val="31"/>
        </w:trPr>
        <w:tc>
          <w:tcPr>
            <w:tcW w:w="48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A</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83.7 %</w:t>
            </w:r>
          </w:p>
        </w:tc>
      </w:tr>
      <w:tr>
        <w:trPr>
          <w:trHeight w:val="40"/>
        </w:trPr>
        <w:tc>
          <w:tcPr>
            <w:tcW w:w="48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14" w:lineRule="exact"/>
        <w:rPr>
          <w:sz w:val="20"/>
          <w:szCs w:val="20"/>
          <w:color w:val="auto"/>
        </w:rPr>
      </w:pPr>
    </w:p>
    <w:p>
      <w:pPr>
        <w:ind w:right="180" w:firstLine="315"/>
        <w:spacing w:after="0" w:line="270" w:lineRule="auto"/>
        <w:rPr>
          <w:sz w:val="20"/>
          <w:szCs w:val="20"/>
          <w:color w:val="auto"/>
        </w:rPr>
      </w:pPr>
      <w:r>
        <w:rPr>
          <w:rFonts w:ascii="Times New Roman" w:cs="Times New Roman" w:eastAsia="Times New Roman" w:hAnsi="Times New Roman"/>
          <w:sz w:val="17"/>
          <w:szCs w:val="17"/>
          <w:color w:val="auto"/>
        </w:rPr>
        <w:t>At March 29, 2025, three customers accounted for over 10% of the Company’s accounts receivable balance, and one customer accounted for over 10% of the Company’s accounts receivable balance at September 28, 2024. The following table represents these customers’ aggregate percent of total accounts receivable. The symbol “n/a” indicates that such customer’s accounts receivable balance at the period indicated within the table did not exceed 10% of the Company’s accounts receivable balance.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40" w:type="dxa"/>
            <w:vAlign w:val="bottom"/>
          </w:tcPr>
          <w:p>
            <w:pPr>
              <w:spacing w:after="0"/>
              <w:rPr>
                <w:sz w:val="18"/>
                <w:szCs w:val="18"/>
                <w:color w:val="auto"/>
              </w:rPr>
            </w:pPr>
          </w:p>
        </w:tc>
        <w:tc>
          <w:tcPr>
            <w:tcW w:w="158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w w:val="95"/>
              </w:rPr>
              <w:t>March 29, 2025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September 28, 2024</w:t>
            </w:r>
          </w:p>
        </w:tc>
      </w:tr>
      <w:tr>
        <w:trPr>
          <w:trHeight w:val="31"/>
        </w:trPr>
        <w:tc>
          <w:tcPr>
            <w:tcW w:w="6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8"/>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A</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66.9 %</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92.8 %</w:t>
            </w:r>
          </w:p>
        </w:tc>
      </w:tr>
      <w:tr>
        <w:trPr>
          <w:trHeight w:val="236"/>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Customer B</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13.1 %</w:t>
            </w: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40"/>
        </w:trPr>
        <w:tc>
          <w:tcPr>
            <w:tcW w:w="69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75"/>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C</w:t>
            </w:r>
          </w:p>
        </w:tc>
        <w:tc>
          <w:tcPr>
            <w:tcW w:w="15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10.3 %</w:t>
            </w:r>
          </w:p>
        </w:tc>
        <w:tc>
          <w:tcPr>
            <w:tcW w:w="1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Aggregate Percent of Total Accounts Receivable</w:t>
            </w:r>
          </w:p>
        </w:tc>
        <w:tc>
          <w:tcPr>
            <w:tcW w:w="15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90.3 %</w:t>
            </w:r>
          </w:p>
        </w:tc>
        <w:tc>
          <w:tcPr>
            <w:tcW w:w="100" w:type="dxa"/>
            <w:vAlign w:val="bottom"/>
          </w:tcPr>
          <w:p>
            <w:pPr>
              <w:spacing w:after="0"/>
              <w:rPr>
                <w:sz w:val="19"/>
                <w:szCs w:val="19"/>
                <w:color w:val="auto"/>
              </w:rPr>
            </w:pP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92.8 %</w:t>
            </w:r>
          </w:p>
        </w:tc>
      </w:tr>
    </w:tbl>
    <w:p>
      <w:pPr>
        <w:spacing w:after="0" w:line="153" w:lineRule="exact"/>
        <w:rPr>
          <w:sz w:val="20"/>
          <w:szCs w:val="20"/>
          <w:color w:val="auto"/>
        </w:rPr>
      </w:pPr>
    </w:p>
    <w:p>
      <w:pPr>
        <w:ind w:right="200" w:firstLine="315"/>
        <w:spacing w:after="0" w:line="277" w:lineRule="auto"/>
        <w:rPr>
          <w:sz w:val="20"/>
          <w:szCs w:val="20"/>
          <w:color w:val="auto"/>
        </w:rPr>
      </w:pPr>
      <w:r>
        <w:rPr>
          <w:rFonts w:ascii="Times New Roman" w:cs="Times New Roman" w:eastAsia="Times New Roman" w:hAnsi="Times New Roman"/>
          <w:sz w:val="17"/>
          <w:szCs w:val="17"/>
          <w:color w:val="auto"/>
        </w:rPr>
        <w:t>The concentration in the volume of business transacted with these customers may lead to a material impact on the Company’s results from operations if a total or partial loss of the business relationship were to occur. As of the date of the issuance of these financial statements, the Company is not aware of any specific event or circumstance which would result in a material adverse impact to its results of operations or liquidity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Leases</w:t>
      </w:r>
    </w:p>
    <w:p>
      <w:pPr>
        <w:spacing w:after="0" w:line="69" w:lineRule="exact"/>
        <w:rPr>
          <w:sz w:val="20"/>
          <w:szCs w:val="20"/>
          <w:color w:val="auto"/>
        </w:rPr>
      </w:pPr>
    </w:p>
    <w:p>
      <w:pPr>
        <w:ind w:right="980" w:firstLine="315"/>
        <w:spacing w:after="0" w:line="289" w:lineRule="auto"/>
        <w:rPr>
          <w:sz w:val="20"/>
          <w:szCs w:val="20"/>
          <w:color w:val="auto"/>
        </w:rPr>
      </w:pPr>
      <w:r>
        <w:rPr>
          <w:rFonts w:ascii="Times New Roman" w:cs="Times New Roman" w:eastAsia="Times New Roman" w:hAnsi="Times New Roman"/>
          <w:sz w:val="17"/>
          <w:szCs w:val="17"/>
          <w:color w:val="auto"/>
        </w:rPr>
        <w:t>The Company leases office space in Wilmington, MA, Montreal, QC, Plant City, FL, Andover, MA, and Milpitas, CA through operating lease arrangements. The Company has no finance lease agreements. The operating lease arrangements expire at various dates through December 2030.</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the balance sheet location of the Company’s operating leases for each of the periods presented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80" w:type="dxa"/>
            <w:vAlign w:val="bottom"/>
          </w:tcPr>
          <w:p>
            <w:pPr>
              <w:spacing w:after="0"/>
              <w:rPr>
                <w:sz w:val="20"/>
                <w:szCs w:val="20"/>
                <w:color w:val="auto"/>
              </w:rPr>
            </w:pPr>
          </w:p>
        </w:tc>
        <w:tc>
          <w:tcPr>
            <w:tcW w:w="182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September 28, 2024</w:t>
            </w:r>
          </w:p>
        </w:tc>
      </w:tr>
      <w:tr>
        <w:trPr>
          <w:trHeight w:val="31"/>
        </w:trPr>
        <w:tc>
          <w:tcPr>
            <w:tcW w:w="7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5"/>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ROU assets:</w:t>
            </w:r>
          </w:p>
        </w:tc>
        <w:tc>
          <w:tcPr>
            <w:tcW w:w="3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r>
      <w:tr>
        <w:trPr>
          <w:trHeight w:val="236"/>
        </w:trPr>
        <w:tc>
          <w:tcPr>
            <w:tcW w:w="7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assets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15,257</w:t>
            </w:r>
          </w:p>
        </w:tc>
      </w:tr>
      <w:tr>
        <w:trPr>
          <w:trHeight w:val="40"/>
        </w:trPr>
        <w:tc>
          <w:tcPr>
            <w:tcW w:w="7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62"/>
        </w:trPr>
        <w:tc>
          <w:tcPr>
            <w:tcW w:w="7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r>
      <w:tr>
        <w:trPr>
          <w:trHeight w:val="236"/>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w:t>
            </w: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0"/>
        </w:trPr>
        <w:tc>
          <w:tcPr>
            <w:tcW w:w="7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55"/>
        </w:trPr>
        <w:tc>
          <w:tcPr>
            <w:tcW w:w="7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w:t>
            </w:r>
          </w:p>
        </w:tc>
      </w:tr>
      <w:tr>
        <w:trPr>
          <w:trHeight w:val="236"/>
        </w:trPr>
        <w:tc>
          <w:tcPr>
            <w:tcW w:w="7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liabilities</w:t>
            </w: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16,076</w:t>
            </w:r>
          </w:p>
        </w:tc>
      </w:tr>
      <w:tr>
        <w:trPr>
          <w:trHeight w:val="40"/>
        </w:trPr>
        <w:tc>
          <w:tcPr>
            <w:tcW w:w="7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87"/>
        </w:trPr>
        <w:tc>
          <w:tcPr>
            <w:tcW w:w="7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lease liabilities</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28,308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17,723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780" w:firstLine="315"/>
        <w:spacing w:after="0" w:line="297" w:lineRule="auto"/>
        <w:rPr>
          <w:sz w:val="20"/>
          <w:szCs w:val="20"/>
          <w:color w:val="auto"/>
        </w:rPr>
      </w:pPr>
      <w:r>
        <w:rPr>
          <w:rFonts w:ascii="Times New Roman" w:cs="Times New Roman" w:eastAsia="Times New Roman" w:hAnsi="Times New Roman"/>
          <w:sz w:val="17"/>
          <w:szCs w:val="17"/>
          <w:color w:val="auto"/>
        </w:rPr>
        <w:t>The following table presents maturities of the Company’s operating lease liabilities as of March 29, 2025, presented under Accounting Standards Codification Topic 842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March 29, 2025</w:t>
            </w:r>
          </w:p>
        </w:tc>
      </w:tr>
      <w:tr>
        <w:trPr>
          <w:trHeight w:val="31"/>
        </w:trPr>
        <w:tc>
          <w:tcPr>
            <w:tcW w:w="9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8"/>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fiscal year 2025</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2,686</w:t>
            </w:r>
          </w:p>
        </w:tc>
      </w:tr>
      <w:tr>
        <w:trPr>
          <w:trHeight w:val="236"/>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Fiscal year 2026</w:t>
            </w: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7,156</w:t>
            </w:r>
          </w:p>
        </w:tc>
      </w:tr>
      <w:tr>
        <w:trPr>
          <w:trHeight w:val="40"/>
        </w:trPr>
        <w:tc>
          <w:tcPr>
            <w:tcW w:w="9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5"/>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Fiscal year 2027</w:t>
            </w:r>
          </w:p>
        </w:tc>
        <w:tc>
          <w:tcPr>
            <w:tcW w:w="3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6,876</w:t>
            </w:r>
          </w:p>
        </w:tc>
      </w:tr>
      <w:tr>
        <w:trPr>
          <w:trHeight w:val="236"/>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Fiscal year 2028</w:t>
            </w: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5,299</w:t>
            </w:r>
          </w:p>
        </w:tc>
      </w:tr>
      <w:tr>
        <w:trPr>
          <w:trHeight w:val="40"/>
        </w:trPr>
        <w:tc>
          <w:tcPr>
            <w:tcW w:w="9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75"/>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Fiscal year 2029 and thereafter</w:t>
            </w:r>
          </w:p>
        </w:tc>
        <w:tc>
          <w:tcPr>
            <w:tcW w:w="3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12,572</w:t>
            </w:r>
          </w:p>
        </w:tc>
      </w:tr>
      <w:tr>
        <w:trPr>
          <w:trHeight w:val="229"/>
        </w:trPr>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future minimum payments</w:t>
            </w:r>
          </w:p>
        </w:tc>
        <w:tc>
          <w:tcPr>
            <w:tcW w:w="3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34,589</w:t>
            </w:r>
          </w:p>
        </w:tc>
      </w:tr>
      <w:tr>
        <w:trPr>
          <w:trHeight w:val="40"/>
        </w:trPr>
        <w:tc>
          <w:tcPr>
            <w:tcW w:w="9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75"/>
        </w:trPr>
        <w:tc>
          <w:tcPr>
            <w:tcW w:w="9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Less: Implied interest</w:t>
            </w:r>
          </w:p>
        </w:tc>
        <w:tc>
          <w:tcPr>
            <w:tcW w:w="3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(6,281)</w:t>
            </w:r>
          </w:p>
        </w:tc>
      </w:tr>
      <w:tr>
        <w:trPr>
          <w:trHeight w:val="262"/>
        </w:trPr>
        <w:tc>
          <w:tcPr>
            <w:tcW w:w="92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lease liabilities</w:t>
            </w: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28,308</w:t>
            </w:r>
          </w:p>
        </w:tc>
      </w:tr>
      <w:tr>
        <w:trPr>
          <w:trHeight w:val="26"/>
        </w:trPr>
        <w:tc>
          <w:tcPr>
            <w:tcW w:w="9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113" w:lineRule="exact"/>
        <w:rPr>
          <w:sz w:val="20"/>
          <w:szCs w:val="20"/>
          <w:color w:val="auto"/>
        </w:rPr>
      </w:pPr>
    </w:p>
    <w:p>
      <w:pPr>
        <w:ind w:right="100" w:firstLine="315"/>
        <w:spacing w:after="0" w:line="270" w:lineRule="auto"/>
        <w:rPr>
          <w:sz w:val="20"/>
          <w:szCs w:val="20"/>
          <w:color w:val="auto"/>
        </w:rPr>
      </w:pPr>
      <w:r>
        <w:rPr>
          <w:rFonts w:ascii="Times New Roman" w:cs="Times New Roman" w:eastAsia="Times New Roman" w:hAnsi="Times New Roman"/>
          <w:sz w:val="17"/>
          <w:szCs w:val="17"/>
          <w:color w:val="auto"/>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 The weighted average discount rate for operating leases as of March 29, 2025 was 7.6%.</w:t>
      </w:r>
    </w:p>
    <w:p>
      <w:pPr>
        <w:spacing w:after="0" w:line="12" w:lineRule="exact"/>
        <w:rPr>
          <w:sz w:val="20"/>
          <w:szCs w:val="20"/>
          <w:color w:val="auto"/>
        </w:rPr>
      </w:pPr>
    </w:p>
    <w:p>
      <w:pPr>
        <w:ind w:right="220" w:firstLine="315"/>
        <w:spacing w:after="0" w:line="297" w:lineRule="auto"/>
        <w:rPr>
          <w:sz w:val="20"/>
          <w:szCs w:val="20"/>
          <w:color w:val="auto"/>
        </w:rPr>
      </w:pPr>
      <w:r>
        <w:rPr>
          <w:rFonts w:ascii="Times New Roman" w:cs="Times New Roman" w:eastAsia="Times New Roman" w:hAnsi="Times New Roman"/>
          <w:sz w:val="17"/>
          <w:szCs w:val="17"/>
          <w:color w:val="auto"/>
        </w:rPr>
        <w:t>As of March 29, 2025, the weighted-average remaining lease term of the Company’s operating leases was approximately 5.0 years. Operating cash flows for amounts included in the measurement of the Company’s operating lease liabilities were $1.2 million for the six months ended March 29, 2025.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Inventories</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Inventories at March 29, 2025 and September 28, 2024 consist of the following (in thousands):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7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20" w:type="dxa"/>
            <w:vAlign w:val="bottom"/>
          </w:tcPr>
          <w:p>
            <w:pPr>
              <w:spacing w:after="0"/>
              <w:rPr>
                <w:sz w:val="18"/>
                <w:szCs w:val="18"/>
                <w:color w:val="auto"/>
              </w:rPr>
            </w:pPr>
          </w:p>
        </w:tc>
        <w:tc>
          <w:tcPr>
            <w:tcW w:w="1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September 28, 2024</w:t>
            </w:r>
          </w:p>
        </w:tc>
      </w:tr>
      <w:tr>
        <w:trPr>
          <w:trHeight w:val="31"/>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8"/>
        </w:trPr>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Raw materials and components</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103,655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72,279</w:t>
            </w:r>
          </w:p>
        </w:tc>
      </w:tr>
      <w:tr>
        <w:trPr>
          <w:trHeight w:val="236"/>
        </w:trPr>
        <w:tc>
          <w:tcPr>
            <w:tcW w:w="7080" w:type="dxa"/>
            <w:vAlign w:val="bottom"/>
          </w:tcPr>
          <w:p>
            <w:pPr>
              <w:spacing w:after="0"/>
              <w:rPr>
                <w:sz w:val="20"/>
                <w:szCs w:val="20"/>
                <w:color w:val="auto"/>
              </w:rPr>
            </w:pPr>
            <w:r>
              <w:rPr>
                <w:rFonts w:ascii="Times New Roman" w:cs="Times New Roman" w:eastAsia="Times New Roman" w:hAnsi="Times New Roman"/>
                <w:sz w:val="17"/>
                <w:szCs w:val="17"/>
                <w:color w:val="auto"/>
              </w:rPr>
              <w:t>Work in process</w:t>
            </w:r>
          </w:p>
        </w:tc>
        <w:tc>
          <w:tcPr>
            <w:tcW w:w="30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4,538</w:t>
            </w:r>
          </w:p>
        </w:tc>
      </w:tr>
      <w:tr>
        <w:trPr>
          <w:trHeight w:val="40"/>
        </w:trPr>
        <w:tc>
          <w:tcPr>
            <w:tcW w:w="7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75"/>
        </w:trPr>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42,626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29,319</w:t>
            </w:r>
          </w:p>
        </w:tc>
      </w:tr>
      <w:tr>
        <w:trPr>
          <w:trHeight w:val="229"/>
        </w:trPr>
        <w:tc>
          <w:tcPr>
            <w:tcW w:w="7080" w:type="dxa"/>
            <w:vAlign w:val="bottom"/>
          </w:tcPr>
          <w:p>
            <w:pPr>
              <w:spacing w:after="0"/>
              <w:rPr>
                <w:sz w:val="20"/>
                <w:szCs w:val="20"/>
                <w:color w:val="auto"/>
              </w:rPr>
            </w:pPr>
            <w:r>
              <w:rPr>
                <w:rFonts w:ascii="Times New Roman" w:cs="Times New Roman" w:eastAsia="Times New Roman" w:hAnsi="Times New Roman"/>
                <w:sz w:val="17"/>
                <w:szCs w:val="17"/>
                <w:color w:val="auto"/>
              </w:rPr>
              <w:t>Total inventories</w:t>
            </w:r>
          </w:p>
        </w:tc>
        <w:tc>
          <w:tcPr>
            <w:tcW w:w="3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146,281</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106,136</w:t>
            </w:r>
          </w:p>
        </w:tc>
      </w:tr>
      <w:tr>
        <w:trPr>
          <w:trHeight w:val="40"/>
        </w:trPr>
        <w:tc>
          <w:tcPr>
            <w:tcW w:w="70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1" w:name="page22"/>
    <w:bookmarkEnd w:id="21"/>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Property and Equipment</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Property and equipment at March 29, 2025 and September 28, 2024 consists of the following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20" w:type="dxa"/>
            <w:vAlign w:val="bottom"/>
          </w:tcPr>
          <w:p>
            <w:pPr>
              <w:spacing w:after="0"/>
              <w:rPr>
                <w:sz w:val="18"/>
                <w:szCs w:val="18"/>
                <w:color w:val="auto"/>
              </w:rPr>
            </w:pPr>
          </w:p>
        </w:tc>
        <w:tc>
          <w:tcPr>
            <w:tcW w:w="1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September 28, 2024</w:t>
            </w:r>
          </w:p>
        </w:tc>
      </w:tr>
      <w:tr>
        <w:trPr>
          <w:trHeight w:val="31"/>
        </w:trPr>
        <w:tc>
          <w:tcPr>
            <w:tcW w:w="7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 and software, furniture and fixtures, test equipment, and other equipment</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153,937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114,515</w:t>
            </w:r>
          </w:p>
        </w:tc>
      </w:tr>
      <w:tr>
        <w:trPr>
          <w:trHeight w:val="236"/>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Internal use software</w:t>
            </w: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7,141</w:t>
            </w:r>
          </w:p>
        </w:tc>
      </w:tr>
      <w:tr>
        <w:trPr>
          <w:trHeight w:val="40"/>
        </w:trPr>
        <w:tc>
          <w:tcPr>
            <w:tcW w:w="7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75"/>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9,576</w:t>
            </w:r>
          </w:p>
        </w:tc>
      </w:tr>
      <w:tr>
        <w:trPr>
          <w:trHeight w:val="229"/>
        </w:trPr>
        <w:tc>
          <w:tcPr>
            <w:tcW w:w="7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3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170,589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131,232</w:t>
            </w:r>
          </w:p>
        </w:tc>
      </w:tr>
      <w:tr>
        <w:trPr>
          <w:trHeight w:val="40"/>
        </w:trPr>
        <w:tc>
          <w:tcPr>
            <w:tcW w:w="7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75"/>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(34,123)</w:t>
            </w:r>
          </w:p>
        </w:tc>
      </w:tr>
      <w:tr>
        <w:trPr>
          <w:trHeight w:val="229"/>
        </w:trPr>
        <w:tc>
          <w:tcPr>
            <w:tcW w:w="7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123,706</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97,109</w:t>
            </w:r>
          </w:p>
        </w:tc>
      </w:tr>
      <w:tr>
        <w:trPr>
          <w:trHeight w:val="40"/>
        </w:trPr>
        <w:tc>
          <w:tcPr>
            <w:tcW w:w="71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60" w:firstLine="315"/>
        <w:spacing w:after="0" w:line="297" w:lineRule="auto"/>
        <w:rPr>
          <w:sz w:val="20"/>
          <w:szCs w:val="20"/>
          <w:color w:val="auto"/>
        </w:rPr>
      </w:pPr>
      <w:r>
        <w:rPr>
          <w:rFonts w:ascii="Times New Roman" w:cs="Times New Roman" w:eastAsia="Times New Roman" w:hAnsi="Times New Roman"/>
          <w:sz w:val="17"/>
          <w:szCs w:val="17"/>
          <w:color w:val="auto"/>
        </w:rPr>
        <w:t>For the three and six months ended March 29, 2025, depreciation expense was $7.0 million and $13.2 million, respectively. For the three and six months ended March 30, 2024, depreciation expense was $2.5 million and $4.8 million,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Business Acquisitions</w:t>
      </w:r>
    </w:p>
    <w:p>
      <w:pPr>
        <w:spacing w:after="0" w:line="69" w:lineRule="exact"/>
        <w:rPr>
          <w:sz w:val="20"/>
          <w:szCs w:val="20"/>
          <w:color w:val="auto"/>
        </w:rPr>
      </w:pPr>
    </w:p>
    <w:p>
      <w:pPr>
        <w:ind w:right="60" w:firstLine="315"/>
        <w:spacing w:after="0" w:line="277" w:lineRule="auto"/>
        <w:rPr>
          <w:sz w:val="20"/>
          <w:szCs w:val="20"/>
          <w:color w:val="auto"/>
        </w:rPr>
      </w:pPr>
      <w:r>
        <w:rPr>
          <w:rFonts w:ascii="Times New Roman" w:cs="Times New Roman" w:eastAsia="Times New Roman" w:hAnsi="Times New Roman"/>
          <w:sz w:val="17"/>
          <w:szCs w:val="17"/>
          <w:color w:val="auto"/>
        </w:rPr>
        <w:t>Business acquisition-related costs during the three and six months ended March 29, 2025 were $3.3 million and $7.1 million, respectively, and are included in general and administrative expenses in the interim condensed consolidated statements of operations. Separate financial results and pro forma financial information for ASR (defined below) have not been presented as the effect of this acquisition was not material to the Company’s financial results.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Advanced Systems &amp; Robotics Inc.</w:t>
      </w:r>
    </w:p>
    <w:p>
      <w:pPr>
        <w:spacing w:after="0" w:line="69" w:lineRule="exact"/>
        <w:rPr>
          <w:sz w:val="20"/>
          <w:szCs w:val="20"/>
          <w:color w:val="auto"/>
        </w:rPr>
      </w:pPr>
    </w:p>
    <w:p>
      <w:pPr>
        <w:ind w:right="60" w:firstLine="315"/>
        <w:spacing w:after="0" w:line="267" w:lineRule="auto"/>
        <w:rPr>
          <w:sz w:val="20"/>
          <w:szCs w:val="20"/>
          <w:color w:val="auto"/>
        </w:rPr>
      </w:pPr>
      <w:r>
        <w:rPr>
          <w:rFonts w:ascii="Times New Roman" w:cs="Times New Roman" w:eastAsia="Times New Roman" w:hAnsi="Times New Roman"/>
          <w:sz w:val="17"/>
          <w:szCs w:val="17"/>
          <w:color w:val="auto"/>
        </w:rPr>
        <w:t>On January 27, 2025, the Company acquired all of the outstanding equity interests of Walmart’s Advanced Systems &amp; Robotics Inc. (“ASR”) for $200.0 million in cash (the “ASR Acquisition) pursuant to a Purchase and Sale Agreement with Walmart (the “ASR Purchase Agreement”). ASR is intended to expand the long-standing relationship between Walmart and the Company with the aim of developing an integrated automated supply chain, which is expected to broaden the Company’s product offering beyond the traditional warehouse to eCommerce settings for last mile delivery. As of March 29, 2025, the purchase price allocation is preliminary, pending finalization of valuations and the impact of income taxes.</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preliminary allocation of the purchase price for ASR and fair values of the assets acquired and liabilities assumed were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purchase consideration</w:t>
            </w:r>
          </w:p>
        </w:tc>
        <w:tc>
          <w:tcPr>
            <w:tcW w:w="580" w:type="dxa"/>
            <w:vAlign w:val="bottom"/>
            <w:tcBorders>
              <w:bottom w:val="single" w:sz="8" w:color="CCEEFF"/>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r>
      <w:tr>
        <w:trPr>
          <w:trHeight w:val="262"/>
        </w:trPr>
        <w:tc>
          <w:tcPr>
            <w:tcW w:w="9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5"/>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Allocation of the purchase consideration:</w:t>
            </w:r>
          </w:p>
        </w:tc>
        <w:tc>
          <w:tcPr>
            <w:tcW w:w="5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36"/>
        </w:trPr>
        <w:tc>
          <w:tcPr>
            <w:tcW w:w="95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receivables</w:t>
            </w:r>
          </w:p>
        </w:tc>
        <w:tc>
          <w:tcPr>
            <w:tcW w:w="58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17,807</w:t>
            </w:r>
          </w:p>
        </w:tc>
      </w:tr>
      <w:tr>
        <w:trPr>
          <w:trHeight w:val="40"/>
        </w:trPr>
        <w:tc>
          <w:tcPr>
            <w:tcW w:w="9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5"/>
        </w:trPr>
        <w:tc>
          <w:tcPr>
            <w:tcW w:w="9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Inventories</w:t>
            </w:r>
          </w:p>
        </w:tc>
        <w:tc>
          <w:tcPr>
            <w:tcW w:w="5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14,702</w:t>
            </w:r>
          </w:p>
        </w:tc>
      </w:tr>
      <w:tr>
        <w:trPr>
          <w:trHeight w:val="236"/>
        </w:trPr>
        <w:tc>
          <w:tcPr>
            <w:tcW w:w="95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16,831</w:t>
            </w:r>
          </w:p>
        </w:tc>
      </w:tr>
      <w:tr>
        <w:trPr>
          <w:trHeight w:val="40"/>
        </w:trPr>
        <w:tc>
          <w:tcPr>
            <w:tcW w:w="9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5"/>
        </w:trPr>
        <w:tc>
          <w:tcPr>
            <w:tcW w:w="9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5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4,261</w:t>
            </w:r>
          </w:p>
        </w:tc>
      </w:tr>
      <w:tr>
        <w:trPr>
          <w:trHeight w:val="236"/>
        </w:trPr>
        <w:tc>
          <w:tcPr>
            <w:tcW w:w="95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Intangible assets</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115,000</w:t>
            </w:r>
          </w:p>
        </w:tc>
      </w:tr>
      <w:tr>
        <w:trPr>
          <w:trHeight w:val="40"/>
        </w:trPr>
        <w:tc>
          <w:tcPr>
            <w:tcW w:w="9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5"/>
        </w:trPr>
        <w:tc>
          <w:tcPr>
            <w:tcW w:w="9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assets</w:t>
            </w: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w:t>
            </w:r>
          </w:p>
        </w:tc>
      </w:tr>
      <w:tr>
        <w:trPr>
          <w:trHeight w:val="229"/>
        </w:trPr>
        <w:tc>
          <w:tcPr>
            <w:tcW w:w="95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Total assets acquired</w:t>
            </w:r>
          </w:p>
        </w:tc>
        <w:tc>
          <w:tcPr>
            <w:tcW w:w="5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170,822</w:t>
            </w:r>
          </w:p>
        </w:tc>
      </w:tr>
      <w:tr>
        <w:trPr>
          <w:trHeight w:val="40"/>
        </w:trPr>
        <w:tc>
          <w:tcPr>
            <w:tcW w:w="95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8"/>
        </w:trPr>
        <w:tc>
          <w:tcPr>
            <w:tcW w:w="9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Accrued expenses and other current assets</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36,880</w:t>
            </w:r>
          </w:p>
        </w:tc>
      </w:tr>
      <w:tr>
        <w:trPr>
          <w:trHeight w:val="236"/>
        </w:trPr>
        <w:tc>
          <w:tcPr>
            <w:tcW w:w="95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liabilities</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2,611</w:t>
            </w:r>
          </w:p>
        </w:tc>
      </w:tr>
      <w:tr>
        <w:trPr>
          <w:trHeight w:val="40"/>
        </w:trPr>
        <w:tc>
          <w:tcPr>
            <w:tcW w:w="95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68"/>
        </w:trPr>
        <w:tc>
          <w:tcPr>
            <w:tcW w:w="95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39,491</w:t>
            </w:r>
          </w:p>
        </w:tc>
      </w:tr>
      <w:tr>
        <w:trPr>
          <w:trHeight w:val="229"/>
        </w:trPr>
        <w:tc>
          <w:tcPr>
            <w:tcW w:w="95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Identifiable net assets acquired</w:t>
            </w:r>
          </w:p>
        </w:tc>
        <w:tc>
          <w:tcPr>
            <w:tcW w:w="5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131,331</w:t>
            </w:r>
          </w:p>
        </w:tc>
      </w:tr>
      <w:tr>
        <w:trPr>
          <w:trHeight w:val="40"/>
        </w:trPr>
        <w:tc>
          <w:tcPr>
            <w:tcW w:w="95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68"/>
        </w:trPr>
        <w:tc>
          <w:tcPr>
            <w:tcW w:w="9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Goodwill</w:t>
            </w: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68,669</w:t>
            </w:r>
          </w:p>
        </w:tc>
      </w:tr>
      <w:tr>
        <w:trPr>
          <w:trHeight w:val="262"/>
        </w:trPr>
        <w:tc>
          <w:tcPr>
            <w:tcW w:w="95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purchase price allocation</w:t>
            </w:r>
          </w:p>
        </w:tc>
        <w:tc>
          <w:tcPr>
            <w:tcW w:w="58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200,000</w:t>
            </w:r>
          </w:p>
        </w:tc>
      </w:tr>
      <w:tr>
        <w:trPr>
          <w:trHeight w:val="26"/>
        </w:trPr>
        <w:tc>
          <w:tcPr>
            <w:tcW w:w="95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2" w:name="page23"/>
    <w:bookmarkEnd w:id="22"/>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600" w:firstLine="315"/>
        <w:spacing w:after="0" w:line="289" w:lineRule="auto"/>
        <w:rPr>
          <w:sz w:val="20"/>
          <w:szCs w:val="20"/>
          <w:color w:val="auto"/>
        </w:rPr>
      </w:pPr>
      <w:r>
        <w:rPr>
          <w:rFonts w:ascii="Times New Roman" w:cs="Times New Roman" w:eastAsia="Times New Roman" w:hAnsi="Times New Roman"/>
          <w:sz w:val="17"/>
          <w:szCs w:val="17"/>
          <w:color w:val="auto"/>
        </w:rPr>
        <w:t>The value of the goodwill can be attributed to a number of business factors, including a trained technical workforce, and revenue and cost synergies expected to be realized. The Company expects that most of the goodwill related to the ASR Acquisition will not be deductible for tax purposes.</w:t>
      </w:r>
    </w:p>
    <w:p>
      <w:pPr>
        <w:spacing w:after="0" w:line="1" w:lineRule="exact"/>
        <w:rPr>
          <w:sz w:val="20"/>
          <w:szCs w:val="20"/>
          <w:color w:val="auto"/>
        </w:rPr>
      </w:pPr>
    </w:p>
    <w:p>
      <w:pPr>
        <w:ind w:right="100" w:firstLine="315"/>
        <w:spacing w:after="0" w:line="289" w:lineRule="auto"/>
        <w:rPr>
          <w:sz w:val="20"/>
          <w:szCs w:val="20"/>
          <w:color w:val="auto"/>
        </w:rPr>
      </w:pPr>
      <w:r>
        <w:rPr>
          <w:rFonts w:ascii="Times New Roman" w:cs="Times New Roman" w:eastAsia="Times New Roman" w:hAnsi="Times New Roman"/>
          <w:sz w:val="17"/>
          <w:szCs w:val="17"/>
          <w:color w:val="auto"/>
        </w:rPr>
        <w:t>The identified intangible asset acquired is developed technology, which has a gross carrying amount of $115.0 million and has an estimated useful life of 7 years.</w:t>
      </w:r>
    </w:p>
    <w:p>
      <w:pPr>
        <w:spacing w:after="0" w:line="1" w:lineRule="exact"/>
        <w:rPr>
          <w:sz w:val="20"/>
          <w:szCs w:val="20"/>
          <w:color w:val="auto"/>
        </w:rPr>
      </w:pPr>
    </w:p>
    <w:p>
      <w:pPr>
        <w:ind w:right="60" w:firstLine="315"/>
        <w:spacing w:after="0" w:line="277" w:lineRule="auto"/>
        <w:rPr>
          <w:sz w:val="20"/>
          <w:szCs w:val="20"/>
          <w:color w:val="auto"/>
        </w:rPr>
      </w:pPr>
      <w:r>
        <w:rPr>
          <w:rFonts w:ascii="Times New Roman" w:cs="Times New Roman" w:eastAsia="Times New Roman" w:hAnsi="Times New Roman"/>
          <w:sz w:val="17"/>
          <w:szCs w:val="17"/>
          <w:color w:val="auto"/>
        </w:rPr>
        <w:t>The Company applied the multi-period excess earnings method to estimate the fair value of the intangible asset. The total weighted average amortization period for the developed technology intangible asset acquired from Walmart is 7 years. The intangible asset began amortization on the date of acquisition and is amortized on a straight-line basis over its useful life.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Intangible Assets and Goodwill</w:t>
      </w:r>
    </w:p>
    <w:p>
      <w:pPr>
        <w:spacing w:after="0" w:line="69" w:lineRule="exact"/>
        <w:rPr>
          <w:sz w:val="20"/>
          <w:szCs w:val="20"/>
          <w:color w:val="auto"/>
        </w:rPr>
      </w:pPr>
    </w:p>
    <w:p>
      <w:pPr>
        <w:ind w:right="140" w:firstLine="315"/>
        <w:spacing w:after="0" w:line="277" w:lineRule="auto"/>
        <w:rPr>
          <w:sz w:val="20"/>
          <w:szCs w:val="20"/>
          <w:color w:val="auto"/>
        </w:rPr>
      </w:pPr>
      <w:r>
        <w:rPr>
          <w:rFonts w:ascii="Times New Roman" w:cs="Times New Roman" w:eastAsia="Times New Roman" w:hAnsi="Times New Roman"/>
          <w:sz w:val="17"/>
          <w:szCs w:val="17"/>
          <w:color w:val="auto"/>
        </w:rPr>
        <w:t>In connection with asset acquisitions in July and December 2024, and the ASR Acquisition in January 2025, the Company acquired developed technology intangible assets of $130.9 million. The intangible assets will be amortized over a useful life of 3 to 7 years on a straight-line basis. The estimated weighted average useful life of the intangible assets is 6.5 years.</w:t>
      </w:r>
    </w:p>
    <w:p>
      <w:pPr>
        <w:spacing w:after="0" w:line="5" w:lineRule="exact"/>
        <w:rPr>
          <w:sz w:val="20"/>
          <w:szCs w:val="20"/>
          <w:color w:val="auto"/>
        </w:rPr>
      </w:pPr>
    </w:p>
    <w:p>
      <w:pPr>
        <w:ind w:right="560" w:firstLine="315"/>
        <w:spacing w:after="0" w:line="297" w:lineRule="auto"/>
        <w:rPr>
          <w:sz w:val="20"/>
          <w:szCs w:val="20"/>
          <w:color w:val="auto"/>
        </w:rPr>
      </w:pPr>
      <w:r>
        <w:rPr>
          <w:rFonts w:ascii="Times New Roman" w:cs="Times New Roman" w:eastAsia="Times New Roman" w:hAnsi="Times New Roman"/>
          <w:sz w:val="17"/>
          <w:szCs w:val="17"/>
          <w:color w:val="auto"/>
        </w:rPr>
        <w:t>The following table presents acquired intangible assets that are subject to amortization as of March 29, 2025 (in thousands). There were no acquired intangible assets that are subject to amortization as of March 30,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March 29, 2025</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300" w:type="dxa"/>
            <w:vAlign w:val="bottom"/>
          </w:tcPr>
          <w:p>
            <w:pPr>
              <w:spacing w:after="0"/>
              <w:rPr>
                <w:sz w:val="2"/>
                <w:szCs w:val="2"/>
                <w:color w:val="auto"/>
              </w:rPr>
            </w:pPr>
          </w:p>
        </w:tc>
        <w:tc>
          <w:tcPr>
            <w:tcW w:w="2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300" w:type="dxa"/>
            <w:vAlign w:val="bottom"/>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300" w:type="dxa"/>
            <w:vAlign w:val="bottom"/>
          </w:tcPr>
          <w:p>
            <w:pPr>
              <w:spacing w:after="0"/>
              <w:rPr>
                <w:sz w:val="17"/>
                <w:szCs w:val="17"/>
                <w:color w:val="auto"/>
              </w:rPr>
            </w:pP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Remaining Useful Life (in</w:t>
            </w: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Gross Carrying</w:t>
            </w:r>
          </w:p>
        </w:tc>
        <w:tc>
          <w:tcPr>
            <w:tcW w:w="18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300" w:type="dxa"/>
            <w:vAlign w:val="bottom"/>
          </w:tcPr>
          <w:p>
            <w:pPr>
              <w:spacing w:after="0"/>
              <w:rPr>
                <w:sz w:val="18"/>
                <w:szCs w:val="18"/>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16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180" w:type="dxa"/>
            <w:vAlign w:val="bottom"/>
          </w:tcPr>
          <w:p>
            <w:pPr>
              <w:spacing w:after="0"/>
              <w:rPr>
                <w:sz w:val="18"/>
                <w:szCs w:val="18"/>
                <w:color w:val="auto"/>
              </w:rPr>
            </w:pPr>
          </w:p>
        </w:tc>
        <w:tc>
          <w:tcPr>
            <w:tcW w:w="138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Net Book Value</w:t>
            </w:r>
          </w:p>
        </w:tc>
        <w:tc>
          <w:tcPr>
            <w:tcW w:w="0" w:type="dxa"/>
            <w:vAlign w:val="bottom"/>
          </w:tcPr>
          <w:p>
            <w:pPr>
              <w:spacing w:after="0"/>
              <w:rPr>
                <w:sz w:val="1"/>
                <w:szCs w:val="1"/>
                <w:color w:val="auto"/>
              </w:rPr>
            </w:pPr>
          </w:p>
        </w:tc>
      </w:tr>
      <w:tr>
        <w:trPr>
          <w:trHeight w:val="31"/>
        </w:trPr>
        <w:tc>
          <w:tcPr>
            <w:tcW w:w="43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125,793</w:t>
            </w:r>
          </w:p>
        </w:tc>
        <w:tc>
          <w:tcPr>
            <w:tcW w:w="0" w:type="dxa"/>
            <w:vAlign w:val="bottom"/>
          </w:tcPr>
          <w:p>
            <w:pPr>
              <w:spacing w:after="0"/>
              <w:rPr>
                <w:sz w:val="1"/>
                <w:szCs w:val="1"/>
                <w:color w:val="auto"/>
              </w:rPr>
            </w:pPr>
          </w:p>
        </w:tc>
      </w:tr>
      <w:tr>
        <w:trPr>
          <w:trHeight w:val="262"/>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130,861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(5,068)</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125,793</w:t>
            </w:r>
          </w:p>
        </w:tc>
        <w:tc>
          <w:tcPr>
            <w:tcW w:w="0" w:type="dxa"/>
            <w:vAlign w:val="bottom"/>
          </w:tcPr>
          <w:p>
            <w:pPr>
              <w:spacing w:after="0"/>
              <w:rPr>
                <w:sz w:val="1"/>
                <w:szCs w:val="1"/>
                <w:color w:val="auto"/>
              </w:rPr>
            </w:pPr>
          </w:p>
        </w:tc>
      </w:tr>
      <w:tr>
        <w:trPr>
          <w:trHeight w:val="26"/>
        </w:trPr>
        <w:tc>
          <w:tcPr>
            <w:tcW w:w="4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the three and six months ended March 29, 2025, amortization expense was $4.2 million and $4.8 million, respectively.</w:t>
      </w:r>
    </w:p>
    <w:p>
      <w:pPr>
        <w:spacing w:after="0" w:line="67" w:lineRule="exact"/>
        <w:rPr>
          <w:sz w:val="20"/>
          <w:szCs w:val="20"/>
          <w:color w:val="auto"/>
        </w:rPr>
      </w:pPr>
    </w:p>
    <w:p>
      <w:pPr>
        <w:ind w:right="660" w:firstLine="315"/>
        <w:spacing w:after="0" w:line="297" w:lineRule="auto"/>
        <w:rPr>
          <w:sz w:val="20"/>
          <w:szCs w:val="20"/>
          <w:color w:val="auto"/>
        </w:rPr>
      </w:pPr>
      <w:r>
        <w:rPr>
          <w:rFonts w:ascii="Times New Roman" w:cs="Times New Roman" w:eastAsia="Times New Roman" w:hAnsi="Times New Roman"/>
          <w:sz w:val="17"/>
          <w:szCs w:val="17"/>
          <w:color w:val="auto"/>
        </w:rPr>
        <w:t>The following table presents the estimated future annual pre-tax amortization expense of definite-lived intangible assets as of the date indicated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Developed Technology</w:t>
            </w:r>
          </w:p>
        </w:tc>
      </w:tr>
      <w:tr>
        <w:trPr>
          <w:trHeight w:val="31"/>
        </w:trPr>
        <w:tc>
          <w:tcPr>
            <w:tcW w:w="9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fiscal year 2025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10,831</w:t>
            </w:r>
          </w:p>
        </w:tc>
      </w:tr>
      <w:tr>
        <w:trPr>
          <w:trHeight w:val="236"/>
        </w:trPr>
        <w:tc>
          <w:tcPr>
            <w:tcW w:w="9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Fiscal year 2026</w:t>
            </w:r>
          </w:p>
        </w:tc>
        <w:tc>
          <w:tcPr>
            <w:tcW w:w="1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21,662</w:t>
            </w:r>
          </w:p>
        </w:tc>
      </w:tr>
      <w:tr>
        <w:trPr>
          <w:trHeight w:val="40"/>
        </w:trPr>
        <w:tc>
          <w:tcPr>
            <w:tcW w:w="9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255"/>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Fiscal year 2027</w:t>
            </w:r>
          </w:p>
        </w:tc>
        <w:tc>
          <w:tcPr>
            <w:tcW w:w="1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21,414</w:t>
            </w:r>
          </w:p>
        </w:tc>
      </w:tr>
      <w:tr>
        <w:trPr>
          <w:trHeight w:val="236"/>
        </w:trPr>
        <w:tc>
          <w:tcPr>
            <w:tcW w:w="9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Fiscal year 2028</w:t>
            </w:r>
          </w:p>
        </w:tc>
        <w:tc>
          <w:tcPr>
            <w:tcW w:w="1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17,401</w:t>
            </w:r>
          </w:p>
        </w:tc>
      </w:tr>
      <w:tr>
        <w:trPr>
          <w:trHeight w:val="40"/>
        </w:trPr>
        <w:tc>
          <w:tcPr>
            <w:tcW w:w="9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275"/>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Fiscal year 2029 and 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54,485</w:t>
            </w:r>
          </w:p>
        </w:tc>
      </w:tr>
      <w:tr>
        <w:trPr>
          <w:trHeight w:val="262"/>
        </w:trPr>
        <w:tc>
          <w:tcPr>
            <w:tcW w:w="9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125,793</w:t>
            </w:r>
          </w:p>
        </w:tc>
      </w:tr>
      <w:tr>
        <w:trPr>
          <w:trHeight w:val="26"/>
        </w:trPr>
        <w:tc>
          <w:tcPr>
            <w:tcW w:w="9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bl>
    <w:p>
      <w:pPr>
        <w:spacing w:after="0" w:line="113" w:lineRule="exact"/>
        <w:rPr>
          <w:sz w:val="20"/>
          <w:szCs w:val="20"/>
          <w:color w:val="auto"/>
        </w:rPr>
      </w:pPr>
    </w:p>
    <w:p>
      <w:pPr>
        <w:ind w:right="360" w:firstLine="315"/>
        <w:spacing w:after="0" w:line="270" w:lineRule="auto"/>
        <w:rPr>
          <w:sz w:val="20"/>
          <w:szCs w:val="20"/>
          <w:color w:val="auto"/>
        </w:rPr>
      </w:pPr>
      <w:r>
        <w:rPr>
          <w:rFonts w:ascii="Times New Roman" w:cs="Times New Roman" w:eastAsia="Times New Roman" w:hAnsi="Times New Roman"/>
          <w:sz w:val="17"/>
          <w:szCs w:val="17"/>
          <w:color w:val="auto"/>
        </w:rPr>
        <w:t>The carrying amount of goodwill at March 29, 2025 was $68.7 million. As a result of the ASR Acquisition, the Company recorded $68.7 million of goodwill. Prior to the ASR Acquisition, the Company did not have goodwill on its consolidated balance sheets. No other changes to the carrying amount of goodwill were noted for the six months ended March 29, 2025. The Company tests goodwill for impairment at least annually. Through the date the interim condensed consolidated financial statements were issued, no triggering events have occurred that would indicate that a potential impairment exists.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69" w:lineRule="exact"/>
        <w:rPr>
          <w:sz w:val="20"/>
          <w:szCs w:val="20"/>
          <w:color w:val="auto"/>
        </w:rPr>
      </w:pPr>
    </w:p>
    <w:p>
      <w:pPr>
        <w:jc w:val="both"/>
        <w:ind w:right="160" w:firstLine="315"/>
        <w:spacing w:after="0" w:line="277" w:lineRule="auto"/>
        <w:rPr>
          <w:sz w:val="20"/>
          <w:szCs w:val="20"/>
          <w:color w:val="auto"/>
        </w:rPr>
      </w:pPr>
      <w:r>
        <w:rPr>
          <w:rFonts w:ascii="Times New Roman" w:cs="Times New Roman" w:eastAsia="Times New Roman" w:hAnsi="Times New Roman"/>
          <w:sz w:val="17"/>
          <w:szCs w:val="17"/>
          <w:color w:val="auto"/>
        </w:rPr>
        <w:t>The Company is subject to U.S. federal income taxes, in addition to state and local income taxes, with respect to its allocable share of any taxable income or loss of Symbotic Holdings LLC. The remaining share of Symbotic Holdings income or loss is non-taxable to the Company and is not reflected in current or deferred income taxes. The Company’s foreign subsidiaries are subject to income tax in their local jurisdictions.</w:t>
      </w:r>
    </w:p>
    <w:p>
      <w:pPr>
        <w:spacing w:after="0" w:line="5" w:lineRule="exact"/>
        <w:rPr>
          <w:sz w:val="20"/>
          <w:szCs w:val="20"/>
          <w:color w:val="auto"/>
        </w:rPr>
      </w:pPr>
    </w:p>
    <w:p>
      <w:pPr>
        <w:ind w:right="100" w:firstLine="315"/>
        <w:spacing w:after="0" w:line="277" w:lineRule="auto"/>
        <w:rPr>
          <w:sz w:val="20"/>
          <w:szCs w:val="20"/>
          <w:color w:val="auto"/>
        </w:rPr>
      </w:pPr>
      <w:r>
        <w:rPr>
          <w:rFonts w:ascii="Times New Roman" w:cs="Times New Roman" w:eastAsia="Times New Roman" w:hAnsi="Times New Roman"/>
          <w:sz w:val="17"/>
          <w:szCs w:val="17"/>
          <w:color w:val="auto"/>
        </w:rPr>
        <w:t>For the three and six months ended March 29, 2025, the Company recorded a current income tax benefit of $1.4 million and $1.2 million, respectively. For the three and six months ended March 30, 2024, the Company recorded a current income tax benefit of $0.2 million and $0.1 million, respectively. The Company incurred a pre-tax loss for the three and six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3" w:name="page24"/>
    <w:bookmarkEnd w:id="23"/>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periods and recorded a full valuation allowance against its domestic deferred tax assets and a partial valuation allowance against its foreign deferred tax assets. The Company incurs state tax expense by Symbotic LLC at the flow-through entity level and foreign tax expense at its foreign subsidiaries. The effective tax rate for the three and six months ended March 29, 2025 is 6.12% and 3.03% respectively, as compared to an effective tax rate for the three and six months ended March 30, 2024 of 0.46% and 0.13%, respectively. The effective tax rate differs from the federal statutory income tax rate primarily due to the flow-through entity level taxes and the effect of the valuation allowance, including the partial release due to the ASR Acquisition, against the Company’s net federal, state, and foreign deferred income taxes.</w:t>
      </w:r>
    </w:p>
    <w:p>
      <w:pPr>
        <w:spacing w:after="0" w:line="16" w:lineRule="exact"/>
        <w:rPr>
          <w:sz w:val="20"/>
          <w:szCs w:val="20"/>
          <w:color w:val="auto"/>
        </w:rPr>
      </w:pPr>
    </w:p>
    <w:p>
      <w:pPr>
        <w:ind w:right="20" w:firstLine="315"/>
        <w:spacing w:after="0" w:line="264" w:lineRule="auto"/>
        <w:rPr>
          <w:sz w:val="20"/>
          <w:szCs w:val="20"/>
          <w:color w:val="auto"/>
        </w:rPr>
      </w:pPr>
      <w:r>
        <w:rPr>
          <w:rFonts w:ascii="Times New Roman" w:cs="Times New Roman" w:eastAsia="Times New Roman" w:hAnsi="Times New Roman"/>
          <w:sz w:val="17"/>
          <w:szCs w:val="17"/>
          <w:color w:val="auto"/>
        </w:rPr>
        <w:t>As of March 29, 2025, the Company continues to conclude that the negative evidence regarding its ability to realize its deferred tax assets outweighs the positive evidence, and the Company has a full valuation allowance against its domestic, federal and state net deferred tax assets and a partial valuation allowance against its foreign net deferred tax assets. The Company has a history of cumulative pre-tax losses for the three previous fiscal years which it believes represents significant negative evidence in evaluating whether its deferred tax assets are realizable. Given these cumulative losses, lack of forecast history, the competitive environment, and uncertainty of general economic conditions, the Company does not believe it can rely on projections of future taxable income exclusive of reversing taxable temporary differences to support the realization of its deferred tax assets. In upcoming quarters, the Company will continue to evaluate both the positive and negative evidence surrounding its ability to realize its deferred tax assets.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 Receivable Agreement</w:t>
      </w:r>
    </w:p>
    <w:p>
      <w:pPr>
        <w:spacing w:after="0" w:line="69" w:lineRule="exact"/>
        <w:rPr>
          <w:sz w:val="20"/>
          <w:szCs w:val="20"/>
          <w:color w:val="auto"/>
        </w:rPr>
      </w:pPr>
    </w:p>
    <w:p>
      <w:pPr>
        <w:ind w:right="40" w:firstLine="315"/>
        <w:spacing w:after="0" w:line="262" w:lineRule="auto"/>
        <w:rPr>
          <w:sz w:val="20"/>
          <w:szCs w:val="20"/>
          <w:color w:val="auto"/>
        </w:rPr>
      </w:pPr>
      <w:r>
        <w:rPr>
          <w:rFonts w:ascii="Times New Roman" w:cs="Times New Roman" w:eastAsia="Times New Roman" w:hAnsi="Times New Roman"/>
          <w:sz w:val="17"/>
          <w:szCs w:val="17"/>
          <w:color w:val="auto"/>
        </w:rPr>
        <w:t>As of March 29, 2025, future payments under the Tax Receivable Agreement (“TRA”) with respect to the purchase of Symbotic Holdings units which occurred as part of, or subsequent to, the Business Combination are expected to be $433.1 million. Payments made under the TRA represent payments that otherwise would have been made to taxing authorities in the absence of attributes obtained by the Company as a result of exchanges by its pre-IPO members. Such amounts will be paid only when a cash tax savings is realized as a result of attributes subject to the TRA. That is, payments under the TRA are only expected to be made in periods following the filing of a tax return in which the Company is able to utilize certain tax benefits to reduce its cash taxes paid to a taxing authority. The impact of any changes in the projected obligations under the TRA as a result of changes in the geographic mix of the Company’s earnings, changes in tax legislation and tax rates or other factors that may impact the Company’s tax savings will be reflected in income or loss before taxes on the consolidated statement of operations in the period in which the change occurs. As of March 29, 2025, no TRA liability was recorded based on current projections of future taxable income taking into consideration the Company’s full valuation allowance against its net deferred tax asset.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Fair Value Measures</w:t>
      </w:r>
    </w:p>
    <w:p>
      <w:pPr>
        <w:spacing w:after="0" w:line="69" w:lineRule="exact"/>
        <w:rPr>
          <w:sz w:val="20"/>
          <w:szCs w:val="20"/>
          <w:color w:val="auto"/>
        </w:rPr>
      </w:pPr>
    </w:p>
    <w:p>
      <w:pPr>
        <w:ind w:right="140" w:firstLine="315"/>
        <w:spacing w:after="0" w:line="277" w:lineRule="auto"/>
        <w:rPr>
          <w:sz w:val="20"/>
          <w:szCs w:val="20"/>
          <w:color w:val="auto"/>
        </w:rPr>
      </w:pPr>
      <w:r>
        <w:rPr>
          <w:rFonts w:ascii="Times New Roman" w:cs="Times New Roman" w:eastAsia="Times New Roman" w:hAnsi="Times New Roman"/>
          <w:sz w:val="17"/>
          <w:szCs w:val="17"/>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Level 1 – inputs to the valuation methodology are quoted prices (unadjusted) for an identical asset or liability in an active market</w:t>
      </w:r>
    </w:p>
    <w:p>
      <w:pPr>
        <w:spacing w:after="0" w:line="67" w:lineRule="exact"/>
        <w:rPr>
          <w:sz w:val="20"/>
          <w:szCs w:val="20"/>
          <w:color w:val="auto"/>
        </w:rPr>
      </w:pPr>
    </w:p>
    <w:p>
      <w:pPr>
        <w:ind w:right="60" w:firstLine="315"/>
        <w:spacing w:after="0" w:line="289" w:lineRule="auto"/>
        <w:rPr>
          <w:sz w:val="20"/>
          <w:szCs w:val="20"/>
          <w:color w:val="auto"/>
        </w:rPr>
      </w:pPr>
      <w:r>
        <w:rPr>
          <w:rFonts w:ascii="Times New Roman" w:cs="Times New Roman" w:eastAsia="Times New Roman" w:hAnsi="Times New Roman"/>
          <w:sz w:val="17"/>
          <w:szCs w:val="17"/>
          <w:color w:val="auto"/>
        </w:rPr>
        <w:t>Level 2 – inputs to the valuation methodology include quoted prices for a similar asset or liability in an active market or model-derived valuations in which all significant inputs are observable for substantially the full term of the asset or liability</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Level 3 – inputs to the valuation methodology are unobservable and significant to the fair value measurement of the asset or liability</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the Company’s financial assets measured and recorded at fair value on a recurring basis using the above input categories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29, 2025 and September 28, 2024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3"/>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3"/>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1"/>
        </w:trPr>
        <w:tc>
          <w:tcPr>
            <w:tcW w:w="2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2"/>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1"/>
        </w:trPr>
        <w:tc>
          <w:tcPr>
            <w:tcW w:w="2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5"/>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36"/>
        </w:trPr>
        <w:tc>
          <w:tcPr>
            <w:tcW w:w="2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831,898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831,898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712,958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712,958</w:t>
            </w:r>
          </w:p>
        </w:tc>
      </w:tr>
      <w:tr>
        <w:trPr>
          <w:trHeight w:val="40"/>
        </w:trPr>
        <w:tc>
          <w:tcPr>
            <w:tcW w:w="2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75"/>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fair value</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16,789</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12,308</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12,308</w:t>
            </w: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831,898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16,789</w:t>
            </w: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848,687</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712,958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12,308</w:t>
            </w:r>
          </w:p>
        </w:tc>
        <w:tc>
          <w:tcPr>
            <w:tcW w:w="100" w:type="dxa"/>
            <w:vAlign w:val="bottom"/>
          </w:tcPr>
          <w:p>
            <w:pPr>
              <w:spacing w:after="0"/>
              <w:rPr>
                <w:sz w:val="19"/>
                <w:szCs w:val="19"/>
                <w:color w:val="auto"/>
              </w:rPr>
            </w:pPr>
          </w:p>
        </w:tc>
        <w:tc>
          <w:tcPr>
            <w:tcW w:w="76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725,266</w:t>
            </w:r>
          </w:p>
        </w:tc>
      </w:tr>
      <w:tr>
        <w:trPr>
          <w:trHeight w:val="40"/>
        </w:trPr>
        <w:tc>
          <w:tcPr>
            <w:tcW w:w="25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4" w:name="page25"/>
    <w:bookmarkEnd w:id="24"/>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had no liabilities measured and recorded at fair value on a recurring basis as of March 29, 2025 and September 28, 2024.</w:t>
      </w:r>
    </w:p>
    <w:p>
      <w:pPr>
        <w:spacing w:after="0" w:line="67" w:lineRule="exact"/>
        <w:rPr>
          <w:sz w:val="20"/>
          <w:szCs w:val="20"/>
          <w:color w:val="auto"/>
        </w:rPr>
      </w:pPr>
    </w:p>
    <w:p>
      <w:pPr>
        <w:ind w:right="40" w:firstLine="315"/>
        <w:spacing w:after="0" w:line="266" w:lineRule="auto"/>
        <w:rPr>
          <w:sz w:val="20"/>
          <w:szCs w:val="20"/>
          <w:color w:val="auto"/>
        </w:rPr>
      </w:pPr>
      <w:r>
        <w:rPr>
          <w:rFonts w:ascii="Times New Roman" w:cs="Times New Roman" w:eastAsia="Times New Roman" w:hAnsi="Times New Roman"/>
          <w:sz w:val="17"/>
          <w:szCs w:val="17"/>
          <w:color w:val="auto"/>
        </w:rPr>
        <w:t xml:space="preserve">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March 29, 2025, the fair value of the warrant issued as described in Note 12, </w:t>
      </w:r>
      <w:r>
        <w:rPr>
          <w:rFonts w:ascii="Times New Roman" w:cs="Times New Roman" w:eastAsia="Times New Roman" w:hAnsi="Times New Roman"/>
          <w:sz w:val="17"/>
          <w:szCs w:val="17"/>
          <w:i w:val="1"/>
          <w:iCs w:val="1"/>
          <w:color w:val="auto"/>
        </w:rPr>
        <w:t>Derivative Instruments</w:t>
      </w:r>
      <w:r>
        <w:rPr>
          <w:rFonts w:ascii="Times New Roman" w:cs="Times New Roman" w:eastAsia="Times New Roman" w:hAnsi="Times New Roman"/>
          <w:sz w:val="17"/>
          <w:szCs w:val="17"/>
          <w:color w:val="auto"/>
        </w:rPr>
        <w:t>, is classified as Level 2. Level 2 securities are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Derivative Instruments</w:t>
      </w:r>
    </w:p>
    <w:p>
      <w:pPr>
        <w:spacing w:after="0" w:line="69" w:lineRule="exact"/>
        <w:rPr>
          <w:sz w:val="20"/>
          <w:szCs w:val="20"/>
          <w:color w:val="auto"/>
        </w:rPr>
      </w:pPr>
    </w:p>
    <w:p>
      <w:pPr>
        <w:ind w:right="40" w:firstLine="315"/>
        <w:spacing w:after="0" w:line="270" w:lineRule="auto"/>
        <w:rPr>
          <w:sz w:val="20"/>
          <w:szCs w:val="20"/>
          <w:color w:val="auto"/>
        </w:rPr>
      </w:pPr>
      <w:r>
        <w:rPr>
          <w:rFonts w:ascii="Times New Roman" w:cs="Times New Roman" w:eastAsia="Times New Roman" w:hAnsi="Times New Roman"/>
          <w:sz w:val="17"/>
          <w:szCs w:val="17"/>
          <w:color w:val="auto"/>
        </w:rPr>
        <w:t>During fiscal year 2024, the Company entered into warrant agreements and a development and supply agreement with a supplier which, subject to meeting certain conditions, will entitle the Company to acquire a fixed number of shares of the supplier during the period of time set forth in the warrant agreements. The warrants vest in a series of tranches, at a specified price per share, upon meeting certain development and production-based milestones. If, and when, the relevant milestone is reached, the corresponding tranche of warrant will become exercisable up until the expiration date of the warrants in May 2044.</w:t>
      </w:r>
    </w:p>
    <w:p>
      <w:pPr>
        <w:spacing w:after="0" w:line="10" w:lineRule="exact"/>
        <w:rPr>
          <w:sz w:val="20"/>
          <w:szCs w:val="20"/>
          <w:color w:val="auto"/>
        </w:rPr>
      </w:pPr>
    </w:p>
    <w:p>
      <w:pPr>
        <w:ind w:right="40" w:firstLine="315"/>
        <w:spacing w:after="0" w:line="264" w:lineRule="auto"/>
        <w:rPr>
          <w:sz w:val="20"/>
          <w:szCs w:val="20"/>
          <w:color w:val="auto"/>
        </w:rPr>
      </w:pPr>
      <w:r>
        <w:rPr>
          <w:rFonts w:ascii="Times New Roman" w:cs="Times New Roman" w:eastAsia="Times New Roman" w:hAnsi="Times New Roman"/>
          <w:sz w:val="17"/>
          <w:szCs w:val="17"/>
          <w:color w:val="auto"/>
        </w:rPr>
        <w:t xml:space="preserve">The warrants are accounted for as a derivative under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as a result of certain net settlement provisions in the warrant agreements. The Company reports the warrants at their fair values within “other assets” in its condensed consolidated balance sheets and changes in the fair value of the warrants are recognized in “other income, net” on its condensed consolidated statements of operations. The day-one value attributable to the other side of the warrants is reported within “other liabilities” in the Company’s condensed consolidated balance sheets and will be amortized over the life of the applicable development and production milestones as determined in the development and supply agreement. The fair value of the warrants recognized within “other assets” on the Company’s condensed consolidated balance sheets at March 29, 2025 is $16.8 million. During the three and six months ended March 29, 2025, the Company recorded a fair value adjustment of $4.5 million to “other income, net” on the Company’s condensed consolidated statements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Related Party Transactions</w:t>
      </w:r>
    </w:p>
    <w:p>
      <w:pPr>
        <w:spacing w:after="0" w:line="67" w:lineRule="exact"/>
        <w:rPr>
          <w:sz w:val="20"/>
          <w:szCs w:val="20"/>
          <w:color w:val="auto"/>
        </w:rPr>
      </w:pPr>
    </w:p>
    <w:p>
      <w:pPr>
        <w:ind w:firstLine="315"/>
        <w:spacing w:after="0" w:line="263" w:lineRule="auto"/>
        <w:rPr>
          <w:sz w:val="20"/>
          <w:szCs w:val="20"/>
          <w:color w:val="auto"/>
        </w:rPr>
      </w:pPr>
      <w:r>
        <w:rPr>
          <w:rFonts w:ascii="Times New Roman" w:cs="Times New Roman" w:eastAsia="Times New Roman" w:hAnsi="Times New Roman"/>
          <w:sz w:val="17"/>
          <w:szCs w:val="17"/>
          <w:color w:val="auto"/>
        </w:rPr>
        <w:t xml:space="preserve">ASC 850, </w:t>
      </w:r>
      <w:r>
        <w:rPr>
          <w:rFonts w:ascii="Times New Roman" w:cs="Times New Roman" w:eastAsia="Times New Roman" w:hAnsi="Times New Roman"/>
          <w:sz w:val="17"/>
          <w:szCs w:val="17"/>
          <w:i w:val="1"/>
          <w:iCs w:val="1"/>
          <w:color w:val="auto"/>
        </w:rPr>
        <w:t>Related Party Disclosures</w:t>
      </w:r>
      <w:r>
        <w:rPr>
          <w:rFonts w:ascii="Times New Roman" w:cs="Times New Roman" w:eastAsia="Times New Roman" w:hAnsi="Times New Roman"/>
          <w:sz w:val="17"/>
          <w:szCs w:val="17"/>
          <w:color w:val="auto"/>
        </w:rPr>
        <w:t xml:space="preserve"> (“ASC 850”), provides guidance for the identification of related parties and the disclosure of related party transactions. Related parties are generally defined as (i) affiliates of the Company; (ii) owners of more than 10% of the voting interests of the Company and members of their immediate families; (iii) management of the Company and members of their immediate families; (iv) other parties which directly or indirectly control, are controlled by, or are under common control with the Company; or (v) other parties who can significantly influence the financial and operating decisions of the Company. A transaction is considered to be a related party transaction when there is a transfer of resources or obligations between related parties. The Company assesses related parties each reporting period. For the period ending March 29, 2025, the Company determined that C&amp;S Wholesale Grocers, Inc. (“C&amp;S”), GreenBox, and certain current holders of Symbotic Holdings were each a related party under ASC 850. The following transactions were related party transactions under ASC 850.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Aircraft Time Sharing Agreement</w:t>
      </w:r>
    </w:p>
    <w:p>
      <w:pPr>
        <w:spacing w:after="0" w:line="69" w:lineRule="exact"/>
        <w:rPr>
          <w:sz w:val="20"/>
          <w:szCs w:val="20"/>
          <w:color w:val="auto"/>
        </w:rPr>
      </w:pPr>
    </w:p>
    <w:p>
      <w:pPr>
        <w:ind w:right="20" w:firstLine="315"/>
        <w:spacing w:after="0" w:line="265" w:lineRule="auto"/>
        <w:rPr>
          <w:sz w:val="20"/>
          <w:szCs w:val="20"/>
          <w:color w:val="auto"/>
        </w:rPr>
      </w:pPr>
      <w:r>
        <w:rPr>
          <w:rFonts w:ascii="Times New Roman" w:cs="Times New Roman" w:eastAsia="Times New Roman" w:hAnsi="Times New Roman"/>
          <w:sz w:val="17"/>
          <w:szCs w:val="17"/>
          <w:color w:val="auto"/>
        </w:rPr>
        <w:t>In December 2021 and May 2022, the Company entered into aircraft time-sharing agreements with C&amp;S with respect to private aircraft owned by them, whereby the Company’s executives may utilize two C&amp;S aircraft on an as-needed and as-available basis, with no minimum usage being required. As there is no defined period of time stated within these aircraft time-sharing agreements, the Company does not consider these to meet the definition of a lease, and as such, records payments in the period in which the obligation for the payment is incurred. For the three and six months ended March 29, 2025, the Company incurred expense of $0.5 million and $0.9 million, respectively, and for the three and six months ended March 30, 2024, the Company incurred expense of $0.3 million and $0.5 million, respectively, related to these aircraft time-sharing agreements.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Usage of Facility and Employee Services</w:t>
      </w:r>
    </w:p>
    <w:p>
      <w:pPr>
        <w:spacing w:after="0" w:line="69" w:lineRule="exact"/>
        <w:rPr>
          <w:sz w:val="20"/>
          <w:szCs w:val="20"/>
          <w:color w:val="auto"/>
        </w:rPr>
      </w:pPr>
    </w:p>
    <w:p>
      <w:pPr>
        <w:jc w:val="both"/>
        <w:ind w:right="60" w:firstLine="315"/>
        <w:spacing w:after="0" w:line="277" w:lineRule="auto"/>
        <w:rPr>
          <w:sz w:val="20"/>
          <w:szCs w:val="20"/>
          <w:color w:val="auto"/>
        </w:rPr>
      </w:pPr>
      <w:r>
        <w:rPr>
          <w:rFonts w:ascii="Times New Roman" w:cs="Times New Roman" w:eastAsia="Times New Roman" w:hAnsi="Times New Roman"/>
          <w:sz w:val="17"/>
          <w:szCs w:val="17"/>
          <w:color w:val="auto"/>
        </w:rPr>
        <w:t>The Company has a license arrangement with C&amp;S whereby C&amp;S is providing receiving and logistics services for the Company within a C&amp;S distribution facility. The arrangement also provides for C&amp;S employees assisting with certain of the Company’s operations. For the three and six months ended March 29, 2025, the Company incurred expense of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25" w:name="page26"/>
    <w:bookmarkEnd w:id="25"/>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600"/>
        <w:spacing w:after="0" w:line="297" w:lineRule="auto"/>
        <w:rPr>
          <w:sz w:val="20"/>
          <w:szCs w:val="20"/>
          <w:color w:val="auto"/>
        </w:rPr>
      </w:pPr>
      <w:r>
        <w:rPr>
          <w:rFonts w:ascii="Times New Roman" w:cs="Times New Roman" w:eastAsia="Times New Roman" w:hAnsi="Times New Roman"/>
          <w:sz w:val="17"/>
          <w:szCs w:val="17"/>
          <w:color w:val="auto"/>
        </w:rPr>
        <w:t>and $0.7 million, respectively, and for the three and six months ended March 30, 2024, the Company incurred expense of $0.8 million and $1.5 million, respectively, related to this arrangement.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Customer Contracts</w:t>
      </w:r>
    </w:p>
    <w:p>
      <w:pPr>
        <w:spacing w:after="0" w:line="69" w:lineRule="exact"/>
        <w:rPr>
          <w:sz w:val="20"/>
          <w:szCs w:val="20"/>
          <w:color w:val="auto"/>
        </w:rPr>
      </w:pPr>
    </w:p>
    <w:p>
      <w:pPr>
        <w:jc w:val="both"/>
        <w:ind w:right="20" w:firstLine="315"/>
        <w:spacing w:after="0" w:line="264" w:lineRule="auto"/>
        <w:rPr>
          <w:sz w:val="20"/>
          <w:szCs w:val="20"/>
          <w:color w:val="auto"/>
        </w:rPr>
      </w:pPr>
      <w:r>
        <w:rPr>
          <w:rFonts w:ascii="Times New Roman" w:cs="Times New Roman" w:eastAsia="Times New Roman" w:hAnsi="Times New Roman"/>
          <w:sz w:val="17"/>
          <w:szCs w:val="17"/>
          <w:color w:val="auto"/>
        </w:rPr>
        <w:t>The Company has customer contracts with C&amp;S relating to systems implementation, software maintenance services and the operations of Systems. For the three and six months ended March 29, 2025, revenue of $2.9 million and $5.2 million was recognized, respectively, relating to these customer contracts. For the three and six months ended March 30, 2024, revenue of $22.2 million and $35.0 million was recognized, respectively, relating to these customer contracts.</w:t>
      </w:r>
    </w:p>
    <w:p>
      <w:pPr>
        <w:spacing w:after="0" w:line="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There was $12.4 million unbilled accounts receivable and accounts receivable due from C&amp;S at March 29, 2025, and $18.4 million unbilled accounts receivable and accounts receivable due from C&amp;S at September 28, 2024. There was $2.7 million and $1.8 million of deferred revenue related to contracts with C&amp;S at March 29, 2025 and September 28, 2024, respectively. The transaction price allocated to performance obligations that are unsatisfied as of March 29, 2025 was $2.7 million.</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GreenBox</w:t>
      </w:r>
    </w:p>
    <w:p>
      <w:pPr>
        <w:spacing w:after="0" w:line="69" w:lineRule="exact"/>
        <w:rPr>
          <w:sz w:val="20"/>
          <w:szCs w:val="20"/>
          <w:color w:val="auto"/>
        </w:rPr>
      </w:pPr>
    </w:p>
    <w:p>
      <w:pPr>
        <w:ind w:right="20" w:firstLine="315"/>
        <w:spacing w:after="0" w:line="261" w:lineRule="auto"/>
        <w:rPr>
          <w:sz w:val="20"/>
          <w:szCs w:val="20"/>
          <w:color w:val="auto"/>
        </w:rPr>
      </w:pPr>
      <w:r>
        <w:rPr>
          <w:rFonts w:ascii="Times New Roman" w:cs="Times New Roman" w:eastAsia="Times New Roman" w:hAnsi="Times New Roman"/>
          <w:sz w:val="17"/>
          <w:szCs w:val="17"/>
          <w:color w:val="auto"/>
        </w:rPr>
        <w:t xml:space="preserve">The Company has a customer contract relating to systems implementation and shared services with GreenBox. For the three and six months ended March 29, 2025, revenue of $4.9 million and $7.6 million was recognized, respectively, relating to this customer contract. There was $5.5 million unbilled accounts receivable and accounts receivable due from the customer contract, and $2.1 million accounts receivable due from the shared service agreement at March 29, 2025. There was $74.9 million and $69.1 million of deferred revenue related to contracts with GreenBox at March 29, 2025 and September 28, 2024, respectively. The transaction price allocated to performance obligations that are unsatisfied as of March 29, 2025 was $11.5 billion. There was no revenue, accounts receivable, or deferred revenue for GreenBox at and for the three and six months ended March 30, 2024. No cash funding was made by the Company to GreenBox in relation to the VIE (as further described in Note 14, </w:t>
      </w:r>
      <w:r>
        <w:rPr>
          <w:rFonts w:ascii="Times New Roman" w:cs="Times New Roman" w:eastAsia="Times New Roman" w:hAnsi="Times New Roman"/>
          <w:sz w:val="17"/>
          <w:szCs w:val="17"/>
          <w:i w:val="1"/>
          <w:iCs w:val="1"/>
          <w:color w:val="auto"/>
        </w:rPr>
        <w:t>Variable Interest Entities</w:t>
      </w:r>
      <w:r>
        <w:rPr>
          <w:rFonts w:ascii="Times New Roman" w:cs="Times New Roman" w:eastAsia="Times New Roman" w:hAnsi="Times New Roman"/>
          <w:sz w:val="17"/>
          <w:szCs w:val="17"/>
          <w:color w:val="auto"/>
        </w:rPr>
        <w:t>) for the three months ended March 29, 2025, and $6.8 million of cash funding was made by the Company to GreenBox in relation to the VIE for the six months ended March 29, 2025. Non-cash funding in the form of a stock contribution of $2.8 million was made by the Company to GreenBox for the three and six months ended March 29, 2025. No cash or non-cash funding was made for the three and six months ended March 30,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 Distribution to Symbotic Holdings LLC partners</w:t>
      </w:r>
    </w:p>
    <w:p>
      <w:pPr>
        <w:spacing w:after="0" w:line="69" w:lineRule="exact"/>
        <w:rPr>
          <w:sz w:val="20"/>
          <w:szCs w:val="20"/>
          <w:color w:val="auto"/>
        </w:rPr>
      </w:pPr>
    </w:p>
    <w:p>
      <w:pPr>
        <w:ind w:right="100" w:firstLine="315"/>
        <w:spacing w:after="0" w:line="267" w:lineRule="auto"/>
        <w:rPr>
          <w:sz w:val="20"/>
          <w:szCs w:val="20"/>
          <w:color w:val="auto"/>
        </w:rPr>
      </w:pPr>
      <w:r>
        <w:rPr>
          <w:rFonts w:ascii="Times New Roman" w:cs="Times New Roman" w:eastAsia="Times New Roman" w:hAnsi="Times New Roman"/>
          <w:sz w:val="17"/>
          <w:szCs w:val="17"/>
          <w:color w:val="auto"/>
        </w:rPr>
        <w:t>Pursuant to the Second Amended and Restated Limited Liability Company Agreement of Symbotic Holdings, Symbotic LLC makes pro rata tax distributions to the holders of Symbotic Holdings’ units in an amount sufficient to fund all or part of their tax obligations with respect to the taxable income of Symbotic Holdings that is allocated to them. For the three and six months ended March 29, 2025, the Company distributed a total of $0.4 million and $1.2 million, respectively, of tax distributions to or on behalf of its members, of which $0.3 million and $1.1 million, respectively, was distributed to or on behalf of those who met the definition of a related party in accordance with ASC 850.</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 Obligations</w:t>
      </w:r>
    </w:p>
    <w:p>
      <w:pPr>
        <w:spacing w:after="0" w:line="69" w:lineRule="exact"/>
        <w:rPr>
          <w:sz w:val="20"/>
          <w:szCs w:val="20"/>
          <w:color w:val="auto"/>
        </w:rPr>
      </w:pPr>
    </w:p>
    <w:p>
      <w:pPr>
        <w:ind w:right="140" w:firstLine="315"/>
        <w:spacing w:after="0" w:line="277" w:lineRule="auto"/>
        <w:rPr>
          <w:sz w:val="20"/>
          <w:szCs w:val="20"/>
          <w:color w:val="auto"/>
        </w:rPr>
      </w:pPr>
      <w:r>
        <w:rPr>
          <w:rFonts w:ascii="Times New Roman" w:cs="Times New Roman" w:eastAsia="Times New Roman" w:hAnsi="Times New Roman"/>
          <w:sz w:val="17"/>
          <w:szCs w:val="17"/>
          <w:color w:val="auto"/>
        </w:rPr>
        <w:t>The Company has contractual obligations to purchase goods or services, which specify significant terms, including fixed or minimum quantities to be purchased and fixed, minimum, or variable price provisions. As of March 29, 2025, the purchase commitments covered by these arrangements are $1.0 billion in the aggregate, of which $0.9 billion are less than one year.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Commitments</w:t>
      </w:r>
    </w:p>
    <w:p>
      <w:pPr>
        <w:spacing w:after="0" w:line="67" w:lineRule="exact"/>
        <w:rPr>
          <w:sz w:val="20"/>
          <w:szCs w:val="20"/>
          <w:color w:val="auto"/>
        </w:rPr>
      </w:pPr>
    </w:p>
    <w:p>
      <w:pPr>
        <w:ind w:right="60" w:firstLine="315"/>
        <w:spacing w:after="0" w:line="299" w:lineRule="auto"/>
        <w:rPr>
          <w:sz w:val="20"/>
          <w:szCs w:val="20"/>
          <w:color w:val="auto"/>
        </w:rPr>
      </w:pPr>
      <w:r>
        <w:rPr>
          <w:rFonts w:ascii="Times New Roman" w:cs="Times New Roman" w:eastAsia="Times New Roman" w:hAnsi="Times New Roman"/>
          <w:sz w:val="17"/>
          <w:szCs w:val="17"/>
          <w:color w:val="auto"/>
        </w:rPr>
        <w:t xml:space="preserve">The Company leases certain of its facilities under operating leases expiring in various years through 2030. Refer to Note 5,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for a schedule of future lease payments under non-cancellable leases as of March 29,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26" w:name="page27"/>
    <w:bookmarkEnd w:id="26"/>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Warranty</w:t>
      </w:r>
    </w:p>
    <w:p>
      <w:pPr>
        <w:spacing w:after="0" w:line="69" w:lineRule="exact"/>
        <w:rPr>
          <w:sz w:val="20"/>
          <w:szCs w:val="20"/>
          <w:color w:val="auto"/>
        </w:rPr>
      </w:pPr>
    </w:p>
    <w:p>
      <w:pPr>
        <w:ind w:right="320" w:firstLine="315"/>
        <w:spacing w:after="0" w:line="289" w:lineRule="auto"/>
        <w:rPr>
          <w:sz w:val="20"/>
          <w:szCs w:val="20"/>
          <w:color w:val="auto"/>
        </w:rPr>
      </w:pPr>
      <w:r>
        <w:rPr>
          <w:rFonts w:ascii="Times New Roman" w:cs="Times New Roman" w:eastAsia="Times New Roman" w:hAnsi="Times New Roman"/>
          <w:sz w:val="17"/>
          <w:szCs w:val="17"/>
          <w:color w:val="auto"/>
        </w:rPr>
        <w:t>The Company provides a limited warranty on its Systems and has established a reserve for warranty obligations based on estimated warranty costs. The reserve is included as part of accrued expenses and other long-term liabilities in the accompanying consolidated balance sheets.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Activity related to the warranty accrual is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840" w:type="dxa"/>
            <w:vAlign w:val="bottom"/>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31"/>
        </w:trPr>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2"/>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4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6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March 30, 2024</w:t>
            </w:r>
          </w:p>
        </w:tc>
      </w:tr>
      <w:tr>
        <w:trPr>
          <w:trHeight w:val="31"/>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36,863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31,935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18,948</w:t>
            </w: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w:t>
            </w:r>
          </w:p>
        </w:tc>
        <w:tc>
          <w:tcPr>
            <w:tcW w:w="160" w:type="dxa"/>
            <w:vAlign w:val="bottom"/>
          </w:tcPr>
          <w:p>
            <w:pPr>
              <w:spacing w:after="0"/>
              <w:rPr>
                <w:sz w:val="20"/>
                <w:szCs w:val="20"/>
                <w:color w:val="auto"/>
              </w:rPr>
            </w:pPr>
          </w:p>
        </w:tc>
        <w:tc>
          <w:tcPr>
            <w:tcW w:w="13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11,188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18,508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12,039</w:t>
            </w:r>
          </w:p>
        </w:tc>
      </w:tr>
      <w:tr>
        <w:trPr>
          <w:trHeight w:val="40"/>
        </w:trPr>
        <w:tc>
          <w:tcPr>
            <w:tcW w:w="5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5"/>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Warranty usage</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(2,326)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(4,718)</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(3,511)</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45,725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27,476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rPr>
              <w:t>45,725</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27,476</w:t>
            </w:r>
          </w:p>
        </w:tc>
      </w:tr>
      <w:tr>
        <w:trPr>
          <w:trHeight w:val="40"/>
        </w:trPr>
        <w:tc>
          <w:tcPr>
            <w:tcW w:w="51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69" w:lineRule="exact"/>
        <w:rPr>
          <w:sz w:val="20"/>
          <w:szCs w:val="20"/>
          <w:color w:val="auto"/>
        </w:rPr>
      </w:pPr>
    </w:p>
    <w:p>
      <w:pPr>
        <w:ind w:right="220" w:firstLine="315"/>
        <w:spacing w:after="0" w:line="277" w:lineRule="auto"/>
        <w:rPr>
          <w:sz w:val="20"/>
          <w:szCs w:val="20"/>
          <w:color w:val="auto"/>
        </w:rPr>
      </w:pPr>
      <w:r>
        <w:rPr>
          <w:rFonts w:ascii="Times New Roman" w:cs="Times New Roman" w:eastAsia="Times New Roman" w:hAnsi="Times New Roman"/>
          <w:sz w:val="17"/>
          <w:szCs w:val="17"/>
          <w:color w:val="auto"/>
        </w:rPr>
        <w:t>The Company is subject from time to time to various claims, lawsuits and other legal and administrative proceedings. Some of these claims, lawsuits and other proceedings may involve highly complex issues that are subject to substantial uncertainties, and could result in damages, fines and penalties, non-monetary sanctions or relief.</w:t>
      </w:r>
    </w:p>
    <w:p>
      <w:pPr>
        <w:spacing w:after="0" w:line="5" w:lineRule="exact"/>
        <w:rPr>
          <w:sz w:val="20"/>
          <w:szCs w:val="20"/>
          <w:color w:val="auto"/>
        </w:rPr>
      </w:pPr>
    </w:p>
    <w:p>
      <w:pPr>
        <w:ind w:right="60" w:firstLine="315"/>
        <w:spacing w:after="0" w:line="289" w:lineRule="auto"/>
        <w:rPr>
          <w:sz w:val="20"/>
          <w:szCs w:val="20"/>
          <w:color w:val="auto"/>
        </w:rPr>
      </w:pPr>
      <w:r>
        <w:rPr>
          <w:rFonts w:ascii="Times New Roman" w:cs="Times New Roman" w:eastAsia="Times New Roman" w:hAnsi="Times New Roman"/>
          <w:sz w:val="17"/>
          <w:szCs w:val="17"/>
          <w:color w:val="auto"/>
        </w:rPr>
        <w:t>The Company recognizes provisions for claims or pending litigation when it is determined that an unfavorable outcome is probable, and the amount of loss can be reasonably estimated. Due to the inherent uncertain nature of litigation, the ultimate outcome or actual cost of settlement may materially vary from estimates.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 Matters</w:t>
      </w:r>
    </w:p>
    <w:p>
      <w:pPr>
        <w:spacing w:after="0" w:line="69" w:lineRule="exact"/>
        <w:rPr>
          <w:sz w:val="20"/>
          <w:szCs w:val="20"/>
          <w:color w:val="auto"/>
        </w:rPr>
      </w:pPr>
    </w:p>
    <w:p>
      <w:pPr>
        <w:jc w:val="both"/>
        <w:ind w:right="120" w:firstLine="315"/>
        <w:spacing w:after="0" w:line="277" w:lineRule="auto"/>
        <w:rPr>
          <w:sz w:val="20"/>
          <w:szCs w:val="20"/>
          <w:color w:val="auto"/>
        </w:rPr>
      </w:pPr>
      <w:r>
        <w:rPr>
          <w:rFonts w:ascii="Times New Roman" w:cs="Times New Roman" w:eastAsia="Times New Roman" w:hAnsi="Times New Roman"/>
          <w:sz w:val="17"/>
          <w:szCs w:val="17"/>
          <w:color w:val="auto"/>
        </w:rPr>
        <w:t>The Company has been responding to requests for information from the SEC relating to an investigation by the SEC of alleged violations by the Company of Rule 21F-17, which prohibits actions to impede communications directly with the SEC staff about a possible securities law violation. The Company intends to continue to defend this matter vigorously and cannot predict the outcome of this investigation.</w:t>
      </w:r>
    </w:p>
    <w:p>
      <w:pPr>
        <w:spacing w:after="0" w:line="5" w:lineRule="exact"/>
        <w:rPr>
          <w:sz w:val="20"/>
          <w:szCs w:val="20"/>
          <w:color w:val="auto"/>
        </w:rPr>
      </w:pPr>
    </w:p>
    <w:p>
      <w:pPr>
        <w:ind w:right="280" w:firstLine="315"/>
        <w:spacing w:after="0" w:line="297" w:lineRule="auto"/>
        <w:rPr>
          <w:sz w:val="20"/>
          <w:szCs w:val="20"/>
          <w:color w:val="auto"/>
        </w:rPr>
      </w:pPr>
      <w:r>
        <w:rPr>
          <w:rFonts w:ascii="Times New Roman" w:cs="Times New Roman" w:eastAsia="Times New Roman" w:hAnsi="Times New Roman"/>
          <w:sz w:val="17"/>
          <w:szCs w:val="17"/>
          <w:color w:val="auto"/>
        </w:rPr>
        <w:t>The Company has received a subpoena from the SEC relating to its November 2024 restatement of revenues for the year ended September 28, 2024 and certain other matters. The Company is cooperating with the SEC with respect to this matter.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Securities Class Actions</w:t>
      </w:r>
    </w:p>
    <w:p>
      <w:pPr>
        <w:spacing w:after="0" w:line="69" w:lineRule="exact"/>
        <w:rPr>
          <w:sz w:val="20"/>
          <w:szCs w:val="20"/>
          <w:color w:val="auto"/>
        </w:rPr>
      </w:pPr>
    </w:p>
    <w:p>
      <w:pPr>
        <w:ind w:right="140" w:firstLine="315"/>
        <w:spacing w:after="0" w:line="277" w:lineRule="auto"/>
        <w:rPr>
          <w:sz w:val="20"/>
          <w:szCs w:val="20"/>
          <w:color w:val="auto"/>
        </w:rPr>
      </w:pPr>
      <w:r>
        <w:rPr>
          <w:rFonts w:ascii="Times New Roman" w:cs="Times New Roman" w:eastAsia="Times New Roman" w:hAnsi="Times New Roman"/>
          <w:sz w:val="17"/>
          <w:szCs w:val="17"/>
          <w:color w:val="auto"/>
        </w:rPr>
        <w:t>On August 14, 2024, a putative class action captioned Fox v. Symbotic Inc. et al., Case No. 24-cv-12090 was filed in the United States District Court for the District of Massachusetts by an alleged holder of the Company’s common stock. On March 10, 2025, the plaintiff voluntarily dismissed this action without prejudice pursuant to Federal Rule of Civil Procedure 41(a)(1)(A)(i).</w:t>
      </w:r>
    </w:p>
    <w:p>
      <w:pPr>
        <w:spacing w:after="0" w:line="5" w:lineRule="exact"/>
        <w:rPr>
          <w:sz w:val="20"/>
          <w:szCs w:val="20"/>
          <w:color w:val="auto"/>
        </w:rPr>
      </w:pPr>
    </w:p>
    <w:p>
      <w:pPr>
        <w:ind w:right="40" w:firstLine="315"/>
        <w:spacing w:after="0" w:line="264" w:lineRule="auto"/>
        <w:rPr>
          <w:sz w:val="20"/>
          <w:szCs w:val="20"/>
          <w:color w:val="auto"/>
        </w:rPr>
      </w:pPr>
      <w:r>
        <w:rPr>
          <w:rFonts w:ascii="Times New Roman" w:cs="Times New Roman" w:eastAsia="Times New Roman" w:hAnsi="Times New Roman"/>
          <w:sz w:val="17"/>
          <w:szCs w:val="17"/>
          <w:color w:val="auto"/>
        </w:rPr>
        <w:t>On December 3, 2024, a putative class action captioned Decker v. Symbotic Inc. et al., Case No. 24-cv-12976 was filed in the United States District Court for the District of Massachusetts by an alleged purchaser of the Company’s common stock. The complaint asserts claims for violations of federal securities laws against the Company and three of its officers on the grounds that the Company made false and/or misleading statements related to its revenue recognition and the effectiveness of its disclosure controls and procedures. Based on these allegations, the plaintiff brings claims seeking unspecified damages, attorneys’ fees, expert fees, and other costs and relief on behalf of himself and a putative class of persons who purchased the Company’s stock between February 8, 2024 and November 26, 2024. On May 5, 2025, the court entered an order appointing a lead plaintiff pursuant to the Private Securities Litigation Reform Act and setting a schedule for the filing of an amended complaint and the Company’s response to the complaint. The plaintiff’s amended complaint is due on July 11, 2025.</w:t>
      </w:r>
    </w:p>
    <w:p>
      <w:pPr>
        <w:spacing w:after="0" w:line="16" w:lineRule="exact"/>
        <w:rPr>
          <w:sz w:val="20"/>
          <w:szCs w:val="20"/>
          <w:color w:val="auto"/>
        </w:rPr>
      </w:pPr>
    </w:p>
    <w:p>
      <w:pPr>
        <w:ind w:firstLine="315"/>
        <w:spacing w:after="0" w:line="265" w:lineRule="auto"/>
        <w:rPr>
          <w:sz w:val="20"/>
          <w:szCs w:val="20"/>
          <w:color w:val="auto"/>
        </w:rPr>
      </w:pPr>
      <w:r>
        <w:rPr>
          <w:rFonts w:ascii="Times New Roman" w:cs="Times New Roman" w:eastAsia="Times New Roman" w:hAnsi="Times New Roman"/>
          <w:sz w:val="17"/>
          <w:szCs w:val="17"/>
          <w:color w:val="auto"/>
        </w:rPr>
        <w:t>The Company intends to vigorously defend this case. If a court ultimately determines that the Company is liable in this case, the Company may be subject to substantial damages. The Company cannot predict with any degree of certainty the outcome of this matter or determine the extent of any potential liabilities. The Company also cannot provide an estimate of the possible loss or range of loss. Any adverse outcome in this matter could expose the Company to substantial damages that may have a material adverse impact on its operations and cash flows. Despite the potential for significant damages, the Company does not believe, based on currently available information, that the outcome of this proceeding will have a material adverse effect on its financial condition, although the outcome could be material to its operating results for any particular period, depending, in part, upon the operating results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7" w:name="page28"/>
    <w:bookmarkEnd w:id="27"/>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Shareholder Derivative Actions</w:t>
      </w:r>
    </w:p>
    <w:p>
      <w:pPr>
        <w:spacing w:after="0" w:line="69" w:lineRule="exact"/>
        <w:rPr>
          <w:sz w:val="20"/>
          <w:szCs w:val="20"/>
          <w:color w:val="auto"/>
        </w:rPr>
      </w:pPr>
    </w:p>
    <w:p>
      <w:pPr>
        <w:ind w:right="20" w:firstLine="315"/>
        <w:spacing w:after="0" w:line="262" w:lineRule="auto"/>
        <w:rPr>
          <w:sz w:val="20"/>
          <w:szCs w:val="20"/>
          <w:color w:val="auto"/>
        </w:rPr>
      </w:pPr>
      <w:r>
        <w:rPr>
          <w:rFonts w:ascii="Times New Roman" w:cs="Times New Roman" w:eastAsia="Times New Roman" w:hAnsi="Times New Roman"/>
          <w:sz w:val="17"/>
          <w:szCs w:val="17"/>
          <w:color w:val="auto"/>
        </w:rPr>
        <w:t>On October 2, 2024, two putative shareholder derivative actions captioned Austen v. Cohen et al., 24-cv-12522 and Kukreja v. Cohen et al., 24-cv-12523 were filed in the United States District Court for the District of Massachusetts by the Company’s alleged shareholders. The actions assert claims on behalf of the Company against certain senior officers and members of its board of directors for, among others, breach of fiduciary duty, unjust enrichment, and violations of federal securities laws based primarily on allegations that the defendants caused or allowed the Company to disseminate misleading and inaccurate information to shareholders in connection with the Company’s expected earnings for the third quarter of fiscal year 2024. The actions also contend that the defendants wasted corporate assets by exposing the Company to the securities class action lawsuit filed on August 14, 2024. The actions seek compensatory damages, changes to corporate governance and internal procedures, restitution, costs and attorneys’ fees, and other unspecified relief. Motions to consolidate the two actions into a single matter, appoint lead plaintiffs’ counsel, and stay any obligation of the defendants to respond to the complaint based on the pendency of the related securities class action lawsuit remain pending.</w:t>
      </w:r>
    </w:p>
    <w:p>
      <w:pPr>
        <w:spacing w:after="0" w:line="20" w:lineRule="exact"/>
        <w:rPr>
          <w:sz w:val="20"/>
          <w:szCs w:val="20"/>
          <w:color w:val="auto"/>
        </w:rPr>
      </w:pPr>
    </w:p>
    <w:p>
      <w:pPr>
        <w:ind w:firstLine="315"/>
        <w:spacing w:after="0" w:line="265" w:lineRule="auto"/>
        <w:rPr>
          <w:sz w:val="20"/>
          <w:szCs w:val="20"/>
          <w:color w:val="auto"/>
        </w:rPr>
      </w:pPr>
      <w:r>
        <w:rPr>
          <w:rFonts w:ascii="Times New Roman" w:cs="Times New Roman" w:eastAsia="Times New Roman" w:hAnsi="Times New Roman"/>
          <w:sz w:val="17"/>
          <w:szCs w:val="17"/>
          <w:color w:val="auto"/>
        </w:rPr>
        <w:t>The Company intends to vigorously defend these cases. If a court ultimately determines that the Company is liable, the Company may be subject to substantial damages. The Company cannot predict with any degree of certainty the outcome of this matter or determine the extent of any potential liabilities. The Company also cannot provide an estimate of the possible loss or range of loss. Any adverse outcome in this matter could expose the Company to substantial damages that may have a material adverse impact on its operations and cash flows. Despite the potential for significant damages, the Company does not believe, based on currently available information, that the outcome of this proceeding will have a material adverse effect on its financial condition, although the outcome could be material to its operating results for any particular period, depending, in part, upon the operating results for such period.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Contingencies</w:t>
      </w:r>
    </w:p>
    <w:p>
      <w:pPr>
        <w:spacing w:after="0" w:line="69" w:lineRule="exact"/>
        <w:rPr>
          <w:sz w:val="20"/>
          <w:szCs w:val="20"/>
          <w:color w:val="auto"/>
        </w:rPr>
      </w:pPr>
    </w:p>
    <w:p>
      <w:pPr>
        <w:ind w:firstLine="315"/>
        <w:spacing w:after="0" w:line="270" w:lineRule="auto"/>
        <w:rPr>
          <w:sz w:val="20"/>
          <w:szCs w:val="20"/>
          <w:color w:val="auto"/>
        </w:rPr>
      </w:pPr>
      <w:r>
        <w:rPr>
          <w:rFonts w:ascii="Times New Roman" w:cs="Times New Roman" w:eastAsia="Times New Roman" w:hAnsi="Times New Roman"/>
          <w:sz w:val="17"/>
          <w:szCs w:val="17"/>
          <w:color w:val="auto"/>
        </w:rPr>
        <w:t>Liabilities for any loss contingencies arising from claims, assessments, litigation, fines, penalties, and other matters are recorded when it is probable that the liability has been incurred and the amount of the liability can be reasonably estimated. Legal costs associated with loss contingencies are expensed as incurred. As of March 29, 2025, the Company has made appropriate provisions related to such matters and does not believe that such matters will have a material adverse effect on the Company’s consolidated operations, financial position, or liquidity.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Indemnifications</w:t>
      </w:r>
    </w:p>
    <w:p>
      <w:pPr>
        <w:spacing w:after="0" w:line="69" w:lineRule="exact"/>
        <w:rPr>
          <w:sz w:val="20"/>
          <w:szCs w:val="20"/>
          <w:color w:val="auto"/>
        </w:rPr>
      </w:pPr>
    </w:p>
    <w:p>
      <w:pPr>
        <w:ind w:right="140" w:firstLine="315"/>
        <w:spacing w:after="0" w:line="267" w:lineRule="auto"/>
        <w:rPr>
          <w:sz w:val="20"/>
          <w:szCs w:val="20"/>
          <w:color w:val="auto"/>
        </w:rPr>
      </w:pPr>
      <w:r>
        <w:rPr>
          <w:rFonts w:ascii="Times New Roman" w:cs="Times New Roman" w:eastAsia="Times New Roman" w:hAnsi="Times New Roman"/>
          <w:sz w:val="17"/>
          <w:szCs w:val="17"/>
          <w:color w:val="auto"/>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The Company has never incurred costs to defend lawsuits or settle claims related to these indemnification obligations. As a result, the Company believes the estimated fair value of these obligations is minimal. Accordingly, the Company has no liabilities recorded for these obligations as of March 29, 2025 and September 28, 2024.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Variable Interest Entities (“VIE”)</w:t>
      </w:r>
    </w:p>
    <w:p>
      <w:pPr>
        <w:spacing w:after="0" w:line="69" w:lineRule="exact"/>
        <w:rPr>
          <w:sz w:val="20"/>
          <w:szCs w:val="20"/>
          <w:color w:val="auto"/>
        </w:rPr>
      </w:pPr>
    </w:p>
    <w:p>
      <w:pPr>
        <w:ind w:right="140" w:firstLine="315"/>
        <w:spacing w:after="0" w:line="277" w:lineRule="auto"/>
        <w:rPr>
          <w:sz w:val="20"/>
          <w:szCs w:val="20"/>
          <w:color w:val="auto"/>
        </w:rPr>
      </w:pPr>
      <w:r>
        <w:rPr>
          <w:rFonts w:ascii="Times New Roman" w:cs="Times New Roman" w:eastAsia="Times New Roman" w:hAnsi="Times New Roman"/>
          <w:sz w:val="17"/>
          <w:szCs w:val="17"/>
          <w:color w:val="auto"/>
        </w:rPr>
        <w:t>VIEs are entities with any of the following characteristics: (i) the entity does not have enough equity to finance its activities without additional financial support; (ii) the equity holders, as a group, lack the characteristics of a controlling financial interest; or (iii) the entity is structured with non-substantive voting rights.</w:t>
      </w:r>
    </w:p>
    <w:p>
      <w:pPr>
        <w:spacing w:after="0" w:line="5" w:lineRule="exact"/>
        <w:rPr>
          <w:sz w:val="20"/>
          <w:szCs w:val="20"/>
          <w:color w:val="auto"/>
        </w:rPr>
      </w:pPr>
    </w:p>
    <w:p>
      <w:pPr>
        <w:ind w:right="160" w:firstLine="315"/>
        <w:spacing w:after="0" w:line="277" w:lineRule="auto"/>
        <w:rPr>
          <w:sz w:val="20"/>
          <w:szCs w:val="20"/>
          <w:color w:val="auto"/>
        </w:rPr>
      </w:pPr>
      <w:r>
        <w:rPr>
          <w:rFonts w:ascii="Times New Roman" w:cs="Times New Roman" w:eastAsia="Times New Roman" w:hAnsi="Times New Roman"/>
          <w:sz w:val="17"/>
          <w:szCs w:val="17"/>
          <w:color w:val="auto"/>
        </w:rPr>
        <w:t>Consolidation of a VIE is required for the party deemed to be the primary beneficiary, if any. The primary beneficiary is the party who has both (a) the power to direct the activities of a VIE that most significantly impact the entity’s economic performance and (b) an obligation to absorb losses of the entity or a right to receive benefits from the entity that could potentially be significant to the entity.</w:t>
      </w:r>
    </w:p>
    <w:p>
      <w:pPr>
        <w:spacing w:after="0" w:line="5" w:lineRule="exact"/>
        <w:rPr>
          <w:sz w:val="20"/>
          <w:szCs w:val="20"/>
          <w:color w:val="auto"/>
        </w:rPr>
      </w:pPr>
    </w:p>
    <w:p>
      <w:pPr>
        <w:ind w:right="120" w:firstLine="315"/>
        <w:spacing w:after="0" w:line="265" w:lineRule="auto"/>
        <w:rPr>
          <w:sz w:val="20"/>
          <w:szCs w:val="20"/>
          <w:color w:val="auto"/>
        </w:rPr>
      </w:pPr>
      <w:r>
        <w:rPr>
          <w:rFonts w:ascii="Times New Roman" w:cs="Times New Roman" w:eastAsia="Times New Roman" w:hAnsi="Times New Roman"/>
          <w:sz w:val="17"/>
          <w:szCs w:val="17"/>
          <w:color w:val="auto"/>
        </w:rPr>
        <w:t>On July 23, 2023, the Company, New Symbotic Holdings, and Symbotic LLC (collectively, the “Symbotic Group”), entered into a Framework Agreement (the “Framework Agreement”) with Sunlight Investment Corp., a Delaware corporation (“Sunlight”), SVF II Strategic Investments AIV LLC, a Delaware limited liability company (“SVF” and, together with Sunlight, “SoftBank”), and GreenBox, related to, among other things, the formation of GreenBox as a venture between the Symbotic Group and SoftBank and a warrant to purchase Class A Common Stock of Symbotic (the “GreenBox Warrant”). On July 23, 2023, GreenBox also entered into a Master Services, License and Equipment Agreement with Symbotic LLC with respect to the purchase of Systems (“GreenBox Commercial Agreement”).</w:t>
      </w:r>
    </w:p>
    <w:p>
      <w:pPr>
        <w:spacing w:after="0" w:line="16" w:lineRule="exact"/>
        <w:rPr>
          <w:sz w:val="20"/>
          <w:szCs w:val="20"/>
          <w:color w:val="auto"/>
        </w:rPr>
      </w:pPr>
    </w:p>
    <w:p>
      <w:pPr>
        <w:ind w:right="300" w:firstLine="315"/>
        <w:spacing w:after="0" w:line="297" w:lineRule="auto"/>
        <w:rPr>
          <w:sz w:val="20"/>
          <w:szCs w:val="20"/>
          <w:color w:val="auto"/>
        </w:rPr>
      </w:pPr>
      <w:r>
        <w:rPr>
          <w:rFonts w:ascii="Times New Roman" w:cs="Times New Roman" w:eastAsia="Times New Roman" w:hAnsi="Times New Roman"/>
          <w:sz w:val="17"/>
          <w:szCs w:val="17"/>
          <w:color w:val="auto"/>
        </w:rPr>
        <w:t>GreenBox was established on July 21, 2023, to build and automate supply chain networks globally by operating and financing the Company’s advanced artificial intelligence and automation technology for the warehouse. Symbotic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8" w:name="page29"/>
    <w:bookmarkEnd w:id="28"/>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 xml:space="preserve">and Sunlight own 35% and 65% of GreenBox, respectively. The Company evaluated for VIEs upon the formation of GreenBox in accordance with ASC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 The Company holds a variable interest in GreenBox through its equity interest in GreenBox. GreenBox is a VIE resulting from GreenBox’s lack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sufficient equity to finance its operations without additional subordinated financial support from both the Company and SoftBank. The consolidation of GreenBox is not required as the Company is not the primary beneficiary of this VIE as it does not have the power to direct the activities that most significantly impact GreenBox’s economic performance. Such power is conveyed through GreenBox’s board of directors and the Company does not have control over GreenBox’s board of directors.</w:t>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recorded investments in the unconsolidated VIE and related estimated maximum exposure to loss are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4"/>
          </w:tcPr>
          <w:p>
            <w:pPr>
              <w:jc w:val="right"/>
              <w:ind w:right="1438"/>
              <w:spacing w:after="0"/>
              <w:rPr>
                <w:sz w:val="20"/>
                <w:szCs w:val="20"/>
                <w:color w:val="auto"/>
              </w:rPr>
            </w:pPr>
            <w:r>
              <w:rPr>
                <w:rFonts w:ascii="Times New Roman" w:cs="Times New Roman" w:eastAsia="Times New Roman" w:hAnsi="Times New Roman"/>
                <w:sz w:val="16"/>
                <w:szCs w:val="16"/>
                <w:b w:val="1"/>
                <w:bCs w:val="1"/>
                <w:color w:val="auto"/>
              </w:rPr>
              <w:t>March 29, 2025</w:t>
            </w:r>
          </w:p>
        </w:tc>
      </w:tr>
      <w:tr>
        <w:trPr>
          <w:trHeight w:val="31"/>
        </w:trPr>
        <w:tc>
          <w:tcPr>
            <w:tcW w:w="7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0"/>
        </w:trPr>
        <w:tc>
          <w:tcPr>
            <w:tcW w:w="7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Investments in</w:t>
            </w:r>
          </w:p>
        </w:tc>
        <w:tc>
          <w:tcPr>
            <w:tcW w:w="180" w:type="dxa"/>
            <w:vAlign w:val="bottom"/>
          </w:tcPr>
          <w:p>
            <w:pPr>
              <w:spacing w:after="0"/>
              <w:rPr>
                <w:sz w:val="17"/>
                <w:szCs w:val="17"/>
                <w:color w:val="auto"/>
              </w:rPr>
            </w:pPr>
          </w:p>
        </w:tc>
        <w:tc>
          <w:tcPr>
            <w:tcW w:w="182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8"/>
              </w:rPr>
              <w:t>Symbotic's Maximum</w:t>
            </w:r>
          </w:p>
        </w:tc>
      </w:tr>
      <w:tr>
        <w:trPr>
          <w:trHeight w:val="208"/>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Unconsolidated VIE</w:t>
            </w:r>
          </w:p>
        </w:tc>
        <w:tc>
          <w:tcPr>
            <w:tcW w:w="180" w:type="dxa"/>
            <w:vAlign w:val="bottom"/>
          </w:tcPr>
          <w:p>
            <w:pPr>
              <w:spacing w:after="0"/>
              <w:rPr>
                <w:sz w:val="18"/>
                <w:szCs w:val="18"/>
                <w:color w:val="auto"/>
              </w:rPr>
            </w:pPr>
          </w:p>
        </w:tc>
        <w:tc>
          <w:tcPr>
            <w:tcW w:w="182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8"/>
              </w:rPr>
              <w:t>Exposure to Loss</w:t>
            </w:r>
          </w:p>
        </w:tc>
      </w:tr>
      <w:tr>
        <w:trPr>
          <w:trHeight w:val="31"/>
        </w:trPr>
        <w:tc>
          <w:tcPr>
            <w:tcW w:w="7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GreenBox Systems LLC</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1,635,228</w:t>
            </w:r>
          </w:p>
        </w:tc>
      </w:tr>
      <w:tr>
        <w:trPr>
          <w:trHeight w:val="40"/>
        </w:trPr>
        <w:tc>
          <w:tcPr>
            <w:tcW w:w="7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r>
    </w:tbl>
    <w:p>
      <w:pPr>
        <w:spacing w:after="0" w:line="126" w:lineRule="exact"/>
        <w:rPr>
          <w:sz w:val="20"/>
          <w:szCs w:val="20"/>
          <w:color w:val="auto"/>
        </w:rPr>
      </w:pPr>
    </w:p>
    <w:p>
      <w:pPr>
        <w:ind w:right="40" w:firstLine="315"/>
        <w:spacing w:after="0" w:line="264" w:lineRule="auto"/>
        <w:rPr>
          <w:sz w:val="20"/>
          <w:szCs w:val="20"/>
          <w:color w:val="auto"/>
        </w:rPr>
      </w:pPr>
      <w:r>
        <w:rPr>
          <w:rFonts w:ascii="Times New Roman" w:cs="Times New Roman" w:eastAsia="Times New Roman" w:hAnsi="Times New Roman"/>
          <w:sz w:val="17"/>
          <w:szCs w:val="17"/>
          <w:color w:val="auto"/>
        </w:rPr>
        <w:t>The Company calculated its maximum exposure to loss while considering its equity investment in the VIE, any amounts owed to the Company for services which may have been provided, and future funding commitments of $1,635.2 million. As of March 29, 2025, there is a $85.3 million carrying value of the VIE which represents the amount which the Company has invested in the VIE, net of the Company’s proportionate share of the VIE’s net loss. The Company’s maximum exposure to loss as displayed above does not take into consideration the VIE’s commitment under the GreenBox Commercial Agreement to reimburse the Company in the event of a termination. If the VIE’s commitment under the GreenBox Commercial Agreement was taken into consideration, there would be no maximum exposure to loss presented as the VIE’s commitment under the GreenBox Commercial Agreement exceeds the Company’s future funding commitments.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Net Loss per Share</w:t>
      </w:r>
    </w:p>
    <w:p>
      <w:pPr>
        <w:spacing w:after="0" w:line="69"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7"/>
          <w:szCs w:val="17"/>
          <w:color w:val="auto"/>
        </w:rPr>
        <w:t>Basic earnings per share of Class A common stock is computed by dividing net loss attributable to common shareholders by the weighted-average number of shares of Class A common stock outstanding during the period. Diluted earnings per share of Class A common stock is computed by dividing net loss attributable to common shareholders adjusted for the assumed exchange of all potentially dilutive securities, by the weighted-average number of shares of Class A common stock outstanding adjusted to give effect to potentially dilutive elements. Since the Company incurred net losses for each of the periods presented, diluted net loss per share is the same as basic net loss per share.</w:t>
      </w:r>
    </w:p>
    <w:p>
      <w:pPr>
        <w:spacing w:after="0" w:line="14" w:lineRule="exact"/>
        <w:rPr>
          <w:sz w:val="20"/>
          <w:szCs w:val="20"/>
          <w:color w:val="auto"/>
        </w:rPr>
      </w:pPr>
    </w:p>
    <w:p>
      <w:pPr>
        <w:ind w:right="40" w:firstLine="315"/>
        <w:spacing w:after="0" w:line="297" w:lineRule="auto"/>
        <w:rPr>
          <w:sz w:val="20"/>
          <w:szCs w:val="20"/>
          <w:color w:val="auto"/>
        </w:rPr>
      </w:pPr>
      <w:r>
        <w:rPr>
          <w:rFonts w:ascii="Times New Roman" w:cs="Times New Roman" w:eastAsia="Times New Roman" w:hAnsi="Times New Roman"/>
          <w:sz w:val="17"/>
          <w:szCs w:val="17"/>
          <w:color w:val="auto"/>
        </w:rPr>
        <w:t>The following table sets forth reconciliations of the numerators and denominators used to compute basic and diluted earnings per share of Class A common stock (in thousands, except per share information):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8"/>
                <w:szCs w:val="18"/>
                <w:color w:val="auto"/>
              </w:rPr>
            </w:pPr>
          </w:p>
        </w:tc>
        <w:tc>
          <w:tcPr>
            <w:tcW w:w="2720" w:type="dxa"/>
            <w:vAlign w:val="bottom"/>
            <w:gridSpan w:val="4"/>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31"/>
        </w:trPr>
        <w:tc>
          <w:tcPr>
            <w:tcW w:w="5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2"/>
        </w:trPr>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40" w:type="dxa"/>
            <w:vAlign w:val="bottom"/>
          </w:tcPr>
          <w:p>
            <w:pPr>
              <w:spacing w:after="0"/>
              <w:rPr>
                <w:sz w:val="18"/>
                <w:szCs w:val="18"/>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w w:val="97"/>
              </w:rPr>
              <w:t>March 30, 2024</w:t>
            </w:r>
          </w:p>
        </w:tc>
      </w:tr>
      <w:tr>
        <w:trPr>
          <w:trHeight w:val="31"/>
        </w:trPr>
        <w:tc>
          <w:tcPr>
            <w:tcW w:w="5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5"/>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 - basic and diluted</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36"/>
        </w:trPr>
        <w:tc>
          <w:tcPr>
            <w:tcW w:w="54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(21,438)</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(54,830)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(39,958)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(73,902)</w:t>
            </w:r>
          </w:p>
        </w:tc>
      </w:tr>
      <w:tr>
        <w:trPr>
          <w:trHeight w:val="40"/>
        </w:trPr>
        <w:tc>
          <w:tcPr>
            <w:tcW w:w="5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5"/>
        </w:trPr>
        <w:tc>
          <w:tcPr>
            <w:tcW w:w="5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Less: Net loss attributable to the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(17,513)</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(62,257)</w:t>
            </w:r>
          </w:p>
        </w:tc>
      </w:tr>
      <w:tr>
        <w:trPr>
          <w:trHeight w:val="229"/>
        </w:trPr>
        <w:tc>
          <w:tcPr>
            <w:tcW w:w="54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(3,925)</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(8,809)</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(7,401)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(11,645)</w:t>
            </w:r>
          </w:p>
        </w:tc>
      </w:tr>
      <w:tr>
        <w:trPr>
          <w:trHeight w:val="40"/>
        </w:trPr>
        <w:tc>
          <w:tcPr>
            <w:tcW w:w="5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 - basic and diluted</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36"/>
        </w:trPr>
        <w:tc>
          <w:tcPr>
            <w:tcW w:w="54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Weighted-average shares of Class A common shares outstanding</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107,726,978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93,043,769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106,900,622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88,155,791</w:t>
            </w:r>
          </w:p>
        </w:tc>
      </w:tr>
      <w:tr>
        <w:trPr>
          <w:trHeight w:val="40"/>
        </w:trPr>
        <w:tc>
          <w:tcPr>
            <w:tcW w:w="54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per share of Class A common stock - basic and 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(0.13)</w:t>
            </w:r>
          </w:p>
        </w:tc>
      </w:tr>
      <w:tr>
        <w:trPr>
          <w:trHeight w:val="20"/>
        </w:trPr>
        <w:tc>
          <w:tcPr>
            <w:tcW w:w="5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13" w:lineRule="exact"/>
        <w:rPr>
          <w:sz w:val="20"/>
          <w:szCs w:val="20"/>
          <w:color w:val="auto"/>
        </w:rPr>
      </w:pPr>
    </w:p>
    <w:p>
      <w:pPr>
        <w:jc w:val="both"/>
        <w:ind w:right="60" w:firstLine="315"/>
        <w:spacing w:after="0" w:line="277" w:lineRule="auto"/>
        <w:rPr>
          <w:sz w:val="20"/>
          <w:szCs w:val="20"/>
          <w:color w:val="auto"/>
        </w:rPr>
      </w:pPr>
      <w:r>
        <w:rPr>
          <w:rFonts w:ascii="Times New Roman" w:cs="Times New Roman" w:eastAsia="Times New Roman" w:hAnsi="Times New Roman"/>
          <w:sz w:val="17"/>
          <w:szCs w:val="17"/>
          <w:color w:val="auto"/>
        </w:rPr>
        <w:t>The Company’s Class V-1 Common Stock and Class V-3 Common Stock do not participate in the earnings or losses of the Company and are therefore not participating securities. As such, separate presentation of basic and diluted earnings per share of Class V-1 Common Stock and Class V-3 Common Stock under the two-class method has not been presented.</w:t>
      </w:r>
    </w:p>
    <w:p>
      <w:pPr>
        <w:spacing w:after="0" w:line="5" w:lineRule="exact"/>
        <w:rPr>
          <w:sz w:val="20"/>
          <w:szCs w:val="20"/>
          <w:color w:val="auto"/>
        </w:rPr>
      </w:pPr>
    </w:p>
    <w:p>
      <w:pPr>
        <w:ind w:right="40" w:firstLine="315"/>
        <w:spacing w:after="0" w:line="270" w:lineRule="auto"/>
        <w:rPr>
          <w:sz w:val="20"/>
          <w:szCs w:val="20"/>
          <w:color w:val="auto"/>
        </w:rPr>
      </w:pPr>
      <w:r>
        <w:rPr>
          <w:rFonts w:ascii="Times New Roman" w:cs="Times New Roman" w:eastAsia="Times New Roman" w:hAnsi="Times New Roman"/>
          <w:sz w:val="17"/>
          <w:szCs w:val="17"/>
          <w:color w:val="auto"/>
        </w:rPr>
        <w:t>The Company uses the treasury stock method and the average market price per share during the period for calculating any potential dilutive effect of its equity instruments. The average stock price for the three and six months ended March 29, 2025 was $25.58 and $27.06, respectively. For the three months ended March 29, 2025, there were 5.9 million potentially dilutive common stock equivalents related to the RSUs which would have been included in the diluted EPS calculation,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9" w:name="page30"/>
    <w:bookmarkEnd w:id="29"/>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7.3 million anti-dilutive common stock equivalents related to the unvested GreenBox Warrant that could potentially dilute EPS in the future. For the six months ended March 29, 2025, there were 6.3 million potentially dilutive common stock equivalents related to the RSUs which would have been included in the diluted EPS calculation, and 6.3 million anti-dilutive common stock equivalents related to the unvested GreenBox Warrant that could potentially dilute EPS in the future.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Stock-Based Compensation and Warrant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two tables show stock-based compensation expense by award type and where the stock-based compensation expense is recorded in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consolidated statements of operations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3180" w:type="dxa"/>
            <w:vAlign w:val="bottom"/>
            <w:gridSpan w:val="4"/>
          </w:tcPr>
          <w:p>
            <w:pPr>
              <w:jc w:val="right"/>
              <w:ind w:right="995"/>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31"/>
        </w:trPr>
        <w:tc>
          <w:tcPr>
            <w:tcW w:w="4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2"/>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22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00" w:type="dxa"/>
            <w:vAlign w:val="bottom"/>
          </w:tcPr>
          <w:p>
            <w:pPr>
              <w:spacing w:after="0"/>
              <w:rPr>
                <w:sz w:val="18"/>
                <w:szCs w:val="18"/>
                <w:color w:val="auto"/>
              </w:rPr>
            </w:pPr>
          </w:p>
        </w:tc>
        <w:tc>
          <w:tcPr>
            <w:tcW w:w="14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March 30, 2024</w:t>
            </w:r>
          </w:p>
        </w:tc>
      </w:tr>
      <w:tr>
        <w:trPr>
          <w:trHeight w:val="31"/>
        </w:trPr>
        <w:tc>
          <w:tcPr>
            <w:tcW w:w="4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RSUs (service-based and performance-based)</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44,808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27,568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56,555</w:t>
            </w:r>
          </w:p>
        </w:tc>
      </w:tr>
      <w:tr>
        <w:trPr>
          <w:trHeight w:val="236"/>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w:t>
            </w:r>
          </w:p>
        </w:tc>
      </w:tr>
      <w:tr>
        <w:trPr>
          <w:trHeight w:val="40"/>
        </w:trPr>
        <w:tc>
          <w:tcPr>
            <w:tcW w:w="43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87"/>
        </w:trPr>
        <w:tc>
          <w:tcPr>
            <w:tcW w:w="4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45,740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28,065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72,514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57,527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Effect of stock-based compensation expense on income by line item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3180" w:type="dxa"/>
            <w:vAlign w:val="bottom"/>
            <w:gridSpan w:val="4"/>
          </w:tcPr>
          <w:p>
            <w:pPr>
              <w:jc w:val="right"/>
              <w:ind w:right="994"/>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31"/>
        </w:trPr>
        <w:tc>
          <w:tcPr>
            <w:tcW w:w="4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2"/>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22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00" w:type="dxa"/>
            <w:vAlign w:val="bottom"/>
          </w:tcPr>
          <w:p>
            <w:pPr>
              <w:spacing w:after="0"/>
              <w:rPr>
                <w:sz w:val="18"/>
                <w:szCs w:val="18"/>
                <w:color w:val="auto"/>
              </w:rPr>
            </w:pPr>
          </w:p>
        </w:tc>
        <w:tc>
          <w:tcPr>
            <w:tcW w:w="14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March 30, 2024</w:t>
            </w:r>
          </w:p>
        </w:tc>
      </w:tr>
      <w:tr>
        <w:trPr>
          <w:trHeight w:val="31"/>
        </w:trPr>
        <w:tc>
          <w:tcPr>
            <w:tcW w:w="4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 Systems</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6,554</w:t>
            </w:r>
          </w:p>
        </w:tc>
      </w:tr>
      <w:tr>
        <w:trPr>
          <w:trHeight w:val="236"/>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 Software maintenance and support</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5"/>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 Operation services</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w:t>
            </w:r>
          </w:p>
        </w:tc>
      </w:tr>
      <w:tr>
        <w:trPr>
          <w:trHeight w:val="236"/>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14,317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25,086</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75"/>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20,160</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24,440</w:t>
            </w:r>
          </w:p>
        </w:tc>
      </w:tr>
      <w:tr>
        <w:trPr>
          <w:trHeight w:val="262"/>
        </w:trPr>
        <w:tc>
          <w:tcPr>
            <w:tcW w:w="4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45,740</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28,065</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72,514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57,527</w:t>
            </w:r>
          </w:p>
        </w:tc>
      </w:tr>
      <w:tr>
        <w:trPr>
          <w:trHeight w:val="26"/>
        </w:trPr>
        <w:tc>
          <w:tcPr>
            <w:tcW w:w="4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13" w:lineRule="exact"/>
        <w:rPr>
          <w:sz w:val="20"/>
          <w:szCs w:val="20"/>
          <w:color w:val="auto"/>
        </w:rPr>
      </w:pPr>
    </w:p>
    <w:p>
      <w:pPr>
        <w:ind w:right="60" w:firstLine="315"/>
        <w:spacing w:after="0" w:line="277" w:lineRule="auto"/>
        <w:rPr>
          <w:sz w:val="20"/>
          <w:szCs w:val="20"/>
          <w:color w:val="auto"/>
        </w:rPr>
      </w:pPr>
      <w:r>
        <w:rPr>
          <w:rFonts w:ascii="Times New Roman" w:cs="Times New Roman" w:eastAsia="Times New Roman" w:hAnsi="Times New Roman"/>
          <w:sz w:val="17"/>
          <w:szCs w:val="17"/>
          <w:color w:val="auto"/>
        </w:rPr>
        <w:t>Total stock-based compensation expense for the three and six months ended March 29, 2025 increased as compared to the three and six months ended March 30, 2024. There was an increase in RSU grants to employees because there was an increase in the number of employees in fiscal year 2025, as compared to fiscal year 2024, which resulted in an increase in this expense.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Warrants</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GreenBox Warrant</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July 23, 2023, the Company issued the GreenBox Warrant to Sunlight, which allows Sunlight to acquire up to an aggregate of 11,434,360 shares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Class A Common Stock, subject to certain vesting conditions. The GreenBox Warrant had a grant date fair value of $19.90 per share. The GreenBox</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may vests upon conditions defined in the GreenBox Warrant, as GreenBox makes additional expenditures to the Company in connection with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Framework Agreement. There are up to eight vesting tranches in the GreenBox Warrant based on increments of expenditures where approximately 1,429,295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may vest per tranche, subject to certain conditions defined in the GreenBox Warrant. Upon vesting, shares may be acquired at an exercise price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$41.9719 per share. The warrant contains customary anti-dilution, down-round, and change-in-control provisions. The right to purchase shares pursuant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GreenBox Warrant expires 36 months following the end of the initial term of the Framework Agreement, which is July 23, 2027, or if applicable, the extension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 of the Framework Agreement, which is July 23, 2029. As of March 29, 2025, none of the shares issuable pursuant to the GreenBox Warrant had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0" w:name="page31"/>
    <w:bookmarkEnd w:id="30"/>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Segment and Geographic Information</w:t>
      </w:r>
    </w:p>
    <w:p>
      <w:pPr>
        <w:spacing w:after="0" w:line="69" w:lineRule="exact"/>
        <w:rPr>
          <w:sz w:val="20"/>
          <w:szCs w:val="20"/>
          <w:color w:val="auto"/>
        </w:rPr>
      </w:pPr>
    </w:p>
    <w:p>
      <w:pPr>
        <w:ind w:right="560" w:firstLine="315"/>
        <w:spacing w:after="0" w:line="289" w:lineRule="auto"/>
        <w:rPr>
          <w:sz w:val="20"/>
          <w:szCs w:val="20"/>
          <w:color w:val="auto"/>
        </w:rPr>
      </w:pPr>
      <w:r>
        <w:rPr>
          <w:rFonts w:ascii="Times New Roman" w:cs="Times New Roman" w:eastAsia="Times New Roman" w:hAnsi="Times New Roman"/>
          <w:sz w:val="17"/>
          <w:szCs w:val="17"/>
          <w:color w:val="auto"/>
        </w:rPr>
        <w:t>The Company operates as one operating segment. Revenue and property and equipment, net by geographic region, based on physical location of the operations recording the sale or the assets are as follows: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Revenue by geographical region for the three and six months ended March 29, 2025 and March 30, 2024 are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900" w:type="dxa"/>
            <w:vAlign w:val="bottom"/>
            <w:gridSpan w:val="4"/>
          </w:tcPr>
          <w:p>
            <w:pPr>
              <w:jc w:val="right"/>
              <w:ind w:right="834"/>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31"/>
        </w:trPr>
        <w:tc>
          <w:tcPr>
            <w:tcW w:w="4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6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20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40" w:type="dxa"/>
            <w:vAlign w:val="bottom"/>
          </w:tcPr>
          <w:p>
            <w:pPr>
              <w:spacing w:after="0"/>
              <w:rPr>
                <w:sz w:val="18"/>
                <w:szCs w:val="18"/>
                <w:color w:val="auto"/>
              </w:rPr>
            </w:pP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w w:val="99"/>
              </w:rPr>
              <w:t>March 30, 2024</w:t>
            </w:r>
          </w:p>
        </w:tc>
        <w:tc>
          <w:tcPr>
            <w:tcW w:w="0" w:type="dxa"/>
            <w:vAlign w:val="bottom"/>
          </w:tcPr>
          <w:p>
            <w:pPr>
              <w:spacing w:after="0"/>
              <w:rPr>
                <w:sz w:val="1"/>
                <w:szCs w:val="1"/>
                <w:color w:val="auto"/>
              </w:rPr>
            </w:pPr>
          </w:p>
        </w:tc>
      </w:tr>
      <w:tr>
        <w:trPr>
          <w:trHeight w:val="31"/>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524,503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392,334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1,010,688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751,223</w:t>
            </w:r>
          </w:p>
        </w:tc>
        <w:tc>
          <w:tcPr>
            <w:tcW w:w="0" w:type="dxa"/>
            <w:vAlign w:val="bottom"/>
          </w:tcPr>
          <w:p>
            <w:pPr>
              <w:spacing w:after="0"/>
              <w:rPr>
                <w:sz w:val="1"/>
                <w:szCs w:val="1"/>
                <w:color w:val="auto"/>
              </w:rPr>
            </w:pPr>
          </w:p>
        </w:tc>
      </w:tr>
      <w:tr>
        <w:trPr>
          <w:trHeight w:val="236"/>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180" w:type="dxa"/>
            <w:vAlign w:val="bottom"/>
          </w:tcPr>
          <w:p>
            <w:pPr>
              <w:spacing w:after="0"/>
              <w:rPr>
                <w:sz w:val="20"/>
                <w:szCs w:val="20"/>
                <w:color w:val="auto"/>
              </w:rPr>
            </w:pPr>
          </w:p>
        </w:tc>
        <w:tc>
          <w:tcPr>
            <w:tcW w:w="13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25,148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25,656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2,052</w:t>
            </w:r>
          </w:p>
        </w:tc>
        <w:tc>
          <w:tcPr>
            <w:tcW w:w="0" w:type="dxa"/>
            <w:vAlign w:val="bottom"/>
          </w:tcPr>
          <w:p>
            <w:pPr>
              <w:spacing w:after="0"/>
              <w:rPr>
                <w:sz w:val="1"/>
                <w:szCs w:val="1"/>
                <w:color w:val="auto"/>
              </w:rPr>
            </w:pPr>
          </w:p>
        </w:tc>
      </w:tr>
      <w:tr>
        <w:trPr>
          <w:trHeight w:val="40"/>
        </w:trPr>
        <w:tc>
          <w:tcPr>
            <w:tcW w:w="49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549,651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393,332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1,036,344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753,275</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Percentage of revenue generated outside of the United States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nil</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Total property and equipment, net by geographical region at March 29, 2025 and at September 28, 2024 are as follows (in thousands):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7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20" w:type="dxa"/>
            <w:vAlign w:val="bottom"/>
          </w:tcPr>
          <w:p>
            <w:pPr>
              <w:spacing w:after="0"/>
              <w:rPr>
                <w:sz w:val="18"/>
                <w:szCs w:val="18"/>
                <w:color w:val="auto"/>
              </w:rPr>
            </w:pPr>
          </w:p>
        </w:tc>
        <w:tc>
          <w:tcPr>
            <w:tcW w:w="1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0" w:type="dxa"/>
            <w:vAlign w:val="bottom"/>
          </w:tcPr>
          <w:p>
            <w:pPr>
              <w:spacing w:after="0"/>
              <w:rPr>
                <w:sz w:val="1"/>
                <w:szCs w:val="1"/>
                <w:color w:val="auto"/>
              </w:rPr>
            </w:pPr>
          </w:p>
        </w:tc>
      </w:tr>
      <w:tr>
        <w:trPr>
          <w:trHeight w:val="31"/>
        </w:trPr>
        <w:tc>
          <w:tcPr>
            <w:tcW w:w="7100" w:type="dxa"/>
            <w:vAlign w:val="bottom"/>
            <w:tcBorders>
              <w:bottom w:val="single" w:sz="8" w:color="CCEC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1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00" w:type="dxa"/>
            <w:vAlign w:val="bottom"/>
            <w:tcBorders>
              <w:bottom w:val="single" w:sz="8" w:color="CCECFF"/>
            </w:tcBorders>
            <w:shd w:val="clear" w:color="auto" w:fill="CCEC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123,531</w:t>
            </w:r>
          </w:p>
        </w:tc>
        <w:tc>
          <w:tcPr>
            <w:tcW w:w="8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CCECFF"/>
            </w:tcBorders>
            <w:shd w:val="clear" w:color="auto" w:fill="CCEC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96,802</w:t>
            </w:r>
          </w:p>
        </w:tc>
        <w:tc>
          <w:tcPr>
            <w:tcW w:w="0" w:type="dxa"/>
            <w:vAlign w:val="bottom"/>
          </w:tcPr>
          <w:p>
            <w:pPr>
              <w:spacing w:after="0"/>
              <w:rPr>
                <w:sz w:val="1"/>
                <w:szCs w:val="1"/>
                <w:color w:val="auto"/>
              </w:rPr>
            </w:pPr>
          </w:p>
        </w:tc>
      </w:tr>
      <w:tr>
        <w:trPr>
          <w:trHeight w:val="236"/>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3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0" w:type="dxa"/>
            <w:vAlign w:val="bottom"/>
          </w:tcPr>
          <w:p>
            <w:pPr>
              <w:spacing w:after="0"/>
              <w:rPr>
                <w:sz w:val="1"/>
                <w:szCs w:val="1"/>
                <w:color w:val="auto"/>
              </w:rPr>
            </w:pPr>
          </w:p>
        </w:tc>
      </w:tr>
      <w:tr>
        <w:trPr>
          <w:trHeight w:val="40"/>
        </w:trPr>
        <w:tc>
          <w:tcPr>
            <w:tcW w:w="7100" w:type="dxa"/>
            <w:vAlign w:val="bottom"/>
            <w:tcBorders>
              <w:bottom w:val="single" w:sz="8" w:color="CCEC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80" w:type="dxa"/>
            <w:vAlign w:val="bottom"/>
            <w:tcBorders>
              <w:bottom w:val="single" w:sz="8" w:color="CCEC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3"/>
        </w:trPr>
        <w:tc>
          <w:tcPr>
            <w:tcW w:w="71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300" w:type="dxa"/>
            <w:vAlign w:val="bottom"/>
            <w:tcBorders>
              <w:bottom w:val="single" w:sz="8" w:color="CCECFF"/>
            </w:tcBorders>
            <w:shd w:val="clear" w:color="auto" w:fill="CCEC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123,706</w:t>
            </w:r>
          </w:p>
        </w:tc>
        <w:tc>
          <w:tcPr>
            <w:tcW w:w="8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CCECFF"/>
            </w:tcBorders>
            <w:shd w:val="clear" w:color="auto" w:fill="CCEC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97,109</w:t>
            </w:r>
          </w:p>
        </w:tc>
        <w:tc>
          <w:tcPr>
            <w:tcW w:w="0" w:type="dxa"/>
            <w:vAlign w:val="bottom"/>
          </w:tcPr>
          <w:p>
            <w:pPr>
              <w:spacing w:after="0"/>
              <w:rPr>
                <w:sz w:val="1"/>
                <w:szCs w:val="1"/>
                <w:color w:val="auto"/>
              </w:rPr>
            </w:pPr>
          </w:p>
        </w:tc>
      </w:tr>
      <w:tr>
        <w:trPr>
          <w:trHeight w:val="20"/>
        </w:trPr>
        <w:tc>
          <w:tcPr>
            <w:tcW w:w="7100" w:type="dxa"/>
            <w:vAlign w:val="bottom"/>
            <w:tcBorders>
              <w:top w:val="single" w:sz="8" w:color="CCECFF"/>
              <w:bottom w:val="single" w:sz="8" w:color="CCEC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Percentage of property and equipment, net held outside of the United States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ind w:left="1520"/>
              <w:spacing w:after="0"/>
              <w:rPr>
                <w:sz w:val="20"/>
                <w:szCs w:val="20"/>
                <w:color w:val="auto"/>
              </w:rPr>
            </w:pPr>
            <w:r>
              <w:rPr>
                <w:rFonts w:ascii="Times New Roman" w:cs="Times New Roman" w:eastAsia="Times New Roman" w:hAnsi="Times New Roman"/>
                <w:sz w:val="17"/>
                <w:szCs w:val="17"/>
                <w:color w:val="auto"/>
              </w:rPr>
              <w:t>nil</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Subsequent Events</w:t>
      </w:r>
    </w:p>
    <w:p>
      <w:pPr>
        <w:spacing w:after="0" w:line="69" w:lineRule="exact"/>
        <w:rPr>
          <w:sz w:val="20"/>
          <w:szCs w:val="20"/>
          <w:color w:val="auto"/>
        </w:rPr>
      </w:pPr>
    </w:p>
    <w:p>
      <w:pPr>
        <w:ind w:right="20" w:firstLine="315"/>
        <w:spacing w:after="0" w:line="263" w:lineRule="auto"/>
        <w:rPr>
          <w:sz w:val="20"/>
          <w:szCs w:val="20"/>
          <w:color w:val="auto"/>
        </w:rPr>
      </w:pPr>
      <w:r>
        <w:rPr>
          <w:rFonts w:ascii="Times New Roman" w:cs="Times New Roman" w:eastAsia="Times New Roman" w:hAnsi="Times New Roman"/>
          <w:sz w:val="17"/>
          <w:szCs w:val="17"/>
          <w:color w:val="auto"/>
        </w:rPr>
        <w:t>In May 2025, the Company’s management approved a reduction of the Company’s workforce by approximately 320 to 390 employees, across all areas of the employees acquired in connection with the ASR Acquisition. The Company expects the workforce reduction will be substantially completed by the end of the first quarter of fiscal year 2026. The Company estimates that it will incur approximately $12.0 million to $14.0 million in costs in connection with the workforce reduction, which consist of severance and other one-time employee termination benefit expenses that the Company expects to recognize primarily in the third quarter of fiscal year 2025. A significant portion of these costs will be reimbursed pursuant to the terms of the ASR Purchase Agreement. The estimates of costs that the Company expects to incur, and the timing thereof, are subject to a number of assumptions and actual results may differ. The Company may also incur other charges or cash expenditures not currently contemplated due to events that may occur as a result of, or associated with, the workforce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1" w:name="page32"/>
    <w:bookmarkEnd w:id="31"/>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85" w:lineRule="exact"/>
        <w:rPr>
          <w:sz w:val="20"/>
          <w:szCs w:val="20"/>
          <w:color w:val="auto"/>
        </w:rPr>
      </w:pPr>
    </w:p>
    <w:p>
      <w:pPr>
        <w:ind w:right="220" w:firstLine="446"/>
        <w:spacing w:after="0" w:line="263"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unaudited condensed consolidated financial statements and related notes thereto appearing elsewhere in this Quarterly Report on Form 10-Q and our audited consolidated financial statements and related notes thereto as of and for the year ended September 28, 2024, as included within our Annual Report on Form 10-K, as filed with the Securities and Exchange Commission on December 4, 2024. As discussed in the section titled “Cautionary Note on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21" w:lineRule="exact"/>
        <w:rPr>
          <w:sz w:val="20"/>
          <w:szCs w:val="20"/>
          <w:color w:val="auto"/>
        </w:rPr>
      </w:pPr>
    </w:p>
    <w:p>
      <w:pPr>
        <w:ind w:firstLine="315"/>
        <w:spacing w:after="0" w:line="270" w:lineRule="auto"/>
        <w:rPr>
          <w:sz w:val="20"/>
          <w:szCs w:val="20"/>
          <w:color w:val="auto"/>
        </w:rPr>
      </w:pPr>
      <w:r>
        <w:rPr>
          <w:rFonts w:ascii="Times New Roman" w:cs="Times New Roman" w:eastAsia="Times New Roman" w:hAnsi="Times New Roman"/>
          <w:sz w:val="17"/>
          <w:szCs w:val="17"/>
          <w:color w:val="auto"/>
        </w:rPr>
        <w:t>Our vision is to make the supply chain work better for everyone. We do this by developing, commercializing, and deploying innovative, comprehensive technology solutions that dramatically improve supply chain operations. We currently automate the processing of pallets and cases in large warehouses for some of the largest retail companies in the world. Our System enhances operations at the front end of the supply chain, and therefore benefit all supply partners further down the chain, irrespective of fulfillment strategy.</w:t>
      </w:r>
    </w:p>
    <w:p>
      <w:pPr>
        <w:spacing w:after="0" w:line="12" w:lineRule="exact"/>
        <w:rPr>
          <w:sz w:val="20"/>
          <w:szCs w:val="20"/>
          <w:color w:val="auto"/>
        </w:rPr>
      </w:pPr>
    </w:p>
    <w:p>
      <w:pPr>
        <w:ind w:right="20" w:firstLine="315"/>
        <w:spacing w:after="0" w:line="270" w:lineRule="auto"/>
        <w:rPr>
          <w:sz w:val="20"/>
          <w:szCs w:val="20"/>
          <w:color w:val="auto"/>
        </w:rPr>
      </w:pPr>
      <w:r>
        <w:rPr>
          <w:rFonts w:ascii="Times New Roman" w:cs="Times New Roman" w:eastAsia="Times New Roman" w:hAnsi="Times New Roman"/>
          <w:sz w:val="17"/>
          <w:szCs w:val="17"/>
          <w:color w:val="auto"/>
        </w:rPr>
        <w:t>Our System is based on a unique approach to connecting producers of goods to end users, in a way that resolves the mismatches of quantity, timing and location that arise between the two, while reducing costs. The underlying architecture of our System is what differentiates our solution from anything else in the marketplace. It utilizes fully autonomous robots, collectively controlled by our artificial intelligence enabled system software to achieve at scale, real world supply chain improvements that are so compelling that we believe our approach can become the de facto standard approach for how warehouses operate.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Components of Consolidated Statements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69" w:lineRule="exact"/>
        <w:rPr>
          <w:sz w:val="20"/>
          <w:szCs w:val="20"/>
          <w:color w:val="auto"/>
        </w:rPr>
      </w:pPr>
    </w:p>
    <w:p>
      <w:pPr>
        <w:ind w:right="120" w:firstLine="315"/>
        <w:spacing w:after="0" w:line="264" w:lineRule="auto"/>
        <w:rPr>
          <w:sz w:val="20"/>
          <w:szCs w:val="20"/>
          <w:color w:val="auto"/>
        </w:rPr>
      </w:pPr>
      <w:r>
        <w:rPr>
          <w:rFonts w:ascii="Times New Roman" w:cs="Times New Roman" w:eastAsia="Times New Roman" w:hAnsi="Times New Roman"/>
          <w:sz w:val="17"/>
          <w:szCs w:val="17"/>
          <w:color w:val="auto"/>
        </w:rPr>
        <w:t>We generate revenue through our design and installation of supply chain automation systems to automate customers’ depalletizing, storage, selection, and palletization warehousing processes (“System”). The Systems have both a hardware component and an essential software component that enables the Systems to be programmed to operate within specific customer environments. We enter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We determine whether performance obligations are distinct based on whether the customer can benefit from the good or service on its own or together with other resources that are readily available and whether our commitment to provide the goods or services to the customer is separately identifiable from other promises in the contract.</w:t>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have identified the following distinct performance obligations in our contracts with customers:</w:t>
      </w:r>
    </w:p>
    <w:p>
      <w:pPr>
        <w:spacing w:after="0" w:line="67" w:lineRule="exact"/>
        <w:rPr>
          <w:sz w:val="20"/>
          <w:szCs w:val="20"/>
          <w:color w:val="auto"/>
        </w:rPr>
      </w:pPr>
    </w:p>
    <w:p>
      <w:pPr>
        <w:ind w:firstLine="315"/>
        <w:spacing w:after="0" w:line="264" w:lineRule="auto"/>
        <w:rPr>
          <w:sz w:val="20"/>
          <w:szCs w:val="20"/>
          <w:color w:val="auto"/>
        </w:rPr>
      </w:pPr>
      <w:r>
        <w:rPr>
          <w:rFonts w:ascii="Times New Roman" w:cs="Times New Roman" w:eastAsia="Times New Roman" w:hAnsi="Times New Roman"/>
          <w:sz w:val="17"/>
          <w:szCs w:val="17"/>
          <w:u w:val="single" w:color="auto"/>
          <w:color w:val="auto"/>
        </w:rPr>
        <w:t>Systems</w:t>
      </w:r>
      <w:r>
        <w:rPr>
          <w:rFonts w:ascii="Times New Roman" w:cs="Times New Roman" w:eastAsia="Times New Roman" w:hAnsi="Times New Roman"/>
          <w:sz w:val="17"/>
          <w:szCs w:val="17"/>
          <w:color w:val="auto"/>
        </w:rPr>
        <w:t>: We design, assemble, and install Systems and perform configuration of essential software. Systems include the delivery of hardware and an essential software component, sold as either a perpetual or term-based on-premise license, that automate our customers’ depalletizing, storage, selection, and palletization warehousing processes. The hardware and essential software are each not capable of being distinct because our customers cannot benefit from the hardware or software on their own. Accordingly, they are treated as a single performance obligation. Fees for Systems are typically either cost-plus fixed fee amounts, fixed, or in certain cases, subject to a capped cost amount that are due based on the achievement of a variety of milestones beginning at contract inception through final acceptance. The substantial majority of our software is sold as a perpetual on-premise license, however, we do sell an immaterial amount of term-based on-premise licenses.</w:t>
      </w:r>
    </w:p>
    <w:p>
      <w:pPr>
        <w:spacing w:after="0" w:line="16" w:lineRule="exact"/>
        <w:rPr>
          <w:sz w:val="20"/>
          <w:szCs w:val="20"/>
          <w:color w:val="auto"/>
        </w:rPr>
      </w:pPr>
    </w:p>
    <w:p>
      <w:pPr>
        <w:ind w:right="60" w:firstLine="315"/>
        <w:spacing w:after="0" w:line="270" w:lineRule="auto"/>
        <w:rPr>
          <w:sz w:val="20"/>
          <w:szCs w:val="20"/>
          <w:color w:val="auto"/>
        </w:rPr>
      </w:pPr>
      <w:r>
        <w:rPr>
          <w:rFonts w:ascii="Times New Roman" w:cs="Times New Roman" w:eastAsia="Times New Roman" w:hAnsi="Times New Roman"/>
          <w:sz w:val="17"/>
          <w:szCs w:val="17"/>
          <w:color w:val="auto"/>
        </w:rPr>
        <w:t>The key metrics which describe our System from commencement to completion are as follows: (1) “Start” is defined as when we sign a Statement of Work (“SOW”) with a customer; (2) “Deployment” is defined as the period of time following the signed SOW until the acceptance of the System; and (3) “Operational” is defined as achieving acceptance of a System. The majority of Systems revenue occurs during Deployment, and once a System is Operational, software maintenance and support begins.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32" w:name="page33"/>
    <w:bookmarkEnd w:id="32"/>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20" w:firstLine="315"/>
        <w:spacing w:after="0" w:line="270" w:lineRule="auto"/>
        <w:rPr>
          <w:sz w:val="20"/>
          <w:szCs w:val="20"/>
          <w:color w:val="auto"/>
        </w:rPr>
      </w:pPr>
      <w:r>
        <w:rPr>
          <w:rFonts w:ascii="Times New Roman" w:cs="Times New Roman" w:eastAsia="Times New Roman" w:hAnsi="Times New Roman"/>
          <w:sz w:val="17"/>
          <w:szCs w:val="17"/>
          <w:u w:val="single" w:color="auto"/>
          <w:color w:val="auto"/>
        </w:rPr>
        <w:t>Software maintenance and support</w:t>
      </w:r>
      <w:r>
        <w:rPr>
          <w:rFonts w:ascii="Times New Roman" w:cs="Times New Roman" w:eastAsia="Times New Roman" w:hAnsi="Times New Roman"/>
          <w:sz w:val="17"/>
          <w:szCs w:val="17"/>
          <w:color w:val="auto"/>
        </w:rPr>
        <w:t>: “Software Maintenance and Support” is defined as support services that provide our customers with technical support, updates, and upgrades to the software license. Fees for Software Maintenance and Support are typically payable in advance on a quarterly, or annual basis over the term of the Software Maintenance and Support contract, which term can range from one to 15 years, but for a substantial majority of our Software Maintenance and Support contracts is 15 years.</w:t>
      </w:r>
    </w:p>
    <w:p>
      <w:pPr>
        <w:spacing w:after="0" w:line="12" w:lineRule="exact"/>
        <w:rPr>
          <w:sz w:val="20"/>
          <w:szCs w:val="20"/>
          <w:color w:val="auto"/>
        </w:rPr>
      </w:pPr>
    </w:p>
    <w:p>
      <w:pPr>
        <w:jc w:val="both"/>
        <w:ind w:right="100" w:firstLine="315"/>
        <w:spacing w:after="0" w:line="270" w:lineRule="auto"/>
        <w:rPr>
          <w:sz w:val="20"/>
          <w:szCs w:val="20"/>
          <w:color w:val="auto"/>
        </w:rPr>
      </w:pPr>
      <w:r>
        <w:rPr>
          <w:rFonts w:ascii="Times New Roman" w:cs="Times New Roman" w:eastAsia="Times New Roman" w:hAnsi="Times New Roman"/>
          <w:sz w:val="17"/>
          <w:szCs w:val="17"/>
          <w:u w:val="single" w:color="auto"/>
          <w:color w:val="auto"/>
        </w:rPr>
        <w:t>Operation services</w:t>
      </w:r>
      <w:r>
        <w:rPr>
          <w:rFonts w:ascii="Times New Roman" w:cs="Times New Roman" w:eastAsia="Times New Roman" w:hAnsi="Times New Roman"/>
          <w:sz w:val="17"/>
          <w:szCs w:val="17"/>
          <w:color w:val="auto"/>
        </w:rPr>
        <w:t>: “Operation Services” is defined as assistance services we provide our customers operating the System and ensuring user experience is optimized for efficiency and effectiveness. Fees for Operation Services are typically invoiced to our customers on a time and materials basis monthly in arrears or using a fixed fee structure. Also included in Operation Services is revenue generated from the sales of spare parts to our customers as needed to service their System.</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cost of revenue is composed of the following for each of our distinct performance obligations:</w:t>
      </w:r>
    </w:p>
    <w:p>
      <w:pPr>
        <w:spacing w:after="0" w:line="67" w:lineRule="exact"/>
        <w:rPr>
          <w:sz w:val="20"/>
          <w:szCs w:val="20"/>
          <w:color w:val="auto"/>
        </w:rPr>
      </w:pPr>
    </w:p>
    <w:p>
      <w:pPr>
        <w:ind w:right="120" w:firstLine="315"/>
        <w:spacing w:after="0" w:line="267" w:lineRule="auto"/>
        <w:rPr>
          <w:sz w:val="20"/>
          <w:szCs w:val="20"/>
          <w:color w:val="auto"/>
        </w:rPr>
      </w:pPr>
      <w:r>
        <w:rPr>
          <w:rFonts w:ascii="Times New Roman" w:cs="Times New Roman" w:eastAsia="Times New Roman" w:hAnsi="Times New Roman"/>
          <w:sz w:val="17"/>
          <w:szCs w:val="17"/>
          <w:u w:val="single" w:color="auto"/>
          <w:color w:val="auto"/>
        </w:rPr>
        <w:t>Systems</w:t>
      </w:r>
      <w:r>
        <w:rPr>
          <w:rFonts w:ascii="Times New Roman" w:cs="Times New Roman" w:eastAsia="Times New Roman" w:hAnsi="Times New Roman"/>
          <w:sz w:val="17"/>
          <w:szCs w:val="17"/>
          <w:color w:val="auto"/>
        </w:rPr>
        <w:t>: Systems cost of revenue consists primarily of material and labor consumed in the production and installation of Systems, as well as depreciation expense. The design, assembly, and installation of a System includes substantive customer-specified acceptance criteria that allow the customer to accept or reject Systems that do not meet the customer’s specifications. When we cannot objectively determine that acceptance criteria will be met upon contract inception, cost of revenue relating to Systems is deferred and expensed at a point in time upon final acceptance from the customer. If acceptance criteria can be reasonably certain upon contract inception, Systems cost of revenue is expensed as incurred.</w:t>
      </w:r>
    </w:p>
    <w:p>
      <w:pPr>
        <w:spacing w:after="0" w:line="14" w:lineRule="exact"/>
        <w:rPr>
          <w:sz w:val="20"/>
          <w:szCs w:val="20"/>
          <w:color w:val="auto"/>
        </w:rPr>
      </w:pPr>
    </w:p>
    <w:p>
      <w:pPr>
        <w:ind w:right="220" w:firstLine="315"/>
        <w:spacing w:after="0" w:line="277" w:lineRule="auto"/>
        <w:rPr>
          <w:sz w:val="20"/>
          <w:szCs w:val="20"/>
          <w:color w:val="auto"/>
        </w:rPr>
      </w:pPr>
      <w:r>
        <w:rPr>
          <w:rFonts w:ascii="Times New Roman" w:cs="Times New Roman" w:eastAsia="Times New Roman" w:hAnsi="Times New Roman"/>
          <w:sz w:val="17"/>
          <w:szCs w:val="17"/>
          <w:u w:val="single" w:color="auto"/>
          <w:color w:val="auto"/>
        </w:rPr>
        <w:t>Software maintenance and support</w:t>
      </w:r>
      <w:r>
        <w:rPr>
          <w:rFonts w:ascii="Times New Roman" w:cs="Times New Roman" w:eastAsia="Times New Roman" w:hAnsi="Times New Roman"/>
          <w:sz w:val="17"/>
          <w:szCs w:val="17"/>
          <w:color w:val="auto"/>
        </w:rPr>
        <w:t>: Cost of revenue attributable to Software Maintenance and Support primarily relates to labor cost for our maintenance team providing routine technical support, and maintenance updates and upgrades to our customers. Software Maintenance and Support cost of revenue is expensed as incurred.</w:t>
      </w:r>
    </w:p>
    <w:p>
      <w:pPr>
        <w:spacing w:after="0" w:line="5" w:lineRule="exact"/>
        <w:rPr>
          <w:sz w:val="20"/>
          <w:szCs w:val="20"/>
          <w:color w:val="auto"/>
        </w:rPr>
      </w:pPr>
    </w:p>
    <w:p>
      <w:pPr>
        <w:jc w:val="both"/>
        <w:ind w:right="140" w:firstLine="315"/>
        <w:spacing w:after="0" w:line="277" w:lineRule="auto"/>
        <w:rPr>
          <w:sz w:val="20"/>
          <w:szCs w:val="20"/>
          <w:color w:val="auto"/>
        </w:rPr>
      </w:pPr>
      <w:r>
        <w:rPr>
          <w:rFonts w:ascii="Times New Roman" w:cs="Times New Roman" w:eastAsia="Times New Roman" w:hAnsi="Times New Roman"/>
          <w:sz w:val="17"/>
          <w:szCs w:val="17"/>
          <w:u w:val="single" w:color="auto"/>
          <w:color w:val="auto"/>
        </w:rPr>
        <w:t>Operation services</w:t>
      </w:r>
      <w:r>
        <w:rPr>
          <w:rFonts w:ascii="Times New Roman" w:cs="Times New Roman" w:eastAsia="Times New Roman" w:hAnsi="Times New Roman"/>
          <w:sz w:val="17"/>
          <w:szCs w:val="17"/>
          <w:color w:val="auto"/>
        </w:rPr>
        <w:t>: Operation Services cost of revenue consists primarily of labor cost for our operations team who is providing services to our customers to run their System within their warehouse. Operation Services cost of revenue also includes the cost of spare parts sold to our customers as needed to service their System. Operation Services cost of revenue is expensed as incurred.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69" w:lineRule="exact"/>
        <w:rPr>
          <w:sz w:val="20"/>
          <w:szCs w:val="20"/>
          <w:color w:val="auto"/>
        </w:rPr>
      </w:pPr>
    </w:p>
    <w:p>
      <w:pPr>
        <w:ind w:right="260" w:firstLine="315"/>
        <w:spacing w:after="0" w:line="297" w:lineRule="auto"/>
        <w:rPr>
          <w:sz w:val="20"/>
          <w:szCs w:val="20"/>
          <w:color w:val="auto"/>
        </w:rPr>
      </w:pPr>
      <w:r>
        <w:rPr>
          <w:rFonts w:ascii="Times New Roman" w:cs="Times New Roman" w:eastAsia="Times New Roman" w:hAnsi="Times New Roman"/>
          <w:sz w:val="17"/>
          <w:szCs w:val="17"/>
          <w:color w:val="auto"/>
        </w:rPr>
        <w:t>Costs incurred in the research and development of our products are expensed as incurred. Research and development costs include personnel, contracted services, materials, and indirect costs involved in the design and development of new products and services, as well as depreciation expense.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w:t>
      </w:r>
    </w:p>
    <w:p>
      <w:pPr>
        <w:spacing w:after="0" w:line="69" w:lineRule="exact"/>
        <w:rPr>
          <w:sz w:val="20"/>
          <w:szCs w:val="20"/>
          <w:color w:val="auto"/>
        </w:rPr>
      </w:pPr>
    </w:p>
    <w:p>
      <w:pPr>
        <w:ind w:firstLine="315"/>
        <w:spacing w:after="0" w:line="270" w:lineRule="auto"/>
        <w:rPr>
          <w:sz w:val="20"/>
          <w:szCs w:val="20"/>
          <w:color w:val="auto"/>
        </w:rPr>
      </w:pPr>
      <w:r>
        <w:rPr>
          <w:rFonts w:ascii="Times New Roman" w:cs="Times New Roman" w:eastAsia="Times New Roman" w:hAnsi="Times New Roman"/>
          <w:sz w:val="17"/>
          <w:szCs w:val="17"/>
          <w:color w:val="auto"/>
        </w:rPr>
        <w:t>Selling, general, and administrative expenses include all costs that are not directly related to satisfaction of customer contracts or research and development. Selling, general, and administrative expenses include items for our selling and administrative functions, such as sales, finance, legal, human resources, and information technology support. These functions include costs for items such as salaries and benefits and other personnel-related costs, maintenance and supplies, professional fees for external legal, accounting, and other consulting services, intangible asset amortization, and depreciation expense.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69" w:lineRule="exact"/>
        <w:rPr>
          <w:sz w:val="20"/>
          <w:szCs w:val="20"/>
          <w:color w:val="auto"/>
        </w:rPr>
      </w:pPr>
    </w:p>
    <w:p>
      <w:pPr>
        <w:ind w:right="220" w:firstLine="315"/>
        <w:spacing w:after="0" w:line="297" w:lineRule="auto"/>
        <w:rPr>
          <w:sz w:val="20"/>
          <w:szCs w:val="20"/>
          <w:color w:val="auto"/>
        </w:rPr>
      </w:pPr>
      <w:r>
        <w:rPr>
          <w:rFonts w:ascii="Times New Roman" w:cs="Times New Roman" w:eastAsia="Times New Roman" w:hAnsi="Times New Roman"/>
          <w:sz w:val="17"/>
          <w:szCs w:val="17"/>
          <w:color w:val="auto"/>
        </w:rPr>
        <w:t>Other income (expense), net primarily consists of dividend and interest income earned on our money market accounts and the impact of foreign currency transaction gains and losses associated with monetary assets and liabilities.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69" w:lineRule="exact"/>
        <w:rPr>
          <w:sz w:val="20"/>
          <w:szCs w:val="20"/>
          <w:color w:val="auto"/>
        </w:rPr>
      </w:pPr>
    </w:p>
    <w:p>
      <w:pPr>
        <w:ind w:right="80" w:firstLine="315"/>
        <w:spacing w:after="0" w:line="297" w:lineRule="auto"/>
        <w:rPr>
          <w:sz w:val="20"/>
          <w:szCs w:val="20"/>
          <w:color w:val="auto"/>
        </w:rPr>
      </w:pPr>
      <w:r>
        <w:rPr>
          <w:rFonts w:ascii="Times New Roman" w:cs="Times New Roman" w:eastAsia="Times New Roman" w:hAnsi="Times New Roman"/>
          <w:sz w:val="17"/>
          <w:szCs w:val="17"/>
          <w:color w:val="auto"/>
        </w:rPr>
        <w:t>We are subject to U.S. federal income taxes, in addition to state and local income taxes, with respect to our allocable share of any taxable income or loss of Symbotic Holdings LLC. We also have foreign subsidiaries which are subject to income tax in their local jurisdictions.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for the Three and Six Months Ended March 29, 2025 and March 30, 2024</w:t>
      </w:r>
    </w:p>
    <w:p>
      <w:pPr>
        <w:spacing w:after="0" w:line="121" w:lineRule="exact"/>
        <w:rPr>
          <w:sz w:val="20"/>
          <w:szCs w:val="20"/>
          <w:color w:val="auto"/>
        </w:rPr>
      </w:pPr>
    </w:p>
    <w:p>
      <w:pPr>
        <w:ind w:right="60" w:firstLine="315"/>
        <w:spacing w:after="0" w:line="269" w:lineRule="auto"/>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 and as a percentage of our total revenue for those periods. The data has been derived from the unaudited condensed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3" w:name="page34"/>
    <w:bookmarkEnd w:id="33"/>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60" w:type="dxa"/>
            <w:vAlign w:val="bottom"/>
          </w:tcPr>
          <w:p>
            <w:pPr>
              <w:spacing w:after="0"/>
              <w:rPr>
                <w:sz w:val="18"/>
                <w:szCs w:val="18"/>
                <w:color w:val="auto"/>
              </w:rPr>
            </w:pPr>
          </w:p>
        </w:tc>
        <w:tc>
          <w:tcPr>
            <w:tcW w:w="2840" w:type="dxa"/>
            <w:vAlign w:val="bottom"/>
            <w:gridSpan w:val="4"/>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31"/>
        </w:trPr>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2"/>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4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60" w:type="dxa"/>
            <w:vAlign w:val="bottom"/>
          </w:tcPr>
          <w:p>
            <w:pPr>
              <w:spacing w:after="0"/>
              <w:rPr>
                <w:sz w:val="18"/>
                <w:szCs w:val="18"/>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March 30, 2024</w:t>
            </w:r>
          </w:p>
        </w:tc>
      </w:tr>
      <w:tr>
        <w:trPr>
          <w:trHeight w:val="31"/>
        </w:trPr>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2"/>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5"/>
          </w:tcPr>
          <w:p>
            <w:pPr>
              <w:ind w:left="90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1"/>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5"/>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Revenue:</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36"/>
        </w:trPr>
        <w:tc>
          <w:tcPr>
            <w:tcW w:w="5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Systems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513,372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370,693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977,431</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718,398</w:t>
            </w:r>
          </w:p>
        </w:tc>
      </w:tr>
      <w:tr>
        <w:trPr>
          <w:trHeight w:val="40"/>
        </w:trPr>
        <w:tc>
          <w:tcPr>
            <w:tcW w:w="5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5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Software maintenance and support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4,735</w:t>
            </w:r>
          </w:p>
        </w:tc>
      </w:tr>
      <w:tr>
        <w:trPr>
          <w:trHeight w:val="236"/>
        </w:trPr>
        <w:tc>
          <w:tcPr>
            <w:tcW w:w="5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Operation services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46,703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30,142</w:t>
            </w:r>
          </w:p>
        </w:tc>
      </w:tr>
      <w:tr>
        <w:trPr>
          <w:trHeight w:val="40"/>
        </w:trPr>
        <w:tc>
          <w:tcPr>
            <w:tcW w:w="5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8"/>
        </w:trPr>
        <w:tc>
          <w:tcPr>
            <w:tcW w:w="51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549,651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1,036,344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753,275</w:t>
            </w: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Cost of revenue:</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0"/>
        </w:trPr>
        <w:tc>
          <w:tcPr>
            <w:tcW w:w="5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5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Systems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414,560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342,124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796,378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626,071</w:t>
            </w:r>
          </w:p>
        </w:tc>
      </w:tr>
      <w:tr>
        <w:trPr>
          <w:trHeight w:val="236"/>
        </w:trPr>
        <w:tc>
          <w:tcPr>
            <w:tcW w:w="5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Software maintenance and support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3,662</w:t>
            </w:r>
          </w:p>
        </w:tc>
      </w:tr>
      <w:tr>
        <w:trPr>
          <w:trHeight w:val="40"/>
        </w:trPr>
        <w:tc>
          <w:tcPr>
            <w:tcW w:w="5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5"/>
        </w:trPr>
        <w:tc>
          <w:tcPr>
            <w:tcW w:w="5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Operation services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48,120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29,266</w:t>
            </w:r>
          </w:p>
        </w:tc>
      </w:tr>
      <w:tr>
        <w:trPr>
          <w:trHeight w:val="229"/>
        </w:trPr>
        <w:tc>
          <w:tcPr>
            <w:tcW w:w="51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cost of revenue</w:t>
            </w: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441,823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363,112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848,477</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658,999</w:t>
            </w:r>
          </w:p>
        </w:tc>
      </w:tr>
      <w:tr>
        <w:trPr>
          <w:trHeight w:val="40"/>
        </w:trPr>
        <w:tc>
          <w:tcPr>
            <w:tcW w:w="5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68"/>
        </w:trPr>
        <w:tc>
          <w:tcPr>
            <w:tcW w:w="5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Gross profit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187,867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94,276</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Operating expenses:</w:t>
            </w: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40"/>
        </w:trPr>
        <w:tc>
          <w:tcPr>
            <w:tcW w:w="5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5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105,133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88,606</w:t>
            </w:r>
          </w:p>
        </w:tc>
      </w:tr>
      <w:tr>
        <w:trPr>
          <w:trHeight w:val="236"/>
        </w:trPr>
        <w:tc>
          <w:tcPr>
            <w:tcW w:w="5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139,421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95,663</w:t>
            </w:r>
          </w:p>
        </w:tc>
      </w:tr>
      <w:tr>
        <w:trPr>
          <w:trHeight w:val="40"/>
        </w:trPr>
        <w:tc>
          <w:tcPr>
            <w:tcW w:w="5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68"/>
        </w:trPr>
        <w:tc>
          <w:tcPr>
            <w:tcW w:w="51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139,887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244,554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184,269</w:t>
            </w:r>
          </w:p>
        </w:tc>
      </w:tr>
      <w:tr>
        <w:trPr>
          <w:trHeight w:val="229"/>
        </w:trPr>
        <w:tc>
          <w:tcPr>
            <w:tcW w:w="5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loss</w:t>
            </w: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(32,059)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(64,894)</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(56,687)</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(89,993)</w:t>
            </w:r>
          </w:p>
        </w:tc>
      </w:tr>
      <w:tr>
        <w:trPr>
          <w:trHeight w:val="40"/>
        </w:trPr>
        <w:tc>
          <w:tcPr>
            <w:tcW w:w="5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5"/>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19,536</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16,011</w:t>
            </w:r>
          </w:p>
        </w:tc>
      </w:tr>
      <w:tr>
        <w:trPr>
          <w:trHeight w:val="229"/>
        </w:trPr>
        <w:tc>
          <w:tcPr>
            <w:tcW w:w="5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Loss before income tax and equity method investment</w:t>
            </w: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(20,345)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(55,082)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(37,151)</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(73,982)</w:t>
            </w:r>
          </w:p>
        </w:tc>
      </w:tr>
      <w:tr>
        <w:trPr>
          <w:trHeight w:val="40"/>
        </w:trPr>
        <w:tc>
          <w:tcPr>
            <w:tcW w:w="5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equity method investment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87"/>
        </w:trPr>
        <w:tc>
          <w:tcPr>
            <w:tcW w:w="5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(21,438)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(54,830)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(39,958)</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(73,902)</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4" w:name="page35"/>
    <w:bookmarkEnd w:id="34"/>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80" w:type="dxa"/>
            <w:vAlign w:val="bottom"/>
          </w:tcPr>
          <w:p>
            <w:pPr>
              <w:spacing w:after="0"/>
              <w:rPr>
                <w:sz w:val="18"/>
                <w:szCs w:val="18"/>
                <w:color w:val="auto"/>
              </w:rPr>
            </w:pPr>
          </w:p>
        </w:tc>
        <w:tc>
          <w:tcPr>
            <w:tcW w:w="3220" w:type="dxa"/>
            <w:vAlign w:val="bottom"/>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3140" w:type="dxa"/>
            <w:vAlign w:val="bottom"/>
            <w:gridSpan w:val="3"/>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31"/>
        </w:trPr>
        <w:tc>
          <w:tcPr>
            <w:tcW w:w="488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2"/>
        </w:trPr>
        <w:tc>
          <w:tcPr>
            <w:tcW w:w="4880" w:type="dxa"/>
            <w:vAlign w:val="bottom"/>
          </w:tcPr>
          <w:p>
            <w:pPr>
              <w:spacing w:after="0"/>
              <w:rPr>
                <w:sz w:val="18"/>
                <w:szCs w:val="18"/>
                <w:color w:val="auto"/>
              </w:rPr>
            </w:pP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52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March 30, 2024</w:t>
            </w:r>
          </w:p>
        </w:tc>
      </w:tr>
      <w:tr>
        <w:trPr>
          <w:trHeight w:val="31"/>
        </w:trPr>
        <w:tc>
          <w:tcPr>
            <w:tcW w:w="48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5"/>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Revenue:</w:t>
            </w: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36"/>
        </w:trPr>
        <w:tc>
          <w:tcPr>
            <w:tcW w:w="4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Systems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93 %</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94 %</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94 %</w:t>
            </w:r>
          </w:p>
        </w:tc>
        <w:tc>
          <w:tcPr>
            <w:tcW w:w="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95 %</w:t>
            </w:r>
          </w:p>
        </w:tc>
      </w:tr>
      <w:tr>
        <w:trPr>
          <w:trHeight w:val="40"/>
        </w:trPr>
        <w:tc>
          <w:tcPr>
            <w:tcW w:w="48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5"/>
        </w:trPr>
        <w:tc>
          <w:tcPr>
            <w:tcW w:w="4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Software maintenance and support</w:t>
            </w: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w:t>
            </w:r>
          </w:p>
        </w:tc>
      </w:tr>
      <w:tr>
        <w:trPr>
          <w:trHeight w:val="236"/>
        </w:trPr>
        <w:tc>
          <w:tcPr>
            <w:tcW w:w="4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Operation services</w:t>
            </w:r>
          </w:p>
        </w:tc>
        <w:tc>
          <w:tcPr>
            <w:tcW w:w="15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20"/>
                <w:szCs w:val="20"/>
                <w:color w:val="auto"/>
              </w:rPr>
            </w:pPr>
          </w:p>
        </w:tc>
        <w:tc>
          <w:tcPr>
            <w:tcW w:w="15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20"/>
                <w:szCs w:val="20"/>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w:t>
            </w:r>
          </w:p>
        </w:tc>
      </w:tr>
      <w:tr>
        <w:trPr>
          <w:trHeight w:val="40"/>
        </w:trPr>
        <w:tc>
          <w:tcPr>
            <w:tcW w:w="488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48"/>
        </w:trPr>
        <w:tc>
          <w:tcPr>
            <w:tcW w:w="48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 revenue</w:t>
            </w: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100</w:t>
            </w:r>
          </w:p>
        </w:tc>
      </w:tr>
      <w:tr>
        <w:trPr>
          <w:trHeight w:val="236"/>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Cost of revenue:</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0"/>
        </w:trPr>
        <w:tc>
          <w:tcPr>
            <w:tcW w:w="48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5"/>
        </w:trPr>
        <w:tc>
          <w:tcPr>
            <w:tcW w:w="4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Systems</w:t>
            </w: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83</w:t>
            </w:r>
          </w:p>
        </w:tc>
      </w:tr>
      <w:tr>
        <w:trPr>
          <w:trHeight w:val="236"/>
        </w:trPr>
        <w:tc>
          <w:tcPr>
            <w:tcW w:w="4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Software maintenance and support</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48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75"/>
        </w:trPr>
        <w:tc>
          <w:tcPr>
            <w:tcW w:w="4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Operation services</w:t>
            </w: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w:t>
            </w:r>
          </w:p>
        </w:tc>
      </w:tr>
      <w:tr>
        <w:trPr>
          <w:trHeight w:val="229"/>
        </w:trPr>
        <w:tc>
          <w:tcPr>
            <w:tcW w:w="48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cost of revenue</w:t>
            </w:r>
          </w:p>
        </w:tc>
        <w:tc>
          <w:tcPr>
            <w:tcW w:w="152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Pr>
          <w:p>
            <w:pPr>
              <w:spacing w:after="0"/>
              <w:rPr>
                <w:sz w:val="19"/>
                <w:szCs w:val="19"/>
                <w:color w:val="auto"/>
              </w:rPr>
            </w:pPr>
          </w:p>
        </w:tc>
        <w:tc>
          <w:tcPr>
            <w:tcW w:w="15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19"/>
                <w:szCs w:val="19"/>
                <w:color w:val="auto"/>
              </w:rPr>
            </w:pPr>
          </w:p>
        </w:tc>
        <w:tc>
          <w:tcPr>
            <w:tcW w:w="15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87</w:t>
            </w:r>
          </w:p>
        </w:tc>
      </w:tr>
      <w:tr>
        <w:trPr>
          <w:trHeight w:val="40"/>
        </w:trPr>
        <w:tc>
          <w:tcPr>
            <w:tcW w:w="488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68"/>
        </w:trPr>
        <w:tc>
          <w:tcPr>
            <w:tcW w:w="4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Gross profit</w:t>
            </w: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13</w:t>
            </w: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Operating expenses:</w:t>
            </w: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40"/>
        </w:trPr>
        <w:tc>
          <w:tcPr>
            <w:tcW w:w="48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5"/>
        </w:trPr>
        <w:tc>
          <w:tcPr>
            <w:tcW w:w="4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12</w:t>
            </w:r>
          </w:p>
        </w:tc>
      </w:tr>
      <w:tr>
        <w:trPr>
          <w:trHeight w:val="236"/>
        </w:trPr>
        <w:tc>
          <w:tcPr>
            <w:tcW w:w="4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5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20"/>
                <w:szCs w:val="20"/>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20"/>
                <w:szCs w:val="20"/>
                <w:color w:val="auto"/>
              </w:rPr>
            </w:pPr>
          </w:p>
        </w:tc>
        <w:tc>
          <w:tcPr>
            <w:tcW w:w="15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20"/>
                <w:szCs w:val="20"/>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13</w:t>
            </w:r>
          </w:p>
        </w:tc>
      </w:tr>
      <w:tr>
        <w:trPr>
          <w:trHeight w:val="40"/>
        </w:trPr>
        <w:tc>
          <w:tcPr>
            <w:tcW w:w="488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68"/>
        </w:trPr>
        <w:tc>
          <w:tcPr>
            <w:tcW w:w="48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24</w:t>
            </w:r>
          </w:p>
        </w:tc>
      </w:tr>
      <w:tr>
        <w:trPr>
          <w:trHeight w:val="229"/>
        </w:trPr>
        <w:tc>
          <w:tcPr>
            <w:tcW w:w="4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loss</w:t>
            </w:r>
          </w:p>
        </w:tc>
        <w:tc>
          <w:tcPr>
            <w:tcW w:w="152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152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19"/>
                <w:szCs w:val="19"/>
                <w:color w:val="auto"/>
              </w:rPr>
            </w:pPr>
          </w:p>
        </w:tc>
        <w:tc>
          <w:tcPr>
            <w:tcW w:w="154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9"/>
                <w:szCs w:val="19"/>
                <w:color w:val="auto"/>
              </w:rPr>
            </w:pPr>
          </w:p>
        </w:tc>
        <w:tc>
          <w:tcPr>
            <w:tcW w:w="152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(12)</w:t>
            </w:r>
          </w:p>
        </w:tc>
      </w:tr>
      <w:tr>
        <w:trPr>
          <w:trHeight w:val="40"/>
        </w:trPr>
        <w:tc>
          <w:tcPr>
            <w:tcW w:w="488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6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w:t>
            </w:r>
          </w:p>
        </w:tc>
      </w:tr>
      <w:tr>
        <w:trPr>
          <w:trHeight w:val="229"/>
        </w:trPr>
        <w:tc>
          <w:tcPr>
            <w:tcW w:w="4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Loss before income tax and equity method investment</w:t>
            </w:r>
          </w:p>
        </w:tc>
        <w:tc>
          <w:tcPr>
            <w:tcW w:w="152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152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9"/>
                <w:szCs w:val="19"/>
                <w:color w:val="auto"/>
              </w:rPr>
            </w:pPr>
          </w:p>
        </w:tc>
        <w:tc>
          <w:tcPr>
            <w:tcW w:w="154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152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(10)</w:t>
            </w:r>
          </w:p>
        </w:tc>
      </w:tr>
      <w:tr>
        <w:trPr>
          <w:trHeight w:val="40"/>
        </w:trPr>
        <w:tc>
          <w:tcPr>
            <w:tcW w:w="48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5"/>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w:t>
            </w:r>
          </w:p>
        </w:tc>
        <w:tc>
          <w:tcPr>
            <w:tcW w:w="1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equity method investment</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488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87"/>
        </w:trPr>
        <w:tc>
          <w:tcPr>
            <w:tcW w:w="4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loss</w:t>
            </w:r>
          </w:p>
        </w:tc>
        <w:tc>
          <w:tcPr>
            <w:tcW w:w="152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w w:val="99"/>
              </w:rPr>
              <w:t>(4)%</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(10)%</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*Percentages are based on actual values. Totals may not sum due to rounding.</w:t>
      </w:r>
    </w:p>
    <w:p>
      <w:pPr>
        <w:spacing w:after="0" w:line="184" w:lineRule="exact"/>
        <w:rPr>
          <w:sz w:val="20"/>
          <w:szCs w:val="20"/>
          <w:color w:val="auto"/>
        </w:rPr>
      </w:pPr>
    </w:p>
    <w:p>
      <w:pPr>
        <w:ind w:right="3100"/>
        <w:spacing w:after="0" w:line="389" w:lineRule="auto"/>
        <w:rPr>
          <w:sz w:val="20"/>
          <w:szCs w:val="20"/>
          <w:color w:val="auto"/>
        </w:rPr>
      </w:pPr>
      <w:r>
        <w:rPr>
          <w:rFonts w:ascii="Times New Roman" w:cs="Times New Roman" w:eastAsia="Times New Roman" w:hAnsi="Times New Roman"/>
          <w:sz w:val="17"/>
          <w:szCs w:val="17"/>
          <w:b w:val="1"/>
          <w:bCs w:val="1"/>
          <w:color w:val="auto"/>
        </w:rPr>
        <w:t xml:space="preserve">Three and Six Months Ended March 29, 2025 Compared to the Three and Six Months Ended March 30, 2024 </w:t>
      </w:r>
      <w:r>
        <w:rPr>
          <w:rFonts w:ascii="Times New Roman" w:cs="Times New Roman" w:eastAsia="Times New Roman" w:hAnsi="Times New Roman"/>
          <w:sz w:val="17"/>
          <w:szCs w:val="17"/>
          <w:i w:val="1"/>
          <w:iCs w:val="1"/>
          <w:color w:val="auto"/>
        </w:rPr>
        <w:t>Revenue</w:t>
      </w:r>
    </w:p>
    <w:tbl>
      <w:tblPr>
        <w:tblLayout w:type="fixed"/>
        <w:tblInd w:w="0" w:type="dxa"/>
        <w:tblCellMar>
          <w:top w:w="0" w:type="dxa"/>
          <w:left w:w="0" w:type="dxa"/>
          <w:bottom w:w="0" w:type="dxa"/>
          <w:right w:w="0" w:type="dxa"/>
        </w:tblCellMar>
      </w:tblPr>
      <w:tr>
        <w:trPr>
          <w:trHeight w:val="208"/>
        </w:trPr>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80" w:type="dxa"/>
            <w:vAlign w:val="bottom"/>
          </w:tcPr>
          <w:p>
            <w:pPr>
              <w:spacing w:after="0"/>
              <w:rPr>
                <w:sz w:val="18"/>
                <w:szCs w:val="18"/>
                <w:color w:val="auto"/>
              </w:rPr>
            </w:pPr>
          </w:p>
        </w:tc>
        <w:tc>
          <w:tcPr>
            <w:tcW w:w="1740" w:type="dxa"/>
            <w:vAlign w:val="bottom"/>
            <w:gridSpan w:val="2"/>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8"/>
                <w:szCs w:val="18"/>
                <w:color w:val="auto"/>
              </w:rPr>
            </w:pPr>
          </w:p>
        </w:tc>
      </w:tr>
      <w:tr>
        <w:trPr>
          <w:trHeight w:val="31"/>
        </w:trPr>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2"/>
        </w:trPr>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28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2"/>
        </w:trPr>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gridSpan w:val="5"/>
          </w:tcPr>
          <w:p>
            <w:pPr>
              <w:ind w:left="720"/>
              <w:spacing w:after="0"/>
              <w:rPr>
                <w:sz w:val="20"/>
                <w:szCs w:val="20"/>
                <w:color w:val="auto"/>
              </w:rPr>
            </w:pPr>
            <w:r>
              <w:rPr>
                <w:rFonts w:ascii="Times New Roman" w:cs="Times New Roman" w:eastAsia="Times New Roman" w:hAnsi="Times New Roman"/>
                <w:sz w:val="16"/>
                <w:szCs w:val="16"/>
                <w:color w:val="auto"/>
              </w:rPr>
              <w:t>(dollars in thousands)</w:t>
            </w:r>
          </w:p>
        </w:tc>
        <w:tc>
          <w:tcPr>
            <w:tcW w:w="1080" w:type="dxa"/>
            <w:vAlign w:val="bottom"/>
          </w:tcPr>
          <w:p>
            <w:pPr>
              <w:spacing w:after="0"/>
              <w:rPr>
                <w:sz w:val="18"/>
                <w:szCs w:val="18"/>
                <w:color w:val="auto"/>
              </w:rPr>
            </w:pPr>
          </w:p>
        </w:tc>
      </w:tr>
      <w:tr>
        <w:trPr>
          <w:trHeight w:val="31"/>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5"/>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Systems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513,372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370,693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142,679</w:t>
            </w:r>
          </w:p>
        </w:tc>
        <w:tc>
          <w:tcPr>
            <w:tcW w:w="5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w:t>
            </w:r>
          </w:p>
        </w:tc>
      </w:tr>
      <w:tr>
        <w:trPr>
          <w:trHeight w:val="236"/>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maintenance and support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4,119</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161 %</w:t>
            </w:r>
          </w:p>
        </w:tc>
      </w:tr>
      <w:tr>
        <w:trPr>
          <w:trHeight w:val="40"/>
        </w:trPr>
        <w:tc>
          <w:tcPr>
            <w:tcW w:w="5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75"/>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Operation services</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20,073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9,521</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r>
      <w:tr>
        <w:trPr>
          <w:trHeight w:val="262"/>
        </w:trPr>
        <w:tc>
          <w:tcPr>
            <w:tcW w:w="5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549,651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393,332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156,319</w:t>
            </w:r>
          </w:p>
        </w:tc>
        <w:tc>
          <w:tcPr>
            <w:tcW w:w="5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40 %</w:t>
            </w:r>
          </w:p>
        </w:tc>
      </w:tr>
      <w:tr>
        <w:trPr>
          <w:trHeight w:val="26"/>
        </w:trPr>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bl>
    <w:p>
      <w:pPr>
        <w:spacing w:after="0" w:line="113" w:lineRule="exact"/>
        <w:rPr>
          <w:sz w:val="20"/>
          <w:szCs w:val="20"/>
          <w:color w:val="auto"/>
        </w:rPr>
      </w:pPr>
    </w:p>
    <w:p>
      <w:pPr>
        <w:ind w:right="40" w:firstLine="315"/>
        <w:spacing w:after="0" w:line="267" w:lineRule="auto"/>
        <w:rPr>
          <w:sz w:val="20"/>
          <w:szCs w:val="20"/>
          <w:color w:val="auto"/>
        </w:rPr>
      </w:pPr>
      <w:r>
        <w:rPr>
          <w:rFonts w:ascii="Times New Roman" w:cs="Times New Roman" w:eastAsia="Times New Roman" w:hAnsi="Times New Roman"/>
          <w:sz w:val="17"/>
          <w:szCs w:val="17"/>
          <w:color w:val="auto"/>
        </w:rPr>
        <w:t>Systems revenue increased during the three months ended March 29, 2025, as compared to the three months ended March 30, 2024, due to there being 46 Systems in Deployment during the fiscal quarter ending March 29, 2025, as compared to 37 Systems in Deployment during the same quarter of fiscal 2024. The increase in Deployments is primarily due to the continued build out of our Systems pursuant to the terms of the MAA and includes the addition of the 2025 MAA. Pursuant to the MAA, we are installing and implementing our System within all of Walmart’s 42 regional distribution centers. We expect the MAA to continue to generate Systems revenue as we install and implement the Systems at the remaining regional distribution centers through fiscal year 2029.</w:t>
      </w:r>
    </w:p>
    <w:p>
      <w:pPr>
        <w:spacing w:after="0" w:line="14" w:lineRule="exact"/>
        <w:rPr>
          <w:sz w:val="20"/>
          <w:szCs w:val="20"/>
          <w:color w:val="auto"/>
        </w:rPr>
      </w:pPr>
    </w:p>
    <w:p>
      <w:pPr>
        <w:jc w:val="both"/>
        <w:ind w:right="40" w:firstLine="315"/>
        <w:spacing w:after="0" w:line="277" w:lineRule="auto"/>
        <w:rPr>
          <w:sz w:val="20"/>
          <w:szCs w:val="20"/>
          <w:color w:val="auto"/>
        </w:rPr>
      </w:pPr>
      <w:r>
        <w:rPr>
          <w:rFonts w:ascii="Times New Roman" w:cs="Times New Roman" w:eastAsia="Times New Roman" w:hAnsi="Times New Roman"/>
          <w:sz w:val="17"/>
          <w:szCs w:val="17"/>
          <w:color w:val="auto"/>
        </w:rPr>
        <w:t>The increase in Software Maintenance and Support revenue is due to 37 Operational Systems which are under Software Maintenance and Support contracts for the three months ended March 29, 2025, as compared to 18 Operational Systems which are under Software Maintenance and Support contracts for the three months ended March 30, 2024.</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35" w:name="page36"/>
    <w:bookmarkEnd w:id="35"/>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20" w:firstLine="315"/>
        <w:spacing w:after="0" w:line="267" w:lineRule="auto"/>
        <w:rPr>
          <w:sz w:val="20"/>
          <w:szCs w:val="20"/>
          <w:color w:val="auto"/>
        </w:rPr>
      </w:pPr>
      <w:r>
        <w:rPr>
          <w:rFonts w:ascii="Times New Roman" w:cs="Times New Roman" w:eastAsia="Times New Roman" w:hAnsi="Times New Roman"/>
          <w:sz w:val="17"/>
          <w:szCs w:val="17"/>
          <w:color w:val="auto"/>
        </w:rPr>
        <w:t>The increase in Operation Services revenue is attributable to an increase in Operational Systems where we are performing Operation Services for the three months ended March 29, 2025, as compared to the three months ended March 30, 2024. As we continue to increase the number of Operational Systems, an increase in the number of Operation Services contracts is expected. The increase in Operation Services revenue for the three months ended March 29, 2025, as compared to the three months ended March 30, 2024, is also attributable to an increase in training services provided to our customers in connection with the increase in the number of Operational Systems.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280" w:type="dxa"/>
            <w:vAlign w:val="bottom"/>
          </w:tcPr>
          <w:p>
            <w:pPr>
              <w:spacing w:after="0"/>
              <w:rPr>
                <w:sz w:val="18"/>
                <w:szCs w:val="18"/>
                <w:color w:val="auto"/>
              </w:rPr>
            </w:pPr>
          </w:p>
        </w:tc>
        <w:tc>
          <w:tcPr>
            <w:tcW w:w="1740" w:type="dxa"/>
            <w:vAlign w:val="bottom"/>
            <w:gridSpan w:val="2"/>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8"/>
                <w:szCs w:val="18"/>
                <w:color w:val="auto"/>
              </w:rPr>
            </w:pPr>
          </w:p>
        </w:tc>
      </w:tr>
      <w:tr>
        <w:trPr>
          <w:trHeight w:val="31"/>
        </w:trPr>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2"/>
        </w:trPr>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28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2"/>
        </w:trPr>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gridSpan w:val="5"/>
          </w:tcPr>
          <w:p>
            <w:pPr>
              <w:ind w:left="720"/>
              <w:spacing w:after="0"/>
              <w:rPr>
                <w:sz w:val="20"/>
                <w:szCs w:val="20"/>
                <w:color w:val="auto"/>
              </w:rPr>
            </w:pPr>
            <w:r>
              <w:rPr>
                <w:rFonts w:ascii="Times New Roman" w:cs="Times New Roman" w:eastAsia="Times New Roman" w:hAnsi="Times New Roman"/>
                <w:sz w:val="16"/>
                <w:szCs w:val="16"/>
                <w:color w:val="auto"/>
              </w:rPr>
              <w:t>(dollars in thousands)</w:t>
            </w:r>
          </w:p>
        </w:tc>
        <w:tc>
          <w:tcPr>
            <w:tcW w:w="1080" w:type="dxa"/>
            <w:vAlign w:val="bottom"/>
          </w:tcPr>
          <w:p>
            <w:pPr>
              <w:spacing w:after="0"/>
              <w:rPr>
                <w:sz w:val="18"/>
                <w:szCs w:val="18"/>
                <w:color w:val="auto"/>
              </w:rPr>
            </w:pPr>
          </w:p>
        </w:tc>
      </w:tr>
      <w:tr>
        <w:trPr>
          <w:trHeight w:val="31"/>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5"/>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Systems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977,431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718,398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259,033</w:t>
            </w:r>
          </w:p>
        </w:tc>
        <w:tc>
          <w:tcPr>
            <w:tcW w:w="5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r>
      <w:tr>
        <w:trPr>
          <w:trHeight w:val="236"/>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maintenance and support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7,475</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158 %</w:t>
            </w:r>
          </w:p>
        </w:tc>
      </w:tr>
      <w:tr>
        <w:trPr>
          <w:trHeight w:val="40"/>
        </w:trPr>
        <w:tc>
          <w:tcPr>
            <w:tcW w:w="5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75"/>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Operation services</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16,561</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r>
      <w:tr>
        <w:trPr>
          <w:trHeight w:val="262"/>
        </w:trPr>
        <w:tc>
          <w:tcPr>
            <w:tcW w:w="5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1,036,344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753,275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283,069</w:t>
            </w:r>
          </w:p>
        </w:tc>
        <w:tc>
          <w:tcPr>
            <w:tcW w:w="5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38 %</w:t>
            </w:r>
          </w:p>
        </w:tc>
      </w:tr>
      <w:tr>
        <w:trPr>
          <w:trHeight w:val="26"/>
        </w:trPr>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bl>
    <w:p>
      <w:pPr>
        <w:spacing w:after="0" w:line="126" w:lineRule="exact"/>
        <w:rPr>
          <w:sz w:val="20"/>
          <w:szCs w:val="20"/>
          <w:color w:val="auto"/>
        </w:rPr>
      </w:pPr>
    </w:p>
    <w:p>
      <w:pPr>
        <w:ind w:right="100" w:firstLine="315"/>
        <w:spacing w:after="0" w:line="267" w:lineRule="auto"/>
        <w:rPr>
          <w:sz w:val="20"/>
          <w:szCs w:val="20"/>
          <w:color w:val="auto"/>
        </w:rPr>
      </w:pPr>
      <w:r>
        <w:rPr>
          <w:rFonts w:ascii="Times New Roman" w:cs="Times New Roman" w:eastAsia="Times New Roman" w:hAnsi="Times New Roman"/>
          <w:sz w:val="17"/>
          <w:szCs w:val="17"/>
          <w:color w:val="auto"/>
        </w:rPr>
        <w:t>Systems revenue increased during the six months ended March 29, 2025, as compared to the six months ended March 30, 2024, due to there being 46 System in Deployment during the fiscal quarter ending March 29, 2025, as compared to 37 Systems in Deployment during the same quarter of fiscal 2024. The increase in Deployments is primarily due to the continued build out of our Systems per the term of the MAA and includes the addition of the 2025 MAA. Pursuant to the MAA, we are installing and implementing our System within all of Walmart’s 42 regional distribution centers. We expect the MAA to continue to generate Systems revenue as we install and implement the Systems at the remaining regional distribution centers through fiscal year 2029.</w:t>
      </w:r>
    </w:p>
    <w:p>
      <w:pPr>
        <w:spacing w:after="0" w:line="14" w:lineRule="exact"/>
        <w:rPr>
          <w:sz w:val="20"/>
          <w:szCs w:val="20"/>
          <w:color w:val="auto"/>
        </w:rPr>
      </w:pPr>
    </w:p>
    <w:p>
      <w:pPr>
        <w:ind w:right="40" w:firstLine="315"/>
        <w:spacing w:after="0" w:line="277" w:lineRule="auto"/>
        <w:rPr>
          <w:sz w:val="20"/>
          <w:szCs w:val="20"/>
          <w:color w:val="auto"/>
        </w:rPr>
      </w:pPr>
      <w:r>
        <w:rPr>
          <w:rFonts w:ascii="Times New Roman" w:cs="Times New Roman" w:eastAsia="Times New Roman" w:hAnsi="Times New Roman"/>
          <w:sz w:val="17"/>
          <w:szCs w:val="17"/>
          <w:color w:val="auto"/>
        </w:rPr>
        <w:t>The increase in Software Maintenance and Support revenue is due to 37 Operational Systems which are under Software Maintenance and Support contracts for the six months ended March 29, 2025, as compared to 18 Operational Systems which are under Software Maintenance and Support contracts for the six months ended March 30, 2024.</w:t>
      </w:r>
    </w:p>
    <w:p>
      <w:pPr>
        <w:spacing w:after="0" w:line="5" w:lineRule="exact"/>
        <w:rPr>
          <w:sz w:val="20"/>
          <w:szCs w:val="20"/>
          <w:color w:val="auto"/>
        </w:rPr>
      </w:pPr>
    </w:p>
    <w:p>
      <w:pPr>
        <w:ind w:right="260" w:firstLine="315"/>
        <w:spacing w:after="0" w:line="267" w:lineRule="auto"/>
        <w:rPr>
          <w:sz w:val="20"/>
          <w:szCs w:val="20"/>
          <w:color w:val="auto"/>
        </w:rPr>
      </w:pPr>
      <w:r>
        <w:rPr>
          <w:rFonts w:ascii="Times New Roman" w:cs="Times New Roman" w:eastAsia="Times New Roman" w:hAnsi="Times New Roman"/>
          <w:sz w:val="17"/>
          <w:szCs w:val="17"/>
          <w:color w:val="auto"/>
        </w:rPr>
        <w:t>The increase in Operation Services revenue is attributable to an increase in Operational Systems where we are performing Operation Services for the six months ended March 29, 2025, as compared to the six months ended March 30, 2024. As we continue to increase the number of Operational Systems, an increase in the number of Operation Services contracts is expected. The increase in Operation Services revenue for the six months ended March 29, 2025, as compared to the six months ended March 30, 2024, is also attributable to an increase in training services provided to our customers in connection with the increase in the number of Operational Systems.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Gross Profit</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our gross profit for the three months ended March 29, 2025 and March 30,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80" w:type="dxa"/>
            <w:vAlign w:val="bottom"/>
          </w:tcPr>
          <w:p>
            <w:pPr>
              <w:spacing w:after="0"/>
              <w:rPr>
                <w:sz w:val="18"/>
                <w:szCs w:val="18"/>
                <w:color w:val="auto"/>
              </w:rPr>
            </w:pPr>
          </w:p>
        </w:tc>
        <w:tc>
          <w:tcPr>
            <w:tcW w:w="118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1"/>
        </w:trPr>
        <w:tc>
          <w:tcPr>
            <w:tcW w:w="6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2"/>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March 30, 2024</w:t>
            </w:r>
          </w:p>
        </w:tc>
        <w:tc>
          <w:tcPr>
            <w:tcW w:w="280" w:type="dxa"/>
            <w:vAlign w:val="bottom"/>
          </w:tcPr>
          <w:p>
            <w:pPr>
              <w:spacing w:after="0"/>
              <w:rPr>
                <w:sz w:val="18"/>
                <w:szCs w:val="18"/>
                <w:color w:val="auto"/>
              </w:rPr>
            </w:pPr>
          </w:p>
        </w:tc>
        <w:tc>
          <w:tcPr>
            <w:tcW w:w="118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1"/>
        </w:trPr>
        <w:tc>
          <w:tcPr>
            <w:tcW w:w="6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2"/>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(in thousands)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1"/>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Systems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28,569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70,243</w:t>
            </w:r>
          </w:p>
        </w:tc>
      </w:tr>
      <w:tr>
        <w:trPr>
          <w:trHeight w:val="236"/>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maintenance and support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3,960</w:t>
            </w:r>
          </w:p>
        </w:tc>
      </w:tr>
      <w:tr>
        <w:trPr>
          <w:trHeight w:val="40"/>
        </w:trPr>
        <w:tc>
          <w:tcPr>
            <w:tcW w:w="6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Operation services</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3,405</w:t>
            </w:r>
          </w:p>
        </w:tc>
      </w:tr>
      <w:tr>
        <w:trPr>
          <w:trHeight w:val="262"/>
        </w:trPr>
        <w:tc>
          <w:tcPr>
            <w:tcW w:w="67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gross profit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107,828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30,220</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77,608</w:t>
            </w:r>
          </w:p>
        </w:tc>
      </w:tr>
      <w:tr>
        <w:trPr>
          <w:trHeight w:val="26"/>
        </w:trPr>
        <w:tc>
          <w:tcPr>
            <w:tcW w:w="6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13" w:lineRule="exact"/>
        <w:rPr>
          <w:sz w:val="20"/>
          <w:szCs w:val="20"/>
          <w:color w:val="auto"/>
        </w:rPr>
      </w:pPr>
    </w:p>
    <w:p>
      <w:pPr>
        <w:ind w:right="20" w:firstLine="315"/>
        <w:spacing w:after="0" w:line="277" w:lineRule="auto"/>
        <w:rPr>
          <w:sz w:val="20"/>
          <w:szCs w:val="20"/>
          <w:color w:val="auto"/>
        </w:rPr>
      </w:pPr>
      <w:r>
        <w:rPr>
          <w:rFonts w:ascii="Times New Roman" w:cs="Times New Roman" w:eastAsia="Times New Roman" w:hAnsi="Times New Roman"/>
          <w:sz w:val="17"/>
          <w:szCs w:val="17"/>
          <w:color w:val="auto"/>
        </w:rPr>
        <w:t>Systems gross profit increased $70.2 million for the three months ended March 29, 2025, as compared to the three months ended March 30, 2024. The increase in Systems gross profit is primarily driven by 46 Systems in Deployment during the three months ended March 29, 2025, as compared to 37 Systems in Deployment during the three months ended March 30, 2024.</w:t>
      </w:r>
    </w:p>
    <w:p>
      <w:pPr>
        <w:spacing w:after="0" w:line="5" w:lineRule="exact"/>
        <w:rPr>
          <w:sz w:val="20"/>
          <w:szCs w:val="20"/>
          <w:color w:val="auto"/>
        </w:rPr>
      </w:pPr>
    </w:p>
    <w:p>
      <w:pPr>
        <w:jc w:val="both"/>
        <w:ind w:right="40" w:firstLine="315"/>
        <w:spacing w:after="0" w:line="277" w:lineRule="auto"/>
        <w:rPr>
          <w:sz w:val="20"/>
          <w:szCs w:val="20"/>
          <w:color w:val="auto"/>
        </w:rPr>
      </w:pPr>
      <w:r>
        <w:rPr>
          <w:rFonts w:ascii="Times New Roman" w:cs="Times New Roman" w:eastAsia="Times New Roman" w:hAnsi="Times New Roman"/>
          <w:sz w:val="17"/>
          <w:szCs w:val="17"/>
          <w:color w:val="auto"/>
        </w:rPr>
        <w:t>The increase in Software Maintenance and Support gross profit is driven by the revenue from the additional Operational Systems which are under Software Maintenance and Support contracts for the three months ended March 29, 2025, as compared to the three months ended March 30, 2024, while costs to perform our maintenance and support services remained relatively flat.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6" w:name="page37"/>
    <w:bookmarkEnd w:id="36"/>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380" w:firstLine="315"/>
        <w:spacing w:after="0" w:line="289" w:lineRule="auto"/>
        <w:rPr>
          <w:sz w:val="20"/>
          <w:szCs w:val="20"/>
          <w:color w:val="auto"/>
        </w:rPr>
      </w:pPr>
      <w:r>
        <w:rPr>
          <w:rFonts w:ascii="Times New Roman" w:cs="Times New Roman" w:eastAsia="Times New Roman" w:hAnsi="Times New Roman"/>
          <w:sz w:val="17"/>
          <w:szCs w:val="17"/>
          <w:color w:val="auto"/>
        </w:rPr>
        <w:t>The increase in Operation Services gross profit for the three months ended March 29, 2025, as compared to the three months ended March 30, 2024, is driven by an increase in additional training services provided to our customers and services related to the ASR Acquisition.</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our gross profit for the six months ended March 29, 2025 and March 30,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280" w:type="dxa"/>
            <w:vAlign w:val="bottom"/>
          </w:tcPr>
          <w:p>
            <w:pPr>
              <w:spacing w:after="0"/>
              <w:rPr>
                <w:sz w:val="18"/>
                <w:szCs w:val="18"/>
                <w:color w:val="auto"/>
              </w:rPr>
            </w:pPr>
          </w:p>
        </w:tc>
        <w:tc>
          <w:tcPr>
            <w:tcW w:w="118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1"/>
        </w:trPr>
        <w:tc>
          <w:tcPr>
            <w:tcW w:w="6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2"/>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March 30, 2024</w:t>
            </w:r>
          </w:p>
        </w:tc>
        <w:tc>
          <w:tcPr>
            <w:tcW w:w="280" w:type="dxa"/>
            <w:vAlign w:val="bottom"/>
          </w:tcPr>
          <w:p>
            <w:pPr>
              <w:spacing w:after="0"/>
              <w:rPr>
                <w:sz w:val="18"/>
                <w:szCs w:val="18"/>
                <w:color w:val="auto"/>
              </w:rPr>
            </w:pPr>
          </w:p>
        </w:tc>
        <w:tc>
          <w:tcPr>
            <w:tcW w:w="118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1"/>
        </w:trPr>
        <w:tc>
          <w:tcPr>
            <w:tcW w:w="6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2"/>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(in thousands)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1"/>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Systems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92,327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88,726</w:t>
            </w:r>
          </w:p>
        </w:tc>
      </w:tr>
      <w:tr>
        <w:trPr>
          <w:trHeight w:val="236"/>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maintenance and support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7,158</w:t>
            </w:r>
          </w:p>
        </w:tc>
      </w:tr>
      <w:tr>
        <w:trPr>
          <w:trHeight w:val="40"/>
        </w:trPr>
        <w:tc>
          <w:tcPr>
            <w:tcW w:w="6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Operation services</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(2,293)</w:t>
            </w:r>
          </w:p>
        </w:tc>
      </w:tr>
      <w:tr>
        <w:trPr>
          <w:trHeight w:val="262"/>
        </w:trPr>
        <w:tc>
          <w:tcPr>
            <w:tcW w:w="67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gross profit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187,867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94,276</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93,591</w:t>
            </w:r>
          </w:p>
        </w:tc>
      </w:tr>
      <w:tr>
        <w:trPr>
          <w:trHeight w:val="26"/>
        </w:trPr>
        <w:tc>
          <w:tcPr>
            <w:tcW w:w="6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26" w:lineRule="exact"/>
        <w:rPr>
          <w:sz w:val="20"/>
          <w:szCs w:val="20"/>
          <w:color w:val="auto"/>
        </w:rPr>
      </w:pPr>
    </w:p>
    <w:p>
      <w:pPr>
        <w:ind w:right="160" w:firstLine="315"/>
        <w:spacing w:after="0" w:line="277" w:lineRule="auto"/>
        <w:rPr>
          <w:sz w:val="20"/>
          <w:szCs w:val="20"/>
          <w:color w:val="auto"/>
        </w:rPr>
      </w:pPr>
      <w:r>
        <w:rPr>
          <w:rFonts w:ascii="Times New Roman" w:cs="Times New Roman" w:eastAsia="Times New Roman" w:hAnsi="Times New Roman"/>
          <w:sz w:val="17"/>
          <w:szCs w:val="17"/>
          <w:color w:val="auto"/>
        </w:rPr>
        <w:t>Systems gross profit increased $88.7 million during the six months ended March 29, 2025, as compared to the six months ended March 30, 2024. The increase in Systems gross profit is primarily driven by 46 Systems in Deployment during the six months ended March 29, 2025, as compared to 37 Systems in Deployment during the six months ended March 30, 2024.</w:t>
      </w:r>
    </w:p>
    <w:p>
      <w:pPr>
        <w:spacing w:after="0" w:line="5" w:lineRule="exact"/>
        <w:rPr>
          <w:sz w:val="20"/>
          <w:szCs w:val="20"/>
          <w:color w:val="auto"/>
        </w:rPr>
      </w:pPr>
    </w:p>
    <w:p>
      <w:pPr>
        <w:jc w:val="both"/>
        <w:ind w:right="40" w:firstLine="315"/>
        <w:spacing w:after="0" w:line="277" w:lineRule="auto"/>
        <w:rPr>
          <w:sz w:val="20"/>
          <w:szCs w:val="20"/>
          <w:color w:val="auto"/>
        </w:rPr>
      </w:pPr>
      <w:r>
        <w:rPr>
          <w:rFonts w:ascii="Times New Roman" w:cs="Times New Roman" w:eastAsia="Times New Roman" w:hAnsi="Times New Roman"/>
          <w:sz w:val="17"/>
          <w:szCs w:val="17"/>
          <w:color w:val="auto"/>
        </w:rPr>
        <w:t>The increase in Software Maintenance and Support gross profit is driven by the revenue from the additional Operational Systems which are under Software Maintenance and Support contracts for the six months ended March 29, 2025, as compared to the six months ended March 30, 2024, while costs to perform our Maintenance and Support Services remained relatively flat.</w:t>
      </w:r>
    </w:p>
    <w:p>
      <w:pPr>
        <w:spacing w:after="0" w:line="5" w:lineRule="exact"/>
        <w:rPr>
          <w:sz w:val="20"/>
          <w:szCs w:val="20"/>
          <w:color w:val="auto"/>
        </w:rPr>
      </w:pPr>
    </w:p>
    <w:p>
      <w:pPr>
        <w:ind w:right="60" w:firstLine="315"/>
        <w:spacing w:after="0" w:line="277" w:lineRule="auto"/>
        <w:rPr>
          <w:sz w:val="20"/>
          <w:szCs w:val="20"/>
          <w:color w:val="auto"/>
        </w:rPr>
      </w:pPr>
      <w:r>
        <w:rPr>
          <w:rFonts w:ascii="Times New Roman" w:cs="Times New Roman" w:eastAsia="Times New Roman" w:hAnsi="Times New Roman"/>
          <w:sz w:val="17"/>
          <w:szCs w:val="17"/>
          <w:color w:val="auto"/>
        </w:rPr>
        <w:t>The decrease in Operation Services gross profit for the six months ended March 29, 2025, as compared to the six months ended March 30, 2024, is driven by an increase in Operation Services costs at certain of our customer sites, partially offset by additional training services provided to our customers and services related to the ASR Acquisition.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0" w:type="dxa"/>
            <w:vAlign w:val="bottom"/>
          </w:tcPr>
          <w:p>
            <w:pPr>
              <w:spacing w:after="0"/>
              <w:rPr>
                <w:sz w:val="18"/>
                <w:szCs w:val="18"/>
                <w:color w:val="auto"/>
              </w:rPr>
            </w:pPr>
          </w:p>
        </w:tc>
        <w:tc>
          <w:tcPr>
            <w:tcW w:w="172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tcPr>
          <w:p>
            <w:pPr>
              <w:spacing w:after="0"/>
              <w:rPr>
                <w:sz w:val="18"/>
                <w:szCs w:val="18"/>
                <w:color w:val="auto"/>
              </w:rPr>
            </w:pPr>
          </w:p>
        </w:tc>
      </w:tr>
      <w:tr>
        <w:trPr>
          <w:trHeight w:val="31"/>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2"/>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260" w:type="dxa"/>
            <w:vAlign w:val="bottom"/>
          </w:tcPr>
          <w:p>
            <w:pPr>
              <w:spacing w:after="0"/>
              <w:rPr>
                <w:sz w:val="18"/>
                <w:szCs w:val="18"/>
                <w:color w:val="auto"/>
              </w:rPr>
            </w:pPr>
          </w:p>
        </w:tc>
        <w:tc>
          <w:tcPr>
            <w:tcW w:w="1720" w:type="dxa"/>
            <w:vAlign w:val="bottom"/>
          </w:tcPr>
          <w:p>
            <w:pPr>
              <w:jc w:val="right"/>
              <w:ind w:right="91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40" w:type="dxa"/>
            <w:vAlign w:val="bottom"/>
          </w:tcPr>
          <w:p>
            <w:pPr>
              <w:jc w:val="right"/>
              <w:ind w:right="59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2"/>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gridSpan w:val="4"/>
          </w:tcPr>
          <w:p>
            <w:pPr>
              <w:jc w:val="right"/>
              <w:ind w:right="1338"/>
              <w:spacing w:after="0"/>
              <w:rPr>
                <w:sz w:val="20"/>
                <w:szCs w:val="20"/>
                <w:color w:val="auto"/>
              </w:rPr>
            </w:pPr>
            <w:r>
              <w:rPr>
                <w:rFonts w:ascii="Times New Roman" w:cs="Times New Roman" w:eastAsia="Times New Roman" w:hAnsi="Times New Roman"/>
                <w:sz w:val="16"/>
                <w:szCs w:val="16"/>
                <w:color w:val="auto"/>
              </w:rPr>
              <w:t>(dollars in thousands)</w:t>
            </w:r>
          </w:p>
        </w:tc>
        <w:tc>
          <w:tcPr>
            <w:tcW w:w="1040" w:type="dxa"/>
            <w:vAlign w:val="bottom"/>
          </w:tcPr>
          <w:p>
            <w:pPr>
              <w:spacing w:after="0"/>
              <w:rPr>
                <w:sz w:val="18"/>
                <w:szCs w:val="18"/>
                <w:color w:val="auto"/>
              </w:rPr>
            </w:pPr>
          </w:p>
        </w:tc>
      </w:tr>
      <w:tr>
        <w:trPr>
          <w:trHeight w:val="31"/>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5"/>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61,540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46,462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CCEEFF"/>
            </w:tcBorders>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rPr>
              <w:t>15,078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32 %</w:t>
            </w:r>
          </w:p>
        </w:tc>
      </w:tr>
      <w:tr>
        <w:trPr>
          <w:trHeight w:val="236"/>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0" w:lineRule="exact"/>
        <w:rPr>
          <w:sz w:val="20"/>
          <w:szCs w:val="20"/>
          <w:color w:val="auto"/>
        </w:rPr>
      </w:pPr>
    </w:p>
    <w:p>
      <w:pPr>
        <w:spacing w:after="0" w:line="293" w:lineRule="exact"/>
        <w:rPr>
          <w:sz w:val="20"/>
          <w:szCs w:val="20"/>
          <w:color w:val="auto"/>
        </w:rPr>
      </w:pPr>
    </w:p>
    <w:p>
      <w:pPr>
        <w:ind w:right="60" w:firstLine="315"/>
        <w:spacing w:after="0" w:line="297" w:lineRule="auto"/>
        <w:rPr>
          <w:sz w:val="20"/>
          <w:szCs w:val="20"/>
          <w:color w:val="auto"/>
        </w:rPr>
      </w:pPr>
      <w:r>
        <w:rPr>
          <w:rFonts w:ascii="Times New Roman" w:cs="Times New Roman" w:eastAsia="Times New Roman" w:hAnsi="Times New Roman"/>
          <w:sz w:val="17"/>
          <w:szCs w:val="17"/>
          <w:color w:val="auto"/>
        </w:rPr>
        <w:t>The increase in research and development expenses for the three months ended March 29, 2025, as compared to the three months ended March 30, 2024, is due to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1"/>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2"/>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16"/>
              <w:spacing w:after="0"/>
              <w:rPr>
                <w:sz w:val="20"/>
                <w:szCs w:val="20"/>
                <w:color w:val="auto"/>
              </w:rPr>
            </w:pPr>
            <w:r>
              <w:rPr>
                <w:rFonts w:ascii="Times New Roman" w:cs="Times New Roman" w:eastAsia="Times New Roman" w:hAnsi="Times New Roman"/>
                <w:sz w:val="16"/>
                <w:szCs w:val="16"/>
                <w:color w:val="auto"/>
              </w:rPr>
              <w:t>(in thousands)</w:t>
            </w:r>
          </w:p>
        </w:tc>
      </w:tr>
      <w:tr>
        <w:trPr>
          <w:trHeight w:val="31"/>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5"/>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Employee-related costs</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5,587</w:t>
            </w:r>
          </w:p>
        </w:tc>
      </w:tr>
      <w:tr>
        <w:trPr>
          <w:trHeight w:val="236"/>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Prototyping-related costs, allocated overhead expenses, and other</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9,491</w:t>
            </w:r>
          </w:p>
        </w:tc>
      </w:tr>
      <w:tr>
        <w:trPr>
          <w:trHeight w:val="40"/>
        </w:trPr>
        <w:tc>
          <w:tcPr>
            <w:tcW w:w="97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93"/>
        </w:trPr>
        <w:tc>
          <w:tcPr>
            <w:tcW w:w="97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15,078</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120" w:firstLine="315"/>
        <w:spacing w:after="0" w:line="270" w:lineRule="auto"/>
        <w:rPr>
          <w:sz w:val="20"/>
          <w:szCs w:val="20"/>
          <w:color w:val="auto"/>
        </w:rPr>
      </w:pPr>
      <w:r>
        <w:rPr>
          <w:rFonts w:ascii="Times New Roman" w:cs="Times New Roman" w:eastAsia="Times New Roman" w:hAnsi="Times New Roman"/>
          <w:sz w:val="17"/>
          <w:szCs w:val="17"/>
          <w:color w:val="auto"/>
        </w:rPr>
        <w:t>Employee-related costs increased for the three months ended March 29, 2025, as compared to the three months ended March 30, 2024. The primary driver in the increase to employee-related costs for the three months ended March 29, 2025, as compared to the three months ended March 30, 2024, is from the increase to payroll and payroll-related costs to support the growth within our employee base. There was also an increase in the cost for contractors and consultants for the three months ended March 29, 2025, as compared to the three months ended March 30, 2024, which we use to support our growth.</w:t>
      </w:r>
    </w:p>
    <w:p>
      <w:pPr>
        <w:spacing w:after="0" w:line="12" w:lineRule="exact"/>
        <w:rPr>
          <w:sz w:val="20"/>
          <w:szCs w:val="20"/>
          <w:color w:val="auto"/>
        </w:rPr>
      </w:pPr>
    </w:p>
    <w:p>
      <w:pPr>
        <w:jc w:val="both"/>
        <w:ind w:right="100" w:firstLine="315"/>
        <w:spacing w:after="0" w:line="277" w:lineRule="auto"/>
        <w:rPr>
          <w:sz w:val="20"/>
          <w:szCs w:val="20"/>
          <w:color w:val="auto"/>
        </w:rPr>
      </w:pPr>
      <w:r>
        <w:rPr>
          <w:rFonts w:ascii="Times New Roman" w:cs="Times New Roman" w:eastAsia="Times New Roman" w:hAnsi="Times New Roman"/>
          <w:sz w:val="17"/>
          <w:szCs w:val="17"/>
          <w:color w:val="auto"/>
        </w:rPr>
        <w:t>Prototyping-related costs, allocated overhead expenses, and other expenses increased for the three months ended March 29, 2025, as compared to the three months ended March 30, 2024, primarily from an increase in prototype expenses as we implement efforts to expand our current product offerings, as well as an increase in amortization expense attributable to the intangible assets we acquired through our asset and business combination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7" w:name="page38"/>
    <w:bookmarkEnd w:id="37"/>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260" w:type="dxa"/>
            <w:vAlign w:val="bottom"/>
          </w:tcPr>
          <w:p>
            <w:pPr>
              <w:spacing w:after="0"/>
              <w:rPr>
                <w:sz w:val="18"/>
                <w:szCs w:val="18"/>
                <w:color w:val="auto"/>
              </w:rPr>
            </w:pPr>
          </w:p>
        </w:tc>
        <w:tc>
          <w:tcPr>
            <w:tcW w:w="172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tcPr>
          <w:p>
            <w:pPr>
              <w:spacing w:after="0"/>
              <w:rPr>
                <w:sz w:val="18"/>
                <w:szCs w:val="18"/>
                <w:color w:val="auto"/>
              </w:rPr>
            </w:pPr>
          </w:p>
        </w:tc>
      </w:tr>
      <w:tr>
        <w:trPr>
          <w:trHeight w:val="31"/>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2"/>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260" w:type="dxa"/>
            <w:vAlign w:val="bottom"/>
          </w:tcPr>
          <w:p>
            <w:pPr>
              <w:spacing w:after="0"/>
              <w:rPr>
                <w:sz w:val="18"/>
                <w:szCs w:val="18"/>
                <w:color w:val="auto"/>
              </w:rPr>
            </w:pPr>
          </w:p>
        </w:tc>
        <w:tc>
          <w:tcPr>
            <w:tcW w:w="1720" w:type="dxa"/>
            <w:vAlign w:val="bottom"/>
          </w:tcPr>
          <w:p>
            <w:pPr>
              <w:jc w:val="right"/>
              <w:ind w:right="91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40" w:type="dxa"/>
            <w:vAlign w:val="bottom"/>
          </w:tcPr>
          <w:p>
            <w:pPr>
              <w:jc w:val="right"/>
              <w:ind w:right="59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2"/>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gridSpan w:val="4"/>
          </w:tcPr>
          <w:p>
            <w:pPr>
              <w:jc w:val="right"/>
              <w:ind w:right="1358"/>
              <w:spacing w:after="0"/>
              <w:rPr>
                <w:sz w:val="20"/>
                <w:szCs w:val="20"/>
                <w:color w:val="auto"/>
              </w:rPr>
            </w:pPr>
            <w:r>
              <w:rPr>
                <w:rFonts w:ascii="Times New Roman" w:cs="Times New Roman" w:eastAsia="Times New Roman" w:hAnsi="Times New Roman"/>
                <w:sz w:val="16"/>
                <w:szCs w:val="16"/>
                <w:color w:val="auto"/>
              </w:rPr>
              <w:t>(dollars in thousands)</w:t>
            </w:r>
          </w:p>
        </w:tc>
        <w:tc>
          <w:tcPr>
            <w:tcW w:w="1040" w:type="dxa"/>
            <w:vAlign w:val="bottom"/>
          </w:tcPr>
          <w:p>
            <w:pPr>
              <w:spacing w:after="0"/>
              <w:rPr>
                <w:sz w:val="18"/>
                <w:szCs w:val="18"/>
                <w:color w:val="auto"/>
              </w:rPr>
            </w:pPr>
          </w:p>
        </w:tc>
      </w:tr>
      <w:tr>
        <w:trPr>
          <w:trHeight w:val="31"/>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5"/>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105,133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88,606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CCEEFF"/>
            </w:tcBorders>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rPr>
              <w:t>16,527</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r>
      <w:tr>
        <w:trPr>
          <w:trHeight w:val="236"/>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66" w:lineRule="exact"/>
        <w:rPr>
          <w:sz w:val="20"/>
          <w:szCs w:val="20"/>
          <w:color w:val="auto"/>
        </w:rPr>
      </w:pPr>
    </w:p>
    <w:p>
      <w:pPr>
        <w:ind w:right="60" w:firstLine="315"/>
        <w:spacing w:after="0" w:line="297" w:lineRule="auto"/>
        <w:rPr>
          <w:sz w:val="20"/>
          <w:szCs w:val="20"/>
          <w:color w:val="auto"/>
        </w:rPr>
      </w:pPr>
      <w:r>
        <w:rPr>
          <w:rFonts w:ascii="Times New Roman" w:cs="Times New Roman" w:eastAsia="Times New Roman" w:hAnsi="Times New Roman"/>
          <w:sz w:val="17"/>
          <w:szCs w:val="17"/>
          <w:color w:val="auto"/>
        </w:rPr>
        <w:t>The increase in research and development expenses for the six months ended March 29, 2025, as compared to the six months ended March 30, 2024, is due to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1"/>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2"/>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16"/>
              <w:spacing w:after="0"/>
              <w:rPr>
                <w:sz w:val="20"/>
                <w:szCs w:val="20"/>
                <w:color w:val="auto"/>
              </w:rPr>
            </w:pPr>
            <w:r>
              <w:rPr>
                <w:rFonts w:ascii="Times New Roman" w:cs="Times New Roman" w:eastAsia="Times New Roman" w:hAnsi="Times New Roman"/>
                <w:sz w:val="16"/>
                <w:szCs w:val="16"/>
                <w:color w:val="auto"/>
              </w:rPr>
              <w:t>(in thousands)</w:t>
            </w:r>
          </w:p>
        </w:tc>
      </w:tr>
      <w:tr>
        <w:trPr>
          <w:trHeight w:val="31"/>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5"/>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Employee-related costs</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2,970</w:t>
            </w:r>
          </w:p>
        </w:tc>
      </w:tr>
      <w:tr>
        <w:trPr>
          <w:trHeight w:val="236"/>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Prototyping-related costs, allocated overhead expenses, and other</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13,557</w:t>
            </w:r>
          </w:p>
        </w:tc>
      </w:tr>
      <w:tr>
        <w:trPr>
          <w:trHeight w:val="40"/>
        </w:trPr>
        <w:tc>
          <w:tcPr>
            <w:tcW w:w="97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93"/>
        </w:trPr>
        <w:tc>
          <w:tcPr>
            <w:tcW w:w="97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16,527</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ind w:right="160" w:firstLine="315"/>
        <w:spacing w:after="0" w:line="270" w:lineRule="auto"/>
        <w:rPr>
          <w:sz w:val="20"/>
          <w:szCs w:val="20"/>
          <w:color w:val="auto"/>
        </w:rPr>
      </w:pPr>
      <w:r>
        <w:rPr>
          <w:rFonts w:ascii="Times New Roman" w:cs="Times New Roman" w:eastAsia="Times New Roman" w:hAnsi="Times New Roman"/>
          <w:sz w:val="17"/>
          <w:szCs w:val="17"/>
          <w:color w:val="auto"/>
        </w:rPr>
        <w:t>Employee-related costs increased for the six months ended March 29, 2025, as compared to the six months ended March 30, 2024. The primary driver for the increase in employee-related costs for the six months ended March 29, 2025, as compared to the six months ended March 30, 2024, is from the increase to payroll and payroll-related costs to support the growth within our employee base. There was also an increase in the cost for contractors and consultants for the six months ended March 29, 2025, as compared to the six months ended March 30, 2024, which we use to support our growth.</w:t>
      </w:r>
    </w:p>
    <w:p>
      <w:pPr>
        <w:spacing w:after="0" w:line="12" w:lineRule="exact"/>
        <w:rPr>
          <w:sz w:val="20"/>
          <w:szCs w:val="20"/>
          <w:color w:val="auto"/>
        </w:rPr>
      </w:pPr>
    </w:p>
    <w:p>
      <w:pPr>
        <w:ind w:right="100" w:firstLine="315"/>
        <w:spacing w:after="0" w:line="277" w:lineRule="auto"/>
        <w:rPr>
          <w:sz w:val="20"/>
          <w:szCs w:val="20"/>
          <w:color w:val="auto"/>
        </w:rPr>
      </w:pPr>
      <w:r>
        <w:rPr>
          <w:rFonts w:ascii="Times New Roman" w:cs="Times New Roman" w:eastAsia="Times New Roman" w:hAnsi="Times New Roman"/>
          <w:sz w:val="17"/>
          <w:szCs w:val="17"/>
          <w:color w:val="auto"/>
        </w:rPr>
        <w:t>Prototyping-related costs, allocated overhead expenses, and other expenses increased for the six months ended March 29, 2025, as compared to the six months ended March 30, 2024, primarily from an increase in prototype expenses as we implement efforts to expand our current product offerings, as well as an increase in amortization expense attributable to the intangible assets we acquired through our asset and business combination transactions.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0" w:type="dxa"/>
            <w:vAlign w:val="bottom"/>
          </w:tcPr>
          <w:p>
            <w:pPr>
              <w:spacing w:after="0"/>
              <w:rPr>
                <w:sz w:val="18"/>
                <w:szCs w:val="18"/>
                <w:color w:val="auto"/>
              </w:rPr>
            </w:pPr>
          </w:p>
        </w:tc>
        <w:tc>
          <w:tcPr>
            <w:tcW w:w="172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tcPr>
          <w:p>
            <w:pPr>
              <w:spacing w:after="0"/>
              <w:rPr>
                <w:sz w:val="18"/>
                <w:szCs w:val="18"/>
                <w:color w:val="auto"/>
              </w:rPr>
            </w:pPr>
          </w:p>
        </w:tc>
      </w:tr>
      <w:tr>
        <w:trPr>
          <w:trHeight w:val="31"/>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2"/>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260" w:type="dxa"/>
            <w:vAlign w:val="bottom"/>
          </w:tcPr>
          <w:p>
            <w:pPr>
              <w:spacing w:after="0"/>
              <w:rPr>
                <w:sz w:val="18"/>
                <w:szCs w:val="18"/>
                <w:color w:val="auto"/>
              </w:rPr>
            </w:pPr>
          </w:p>
        </w:tc>
        <w:tc>
          <w:tcPr>
            <w:tcW w:w="1720" w:type="dxa"/>
            <w:vAlign w:val="bottom"/>
          </w:tcPr>
          <w:p>
            <w:pPr>
              <w:jc w:val="right"/>
              <w:ind w:right="91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40" w:type="dxa"/>
            <w:vAlign w:val="bottom"/>
          </w:tcPr>
          <w:p>
            <w:pPr>
              <w:jc w:val="right"/>
              <w:ind w:right="59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2"/>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gridSpan w:val="4"/>
          </w:tcPr>
          <w:p>
            <w:pPr>
              <w:jc w:val="right"/>
              <w:ind w:right="1338"/>
              <w:spacing w:after="0"/>
              <w:rPr>
                <w:sz w:val="20"/>
                <w:szCs w:val="20"/>
                <w:color w:val="auto"/>
              </w:rPr>
            </w:pPr>
            <w:r>
              <w:rPr>
                <w:rFonts w:ascii="Times New Roman" w:cs="Times New Roman" w:eastAsia="Times New Roman" w:hAnsi="Times New Roman"/>
                <w:sz w:val="16"/>
                <w:szCs w:val="16"/>
                <w:color w:val="auto"/>
              </w:rPr>
              <w:t>(dollars in thousands)</w:t>
            </w:r>
          </w:p>
        </w:tc>
        <w:tc>
          <w:tcPr>
            <w:tcW w:w="1040" w:type="dxa"/>
            <w:vAlign w:val="bottom"/>
          </w:tcPr>
          <w:p>
            <w:pPr>
              <w:spacing w:after="0"/>
              <w:rPr>
                <w:sz w:val="18"/>
                <w:szCs w:val="18"/>
                <w:color w:val="auto"/>
              </w:rPr>
            </w:pPr>
          </w:p>
        </w:tc>
      </w:tr>
      <w:tr>
        <w:trPr>
          <w:trHeight w:val="31"/>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5"/>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78,347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48,652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CCEEFF"/>
            </w:tcBorders>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rPr>
              <w:t>29,695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r>
      <w:tr>
        <w:trPr>
          <w:trHeight w:val="236"/>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0" w:lineRule="exact"/>
        <w:rPr>
          <w:sz w:val="20"/>
          <w:szCs w:val="20"/>
          <w:color w:val="auto"/>
        </w:rPr>
      </w:pPr>
    </w:p>
    <w:p>
      <w:pPr>
        <w:spacing w:after="0" w:line="307" w:lineRule="exact"/>
        <w:rPr>
          <w:sz w:val="20"/>
          <w:szCs w:val="20"/>
          <w:color w:val="auto"/>
        </w:rPr>
      </w:pPr>
    </w:p>
    <w:p>
      <w:pPr>
        <w:ind w:right="40" w:firstLine="315"/>
        <w:spacing w:after="0" w:line="297" w:lineRule="auto"/>
        <w:rPr>
          <w:sz w:val="20"/>
          <w:szCs w:val="20"/>
          <w:color w:val="auto"/>
        </w:rPr>
      </w:pPr>
      <w:r>
        <w:rPr>
          <w:rFonts w:ascii="Times New Roman" w:cs="Times New Roman" w:eastAsia="Times New Roman" w:hAnsi="Times New Roman"/>
          <w:sz w:val="17"/>
          <w:szCs w:val="17"/>
          <w:color w:val="auto"/>
        </w:rPr>
        <w:t>The increase in selling, general, and administrative expenses for the three months ended March 29, 2025, as compared to the three months ended March 30, 2024, is due to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1"/>
        </w:trPr>
        <w:tc>
          <w:tcPr>
            <w:tcW w:w="9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2"/>
        </w:trPr>
        <w:tc>
          <w:tcPr>
            <w:tcW w:w="9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36"/>
              <w:spacing w:after="0"/>
              <w:rPr>
                <w:sz w:val="20"/>
                <w:szCs w:val="20"/>
                <w:color w:val="auto"/>
              </w:rPr>
            </w:pPr>
            <w:r>
              <w:rPr>
                <w:rFonts w:ascii="Times New Roman" w:cs="Times New Roman" w:eastAsia="Times New Roman" w:hAnsi="Times New Roman"/>
                <w:sz w:val="16"/>
                <w:szCs w:val="16"/>
                <w:color w:val="auto"/>
              </w:rPr>
              <w:t>(in thousands)</w:t>
            </w:r>
          </w:p>
        </w:tc>
      </w:tr>
      <w:tr>
        <w:trPr>
          <w:trHeight w:val="31"/>
        </w:trPr>
        <w:tc>
          <w:tcPr>
            <w:tcW w:w="9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5"/>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Employee-related costs</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21,083</w:t>
            </w:r>
          </w:p>
        </w:tc>
      </w:tr>
      <w:tr>
        <w:trPr>
          <w:trHeight w:val="236"/>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Allocated overhead expenses and other</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8,612</w:t>
            </w:r>
          </w:p>
        </w:tc>
      </w:tr>
      <w:tr>
        <w:trPr>
          <w:trHeight w:val="40"/>
        </w:trPr>
        <w:tc>
          <w:tcPr>
            <w:tcW w:w="96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93"/>
        </w:trPr>
        <w:tc>
          <w:tcPr>
            <w:tcW w:w="96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29,695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100" w:firstLine="315"/>
        <w:spacing w:after="0" w:line="270" w:lineRule="auto"/>
        <w:rPr>
          <w:sz w:val="20"/>
          <w:szCs w:val="20"/>
          <w:color w:val="auto"/>
        </w:rPr>
      </w:pPr>
      <w:r>
        <w:rPr>
          <w:rFonts w:ascii="Times New Roman" w:cs="Times New Roman" w:eastAsia="Times New Roman" w:hAnsi="Times New Roman"/>
          <w:sz w:val="17"/>
          <w:szCs w:val="17"/>
          <w:color w:val="auto"/>
        </w:rPr>
        <w:t>Employee-related costs increased in the three months ended March 29, 2025, as compared to the three months ended March 30, 2024, primarily as a result of our full-time employee and contractor headcount growth within our selling, general, and administrative functions. We increased our headcount primarily to support our rapid acceleration of System Deployments and business transformation. We incurred incremental costs related to building both shorter-term as well as permanent processes and infrastructure to ramp partnerships and operations.</w:t>
      </w:r>
    </w:p>
    <w:p>
      <w:pPr>
        <w:spacing w:after="0" w:line="12" w:lineRule="exact"/>
        <w:rPr>
          <w:sz w:val="20"/>
          <w:szCs w:val="20"/>
          <w:color w:val="auto"/>
        </w:rPr>
      </w:pPr>
    </w:p>
    <w:p>
      <w:pPr>
        <w:ind w:right="60" w:firstLine="315"/>
        <w:spacing w:after="0" w:line="270" w:lineRule="auto"/>
        <w:rPr>
          <w:sz w:val="20"/>
          <w:szCs w:val="20"/>
          <w:color w:val="auto"/>
        </w:rPr>
      </w:pPr>
      <w:r>
        <w:rPr>
          <w:rFonts w:ascii="Times New Roman" w:cs="Times New Roman" w:eastAsia="Times New Roman" w:hAnsi="Times New Roman"/>
          <w:sz w:val="17"/>
          <w:szCs w:val="17"/>
          <w:color w:val="auto"/>
        </w:rPr>
        <w:t>Allocated overhead and other expenses increased in the three months ended March 29, 2025, as compared to the three months ended March 30, 2024, primarily due to an increase in information technology related costs to support growth within our employee base and infrastructure, as well as an increase in audit, tax, and legal expenses. The increase in audit, tax, and legal expenses for the three months ended March 29, 2025, as compared to the three months ended March 30, 2024, is</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38" w:name="page39"/>
    <w:bookmarkEnd w:id="38"/>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primarily attributable to increased professional services fees related to strategic acquisitions and our internal controls remediation.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260" w:type="dxa"/>
            <w:vAlign w:val="bottom"/>
          </w:tcPr>
          <w:p>
            <w:pPr>
              <w:spacing w:after="0"/>
              <w:rPr>
                <w:sz w:val="18"/>
                <w:szCs w:val="18"/>
                <w:color w:val="auto"/>
              </w:rPr>
            </w:pPr>
          </w:p>
        </w:tc>
        <w:tc>
          <w:tcPr>
            <w:tcW w:w="172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tcPr>
          <w:p>
            <w:pPr>
              <w:spacing w:after="0"/>
              <w:rPr>
                <w:sz w:val="18"/>
                <w:szCs w:val="18"/>
                <w:color w:val="auto"/>
              </w:rPr>
            </w:pPr>
          </w:p>
        </w:tc>
      </w:tr>
      <w:tr>
        <w:trPr>
          <w:trHeight w:val="31"/>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2"/>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260" w:type="dxa"/>
            <w:vAlign w:val="bottom"/>
          </w:tcPr>
          <w:p>
            <w:pPr>
              <w:spacing w:after="0"/>
              <w:rPr>
                <w:sz w:val="18"/>
                <w:szCs w:val="18"/>
                <w:color w:val="auto"/>
              </w:rPr>
            </w:pPr>
          </w:p>
        </w:tc>
        <w:tc>
          <w:tcPr>
            <w:tcW w:w="1720" w:type="dxa"/>
            <w:vAlign w:val="bottom"/>
          </w:tcPr>
          <w:p>
            <w:pPr>
              <w:jc w:val="right"/>
              <w:ind w:right="91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40" w:type="dxa"/>
            <w:vAlign w:val="bottom"/>
          </w:tcPr>
          <w:p>
            <w:pPr>
              <w:jc w:val="right"/>
              <w:ind w:right="59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2"/>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gridSpan w:val="4"/>
          </w:tcPr>
          <w:p>
            <w:pPr>
              <w:jc w:val="right"/>
              <w:ind w:right="1358"/>
              <w:spacing w:after="0"/>
              <w:rPr>
                <w:sz w:val="20"/>
                <w:szCs w:val="20"/>
                <w:color w:val="auto"/>
              </w:rPr>
            </w:pPr>
            <w:r>
              <w:rPr>
                <w:rFonts w:ascii="Times New Roman" w:cs="Times New Roman" w:eastAsia="Times New Roman" w:hAnsi="Times New Roman"/>
                <w:sz w:val="16"/>
                <w:szCs w:val="16"/>
                <w:color w:val="auto"/>
              </w:rPr>
              <w:t>(dollars in thousands)</w:t>
            </w:r>
          </w:p>
        </w:tc>
        <w:tc>
          <w:tcPr>
            <w:tcW w:w="1040" w:type="dxa"/>
            <w:vAlign w:val="bottom"/>
          </w:tcPr>
          <w:p>
            <w:pPr>
              <w:spacing w:after="0"/>
              <w:rPr>
                <w:sz w:val="18"/>
                <w:szCs w:val="18"/>
                <w:color w:val="auto"/>
              </w:rPr>
            </w:pPr>
          </w:p>
        </w:tc>
      </w:tr>
      <w:tr>
        <w:trPr>
          <w:trHeight w:val="31"/>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5"/>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139,421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95,663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CCEEFF"/>
            </w:tcBorders>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rPr>
              <w:t>43,758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46 %</w:t>
            </w:r>
          </w:p>
        </w:tc>
      </w:tr>
      <w:tr>
        <w:trPr>
          <w:trHeight w:val="236"/>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66" w:lineRule="exact"/>
        <w:rPr>
          <w:sz w:val="20"/>
          <w:szCs w:val="20"/>
          <w:color w:val="auto"/>
        </w:rPr>
      </w:pPr>
    </w:p>
    <w:p>
      <w:pPr>
        <w:ind w:right="320" w:firstLine="315"/>
        <w:spacing w:after="0" w:line="297" w:lineRule="auto"/>
        <w:rPr>
          <w:sz w:val="20"/>
          <w:szCs w:val="20"/>
          <w:color w:val="auto"/>
        </w:rPr>
      </w:pPr>
      <w:r>
        <w:rPr>
          <w:rFonts w:ascii="Times New Roman" w:cs="Times New Roman" w:eastAsia="Times New Roman" w:hAnsi="Times New Roman"/>
          <w:sz w:val="17"/>
          <w:szCs w:val="17"/>
          <w:color w:val="auto"/>
        </w:rPr>
        <w:t>The increase in selling, general, and administrative expenses for the six months ended March 29, 2025, as compared to the six months ended March 30, 2024, is due to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1"/>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2"/>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16"/>
              <w:spacing w:after="0"/>
              <w:rPr>
                <w:sz w:val="20"/>
                <w:szCs w:val="20"/>
                <w:color w:val="auto"/>
              </w:rPr>
            </w:pPr>
            <w:r>
              <w:rPr>
                <w:rFonts w:ascii="Times New Roman" w:cs="Times New Roman" w:eastAsia="Times New Roman" w:hAnsi="Times New Roman"/>
                <w:sz w:val="16"/>
                <w:szCs w:val="16"/>
                <w:color w:val="auto"/>
              </w:rPr>
              <w:t>(in thousands)</w:t>
            </w:r>
          </w:p>
        </w:tc>
      </w:tr>
      <w:tr>
        <w:trPr>
          <w:trHeight w:val="31"/>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5"/>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Employee-related costs</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26,552</w:t>
            </w:r>
          </w:p>
        </w:tc>
      </w:tr>
      <w:tr>
        <w:trPr>
          <w:trHeight w:val="236"/>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Allocated overhead expenses and other</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17,206</w:t>
            </w:r>
          </w:p>
        </w:tc>
      </w:tr>
      <w:tr>
        <w:trPr>
          <w:trHeight w:val="40"/>
        </w:trPr>
        <w:tc>
          <w:tcPr>
            <w:tcW w:w="97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93"/>
        </w:trPr>
        <w:tc>
          <w:tcPr>
            <w:tcW w:w="97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43,758</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right="100" w:firstLine="315"/>
        <w:spacing w:after="0" w:line="270" w:lineRule="auto"/>
        <w:rPr>
          <w:sz w:val="20"/>
          <w:szCs w:val="20"/>
          <w:color w:val="auto"/>
        </w:rPr>
      </w:pPr>
      <w:r>
        <w:rPr>
          <w:rFonts w:ascii="Times New Roman" w:cs="Times New Roman" w:eastAsia="Times New Roman" w:hAnsi="Times New Roman"/>
          <w:sz w:val="17"/>
          <w:szCs w:val="17"/>
          <w:color w:val="auto"/>
        </w:rPr>
        <w:t>Employee-related costs increased in the six months ended March 29, 2025, as compared to the six months ended March 30, 2024, primarily as a result of our full-time employee and contractor headcount growth within our selling, general, and administrative functions. We increased our headcount primarily to support our rapid acceleration of System Deployments and business transformation. We incurred incremental costs related to building both shorter-term as well as permanent processes and infrastructure to ramp partnerships and operations.</w:t>
      </w:r>
    </w:p>
    <w:p>
      <w:pPr>
        <w:spacing w:after="0" w:line="12" w:lineRule="exact"/>
        <w:rPr>
          <w:sz w:val="20"/>
          <w:szCs w:val="20"/>
          <w:color w:val="auto"/>
        </w:rPr>
      </w:pPr>
    </w:p>
    <w:p>
      <w:pPr>
        <w:ind w:right="60" w:firstLine="315"/>
        <w:spacing w:after="0" w:line="270" w:lineRule="auto"/>
        <w:rPr>
          <w:sz w:val="20"/>
          <w:szCs w:val="20"/>
          <w:color w:val="auto"/>
        </w:rPr>
      </w:pPr>
      <w:r>
        <w:rPr>
          <w:rFonts w:ascii="Times New Roman" w:cs="Times New Roman" w:eastAsia="Times New Roman" w:hAnsi="Times New Roman"/>
          <w:sz w:val="17"/>
          <w:szCs w:val="17"/>
          <w:color w:val="auto"/>
        </w:rPr>
        <w:t>Allocated overhead and other expenses increased in the six months ended March 29, 2025, as compared to the six months ended March 30, 2024, primarily due to an increase in information technology related costs to support growth within our employee base and infrastructure, as well as an increase in audit, tax, and legal expenses. The increase in audit, tax, and legal expenses for the six months ended March 29, 2025, as compared to the six months ended March 30, 2024, is primarily attributable to increased professional services fees related to strategic acquisitions and our internal controls remediation.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net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31"/>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2"/>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30,</w:t>
            </w:r>
          </w:p>
        </w:tc>
        <w:tc>
          <w:tcPr>
            <w:tcW w:w="60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ind w:right="91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right"/>
              <w:ind w:right="59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2"/>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jc w:val="right"/>
              <w:ind w:right="1338"/>
              <w:spacing w:after="0"/>
              <w:rPr>
                <w:sz w:val="20"/>
                <w:szCs w:val="20"/>
                <w:color w:val="auto"/>
              </w:rPr>
            </w:pPr>
            <w:r>
              <w:rPr>
                <w:rFonts w:ascii="Times New Roman" w:cs="Times New Roman" w:eastAsia="Times New Roman" w:hAnsi="Times New Roman"/>
                <w:sz w:val="16"/>
                <w:szCs w:val="16"/>
                <w:color w:val="auto"/>
              </w:rPr>
              <w:t>(dollars in thousands)</w:t>
            </w:r>
          </w:p>
        </w:tc>
        <w:tc>
          <w:tcPr>
            <w:tcW w:w="1060" w:type="dxa"/>
            <w:vAlign w:val="bottom"/>
          </w:tcPr>
          <w:p>
            <w:pPr>
              <w:spacing w:after="0"/>
              <w:rPr>
                <w:sz w:val="18"/>
                <w:szCs w:val="18"/>
                <w:color w:val="auto"/>
              </w:rPr>
            </w:pPr>
          </w:p>
        </w:tc>
      </w:tr>
      <w:tr>
        <w:trPr>
          <w:trHeight w:val="31"/>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5"/>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11,714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99"/>
              </w:rPr>
              <w:t>9,812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CCEEFF"/>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1,902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r>
      <w:tr>
        <w:trPr>
          <w:trHeight w:val="236"/>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66" w:lineRule="exact"/>
        <w:rPr>
          <w:sz w:val="20"/>
          <w:szCs w:val="20"/>
          <w:color w:val="auto"/>
        </w:rPr>
      </w:pPr>
    </w:p>
    <w:p>
      <w:pPr>
        <w:ind w:right="220" w:firstLine="315"/>
        <w:spacing w:after="0" w:line="297" w:lineRule="auto"/>
        <w:rPr>
          <w:sz w:val="20"/>
          <w:szCs w:val="20"/>
          <w:color w:val="auto"/>
        </w:rPr>
      </w:pPr>
      <w:r>
        <w:rPr>
          <w:rFonts w:ascii="Times New Roman" w:cs="Times New Roman" w:eastAsia="Times New Roman" w:hAnsi="Times New Roman"/>
          <w:sz w:val="17"/>
          <w:szCs w:val="17"/>
          <w:color w:val="auto"/>
        </w:rPr>
        <w:t>The increase in other income, net for the three months ended March 29, 2025, as compared to the three months ended March 30, 2024, was due to higher interest earned on invested cash balances and marketable securities as well as a higher cash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9" w:name="page40"/>
    <w:bookmarkEnd w:id="39"/>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260" w:type="dxa"/>
            <w:vAlign w:val="bottom"/>
          </w:tcPr>
          <w:p>
            <w:pPr>
              <w:spacing w:after="0"/>
              <w:rPr>
                <w:sz w:val="18"/>
                <w:szCs w:val="18"/>
                <w:color w:val="auto"/>
              </w:rPr>
            </w:pPr>
          </w:p>
        </w:tc>
        <w:tc>
          <w:tcPr>
            <w:tcW w:w="1720" w:type="dxa"/>
            <w:vAlign w:val="bottom"/>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31"/>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2"/>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2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260" w:type="dxa"/>
            <w:vAlign w:val="bottom"/>
          </w:tcPr>
          <w:p>
            <w:pPr>
              <w:spacing w:after="0"/>
              <w:rPr>
                <w:sz w:val="18"/>
                <w:szCs w:val="18"/>
                <w:color w:val="auto"/>
              </w:rPr>
            </w:pPr>
          </w:p>
        </w:tc>
        <w:tc>
          <w:tcPr>
            <w:tcW w:w="1720" w:type="dxa"/>
            <w:vAlign w:val="bottom"/>
          </w:tcPr>
          <w:p>
            <w:pPr>
              <w:jc w:val="right"/>
              <w:ind w:right="91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right"/>
              <w:ind w:right="59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2"/>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4"/>
          </w:tcPr>
          <w:p>
            <w:pPr>
              <w:jc w:val="right"/>
              <w:ind w:right="1338"/>
              <w:spacing w:after="0"/>
              <w:rPr>
                <w:sz w:val="20"/>
                <w:szCs w:val="20"/>
                <w:color w:val="auto"/>
              </w:rPr>
            </w:pPr>
            <w:r>
              <w:rPr>
                <w:rFonts w:ascii="Times New Roman" w:cs="Times New Roman" w:eastAsia="Times New Roman" w:hAnsi="Times New Roman"/>
                <w:sz w:val="16"/>
                <w:szCs w:val="16"/>
                <w:color w:val="auto"/>
              </w:rPr>
              <w:t>(dollars in thousands)</w:t>
            </w:r>
          </w:p>
        </w:tc>
        <w:tc>
          <w:tcPr>
            <w:tcW w:w="1060" w:type="dxa"/>
            <w:vAlign w:val="bottom"/>
          </w:tcPr>
          <w:p>
            <w:pPr>
              <w:spacing w:after="0"/>
              <w:rPr>
                <w:sz w:val="18"/>
                <w:szCs w:val="18"/>
                <w:color w:val="auto"/>
              </w:rPr>
            </w:pPr>
          </w:p>
        </w:tc>
      </w:tr>
      <w:tr>
        <w:trPr>
          <w:trHeight w:val="31"/>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5"/>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19,536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16,011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CCEEFF"/>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3,525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r>
      <w:tr>
        <w:trPr>
          <w:trHeight w:val="236"/>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66" w:lineRule="exact"/>
        <w:rPr>
          <w:sz w:val="20"/>
          <w:szCs w:val="20"/>
          <w:color w:val="auto"/>
        </w:rPr>
      </w:pPr>
    </w:p>
    <w:p>
      <w:pPr>
        <w:ind w:right="520" w:firstLine="315"/>
        <w:spacing w:after="0" w:line="297" w:lineRule="auto"/>
        <w:rPr>
          <w:sz w:val="20"/>
          <w:szCs w:val="20"/>
          <w:color w:val="auto"/>
        </w:rPr>
      </w:pPr>
      <w:r>
        <w:rPr>
          <w:rFonts w:ascii="Times New Roman" w:cs="Times New Roman" w:eastAsia="Times New Roman" w:hAnsi="Times New Roman"/>
          <w:sz w:val="17"/>
          <w:szCs w:val="17"/>
          <w:color w:val="auto"/>
        </w:rPr>
        <w:t>The increase in other income, net for the six months ended March 29, 2025, as compared to the six months ended March 30, 2024, was due to higher interest earned on invested cash balances and marketable securities as well as a higher cash balance.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80" w:type="dxa"/>
            <w:vAlign w:val="bottom"/>
          </w:tcPr>
          <w:p>
            <w:pPr>
              <w:spacing w:after="0"/>
              <w:rPr>
                <w:sz w:val="18"/>
                <w:szCs w:val="18"/>
                <w:color w:val="auto"/>
              </w:rPr>
            </w:pPr>
          </w:p>
        </w:tc>
        <w:tc>
          <w:tcPr>
            <w:tcW w:w="174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8"/>
                <w:szCs w:val="18"/>
                <w:color w:val="auto"/>
              </w:rPr>
            </w:pPr>
          </w:p>
        </w:tc>
      </w:tr>
      <w:tr>
        <w:trPr>
          <w:trHeight w:val="31"/>
        </w:trPr>
        <w:tc>
          <w:tcPr>
            <w:tcW w:w="5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2"/>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w w:val="99"/>
              </w:rPr>
              <w:t>March 29, 2025</w:t>
            </w:r>
          </w:p>
        </w:tc>
        <w:tc>
          <w:tcPr>
            <w:tcW w:w="20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280" w:type="dxa"/>
            <w:vAlign w:val="bottom"/>
          </w:tcPr>
          <w:p>
            <w:pPr>
              <w:spacing w:after="0"/>
              <w:rPr>
                <w:sz w:val="18"/>
                <w:szCs w:val="18"/>
                <w:color w:val="auto"/>
              </w:rPr>
            </w:pPr>
          </w:p>
        </w:tc>
        <w:tc>
          <w:tcPr>
            <w:tcW w:w="1740" w:type="dxa"/>
            <w:vAlign w:val="bottom"/>
          </w:tcPr>
          <w:p>
            <w:pPr>
              <w:jc w:val="right"/>
              <w:ind w:right="93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tcPr>
          <w:p>
            <w:pPr>
              <w:jc w:val="right"/>
              <w:ind w:right="61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5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2"/>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0" w:type="dxa"/>
            <w:vAlign w:val="bottom"/>
            <w:gridSpan w:val="4"/>
          </w:tcPr>
          <w:p>
            <w:pPr>
              <w:jc w:val="right"/>
              <w:ind w:right="1238"/>
              <w:spacing w:after="0"/>
              <w:rPr>
                <w:sz w:val="20"/>
                <w:szCs w:val="20"/>
                <w:color w:val="auto"/>
              </w:rPr>
            </w:pPr>
            <w:r>
              <w:rPr>
                <w:rFonts w:ascii="Times New Roman" w:cs="Times New Roman" w:eastAsia="Times New Roman" w:hAnsi="Times New Roman"/>
                <w:sz w:val="16"/>
                <w:szCs w:val="16"/>
                <w:color w:val="auto"/>
              </w:rPr>
              <w:t>(dollars in thousands)</w:t>
            </w:r>
          </w:p>
        </w:tc>
        <w:tc>
          <w:tcPr>
            <w:tcW w:w="1080" w:type="dxa"/>
            <w:vAlign w:val="bottom"/>
          </w:tcPr>
          <w:p>
            <w:pPr>
              <w:spacing w:after="0"/>
              <w:rPr>
                <w:sz w:val="18"/>
                <w:szCs w:val="18"/>
                <w:color w:val="auto"/>
              </w:rPr>
            </w:pPr>
          </w:p>
        </w:tc>
      </w:tr>
      <w:tr>
        <w:trPr>
          <w:trHeight w:val="31"/>
        </w:trPr>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1,397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CCEEFF"/>
            </w:tcBorders>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rPr>
              <w:t>1,145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454 %</w:t>
            </w:r>
          </w:p>
        </w:tc>
      </w:tr>
      <w:tr>
        <w:trPr>
          <w:trHeight w:val="236"/>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200" w:type="dxa"/>
            <w:vAlign w:val="bottom"/>
          </w:tcPr>
          <w:p>
            <w:pPr>
              <w:spacing w:after="0"/>
              <w:rPr>
                <w:sz w:val="20"/>
                <w:szCs w:val="20"/>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nil</w:t>
            </w: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53" w:lineRule="exact"/>
        <w:rPr>
          <w:sz w:val="20"/>
          <w:szCs w:val="20"/>
          <w:color w:val="auto"/>
        </w:rPr>
      </w:pPr>
    </w:p>
    <w:p>
      <w:pPr>
        <w:ind w:right="240" w:firstLine="315"/>
        <w:spacing w:after="0" w:line="297" w:lineRule="auto"/>
        <w:rPr>
          <w:sz w:val="20"/>
          <w:szCs w:val="20"/>
          <w:color w:val="auto"/>
        </w:rPr>
      </w:pPr>
      <w:r>
        <w:rPr>
          <w:rFonts w:ascii="Times New Roman" w:cs="Times New Roman" w:eastAsia="Times New Roman" w:hAnsi="Times New Roman"/>
          <w:sz w:val="17"/>
          <w:szCs w:val="17"/>
          <w:color w:val="auto"/>
        </w:rPr>
        <w:t>The increase in income tax benefit for the three months ended March 29, 2025, as compared to the three months ended March 30, 2024, is attributable to the expense related to current state income taxes offset by the partial release of the valuation allowance in connection with the ASR Acquisition.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8"/>
                <w:szCs w:val="18"/>
                <w:color w:val="auto"/>
              </w:rPr>
            </w:pPr>
          </w:p>
        </w:tc>
      </w:tr>
      <w:tr>
        <w:trPr>
          <w:trHeight w:val="31"/>
        </w:trPr>
        <w:tc>
          <w:tcPr>
            <w:tcW w:w="5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2"/>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w w:val="99"/>
              </w:rPr>
              <w:t>March 29, 2025</w:t>
            </w:r>
          </w:p>
        </w:tc>
        <w:tc>
          <w:tcPr>
            <w:tcW w:w="158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280" w:type="dxa"/>
            <w:vAlign w:val="bottom"/>
          </w:tcPr>
          <w:p>
            <w:pPr>
              <w:spacing w:after="0"/>
              <w:rPr>
                <w:sz w:val="18"/>
                <w:szCs w:val="18"/>
                <w:color w:val="auto"/>
              </w:rPr>
            </w:pPr>
          </w:p>
        </w:tc>
        <w:tc>
          <w:tcPr>
            <w:tcW w:w="1740" w:type="dxa"/>
            <w:vAlign w:val="bottom"/>
          </w:tcPr>
          <w:p>
            <w:pPr>
              <w:jc w:val="right"/>
              <w:ind w:right="93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tcPr>
          <w:p>
            <w:pPr>
              <w:jc w:val="right"/>
              <w:ind w:right="61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5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2"/>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80" w:type="dxa"/>
            <w:vAlign w:val="bottom"/>
            <w:gridSpan w:val="4"/>
          </w:tcPr>
          <w:p>
            <w:pPr>
              <w:jc w:val="right"/>
              <w:ind w:right="1238"/>
              <w:spacing w:after="0"/>
              <w:rPr>
                <w:sz w:val="20"/>
                <w:szCs w:val="20"/>
                <w:color w:val="auto"/>
              </w:rPr>
            </w:pPr>
            <w:r>
              <w:rPr>
                <w:rFonts w:ascii="Times New Roman" w:cs="Times New Roman" w:eastAsia="Times New Roman" w:hAnsi="Times New Roman"/>
                <w:sz w:val="16"/>
                <w:szCs w:val="16"/>
                <w:color w:val="auto"/>
                <w:w w:val="96"/>
              </w:rPr>
              <w:t>(dollars in thousands)</w:t>
            </w:r>
          </w:p>
        </w:tc>
        <w:tc>
          <w:tcPr>
            <w:tcW w:w="1080" w:type="dxa"/>
            <w:vAlign w:val="bottom"/>
          </w:tcPr>
          <w:p>
            <w:pPr>
              <w:spacing w:after="0"/>
              <w:rPr>
                <w:sz w:val="18"/>
                <w:szCs w:val="18"/>
                <w:color w:val="auto"/>
              </w:rPr>
            </w:pPr>
          </w:p>
        </w:tc>
      </w:tr>
      <w:tr>
        <w:trPr>
          <w:trHeight w:val="31"/>
        </w:trPr>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1,248</w:t>
            </w:r>
          </w:p>
        </w:tc>
        <w:tc>
          <w:tcPr>
            <w:tcW w:w="920" w:type="dxa"/>
            <w:vAlign w:val="bottom"/>
            <w:tcBorders>
              <w:bottom w:val="single" w:sz="8" w:color="CCEEFF"/>
            </w:tcBorders>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CCEEFF"/>
            </w:tcBorders>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rPr>
              <w:t>1,168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1460 %</w:t>
            </w:r>
          </w:p>
        </w:tc>
      </w:tr>
      <w:tr>
        <w:trPr>
          <w:trHeight w:val="236"/>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920" w:type="dxa"/>
            <w:vAlign w:val="bottom"/>
          </w:tcPr>
          <w:p>
            <w:pPr>
              <w:spacing w:after="0"/>
              <w:rPr>
                <w:sz w:val="20"/>
                <w:szCs w:val="20"/>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nil</w:t>
            </w: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18" w:lineRule="exact"/>
        <w:rPr>
          <w:sz w:val="20"/>
          <w:szCs w:val="20"/>
          <w:color w:val="auto"/>
        </w:rPr>
      </w:pPr>
    </w:p>
    <w:p>
      <w:pPr>
        <w:ind w:right="280" w:firstLine="315"/>
        <w:spacing w:after="0" w:line="297" w:lineRule="auto"/>
        <w:rPr>
          <w:sz w:val="20"/>
          <w:szCs w:val="20"/>
          <w:color w:val="auto"/>
        </w:rPr>
      </w:pPr>
      <w:r>
        <w:rPr>
          <w:rFonts w:ascii="Times New Roman" w:cs="Times New Roman" w:eastAsia="Times New Roman" w:hAnsi="Times New Roman"/>
          <w:sz w:val="17"/>
          <w:szCs w:val="17"/>
          <w:color w:val="auto"/>
        </w:rPr>
        <w:t>The increase in income tax benefit for the six months ended March 29, 2025, as compared to the six months ended March 30, 2024, is attributable to the expense related to current state income taxes offset by the partial release of the valuation allowance in connection with the ASR Acquisition.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21" w:lineRule="exact"/>
        <w:rPr>
          <w:sz w:val="20"/>
          <w:szCs w:val="20"/>
          <w:color w:val="auto"/>
        </w:rPr>
      </w:pPr>
    </w:p>
    <w:p>
      <w:pPr>
        <w:ind w:right="20" w:firstLine="315"/>
        <w:spacing w:after="0" w:line="267" w:lineRule="auto"/>
        <w:rPr>
          <w:sz w:val="20"/>
          <w:szCs w:val="20"/>
          <w:color w:val="auto"/>
        </w:rPr>
      </w:pPr>
      <w:r>
        <w:rPr>
          <w:rFonts w:ascii="Times New Roman" w:cs="Times New Roman" w:eastAsia="Times New Roman" w:hAnsi="Times New Roman"/>
          <w:sz w:val="17"/>
          <w:szCs w:val="17"/>
          <w:color w:val="auto"/>
        </w:rPr>
        <w:t>In addition to providing financial measurements based on GAAP, we provide additional financial metrics that are not prepared in accordance with GAAP, or non-GAAP financial measures. We use these non-GAAP financial measures, in addition to GAAP financial measures, to understand and compare operating results across accounting periods, for financial and operational decision making, for planning and forecasting purposes, to measure executive compensation, and to evaluate our financial performance. These non-GAAP financial measures are Adjusted EBITDA, Adjusted gross profit, Adjusted gross profit margin, and free cash flow, as discussed below.</w:t>
      </w:r>
    </w:p>
    <w:p>
      <w:pPr>
        <w:spacing w:after="0" w:line="14" w:lineRule="exact"/>
        <w:rPr>
          <w:sz w:val="20"/>
          <w:szCs w:val="20"/>
          <w:color w:val="auto"/>
        </w:rPr>
      </w:pPr>
    </w:p>
    <w:p>
      <w:pPr>
        <w:jc w:val="both"/>
        <w:ind w:right="360" w:firstLine="315"/>
        <w:spacing w:after="0" w:line="270" w:lineRule="auto"/>
        <w:rPr>
          <w:sz w:val="20"/>
          <w:szCs w:val="20"/>
          <w:color w:val="auto"/>
        </w:rPr>
      </w:pPr>
      <w:r>
        <w:rPr>
          <w:rFonts w:ascii="Times New Roman" w:cs="Times New Roman" w:eastAsia="Times New Roman" w:hAnsi="Times New Roman"/>
          <w:sz w:val="17"/>
          <w:szCs w:val="17"/>
          <w:color w:val="auto"/>
        </w:rPr>
        <w:t>We believe that these non-GAAP financial measures reflect our ongoing business in a manner that allows for meaningful comparisons and analysis of trends in the business, as it facilitates comparing financial results across accounting periods and to those of peer companies. We also believe that these non-GAAP financial measures enable investors to evaluate our operating results and future prospects in the same manner as we do. These non-GAAP financial measures may exclude expenses and gains that may be unusual in nature, infrequent, or not reflective of our ongoing operating results.</w:t>
      </w:r>
    </w:p>
    <w:p>
      <w:pPr>
        <w:spacing w:after="0" w:line="12" w:lineRule="exact"/>
        <w:rPr>
          <w:sz w:val="20"/>
          <w:szCs w:val="20"/>
          <w:color w:val="auto"/>
        </w:rPr>
      </w:pPr>
    </w:p>
    <w:p>
      <w:pPr>
        <w:ind w:right="240" w:firstLine="315"/>
        <w:spacing w:after="0" w:line="289" w:lineRule="auto"/>
        <w:rPr>
          <w:sz w:val="20"/>
          <w:szCs w:val="20"/>
          <w:color w:val="auto"/>
        </w:rPr>
      </w:pPr>
      <w:r>
        <w:rPr>
          <w:rFonts w:ascii="Times New Roman" w:cs="Times New Roman" w:eastAsia="Times New Roman" w:hAnsi="Times New Roman"/>
          <w:sz w:val="17"/>
          <w:szCs w:val="17"/>
          <w:color w:val="auto"/>
        </w:rPr>
        <w:t>The non-GAAP financial measures do not replace the presentation of our GAAP financial measures and should only be used as a supplement to, not as a substitute for, our financial results presented in accordance with GAAP.</w:t>
      </w:r>
    </w:p>
    <w:p>
      <w:pPr>
        <w:spacing w:after="0" w:line="1" w:lineRule="exact"/>
        <w:rPr>
          <w:sz w:val="20"/>
          <w:szCs w:val="20"/>
          <w:color w:val="auto"/>
        </w:rPr>
      </w:pPr>
    </w:p>
    <w:p>
      <w:pPr>
        <w:ind w:firstLine="315"/>
        <w:spacing w:after="0" w:line="270" w:lineRule="auto"/>
        <w:rPr>
          <w:sz w:val="20"/>
          <w:szCs w:val="20"/>
          <w:color w:val="auto"/>
        </w:rPr>
      </w:pPr>
      <w:r>
        <w:rPr>
          <w:rFonts w:ascii="Times New Roman" w:cs="Times New Roman" w:eastAsia="Times New Roman" w:hAnsi="Times New Roman"/>
          <w:sz w:val="17"/>
          <w:szCs w:val="17"/>
          <w:color w:val="auto"/>
        </w:rPr>
        <w:t>We consider Adjusted EBITDA to be an important indicator of the operational strength and performance of our business and a good measure of our historical operating trends. Adjusted EBITDA eliminates items that we do not consider to be part of our core operations. We define Adjusted EBITDA as GAAP net loss excluding the following items: interest income; income taxes; depreciation and amortization of tangible and intangible assets; stock-based compensation; business combination transaction expenses; equity method investment; internal control remediation; business transformation costs;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0" w:name="page41"/>
    <w:bookmarkEnd w:id="40"/>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value adjustments on strategic investments; restructuring charges; joint venture formation fees; equity financing transaction costs; and other infrequent items that may arise from time to time.</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non-GAAP adjustments, and our basis for excluding them from our non-GAAP financial measures, are outlined below:</w:t>
      </w:r>
    </w:p>
    <w:p>
      <w:pPr>
        <w:spacing w:after="0" w:line="65" w:lineRule="exact"/>
        <w:rPr>
          <w:sz w:val="20"/>
          <w:szCs w:val="20"/>
          <w:color w:val="auto"/>
        </w:rPr>
      </w:pPr>
    </w:p>
    <w:p>
      <w:pPr>
        <w:ind w:left="320" w:right="60" w:hanging="315"/>
        <w:spacing w:after="0" w:line="266"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color w:val="auto"/>
        </w:rPr>
        <w:t>– Although stock-based compensation is an important aspect of the compensation paid to our employees, the grant date fair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value varies based on the derived stock price at the time of grant, varying valuation methodologies, subjective assumptions, and the variety of award types. This makes the comparison of our current financial results to previous and future periods difficult to interpret; therefore, we believe it is useful to exclude stock-based compensation from our non-GAAP financial measures in order to highlight the performance of our business and to be consistent with the way many investors evaluate our performance and compare our operating results to peer companies. Our stock-based compensation non-GAAP financial measures exclusion includes non-cash stock-based compensation expense and payroll taxes related to stock-based compensation awards.</w:t>
      </w:r>
    </w:p>
    <w:p>
      <w:pPr>
        <w:spacing w:after="0" w:line="11" w:lineRule="exact"/>
        <w:rPr>
          <w:rFonts w:ascii="Times New Roman" w:cs="Times New Roman" w:eastAsia="Times New Roman" w:hAnsi="Times New Roman"/>
          <w:sz w:val="17"/>
          <w:szCs w:val="17"/>
          <w:color w:val="auto"/>
        </w:rPr>
      </w:pPr>
    </w:p>
    <w:p>
      <w:pPr>
        <w:ind w:left="320" w:right="20" w:hanging="315"/>
        <w:spacing w:after="0" w:line="266" w:lineRule="auto"/>
        <w:tabs>
          <w:tab w:leader="none" w:pos="31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combination transaction expenses </w:t>
      </w:r>
      <w:r>
        <w:rPr>
          <w:rFonts w:ascii="Times New Roman" w:cs="Times New Roman" w:eastAsia="Times New Roman" w:hAnsi="Times New Roman"/>
          <w:sz w:val="17"/>
          <w:szCs w:val="17"/>
          <w:color w:val="auto"/>
        </w:rPr>
        <w:t>– Business combination transaction expenses represent the expenses incurred related to strategic acquisition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opportunities. It primarily includes investment banker fees, legal fees, professional fees for accountants, transaction fees, advisory fees, due diligence costs, certain other professional fees, and other direct costs associated with strategic activities. These amounts are impacted by the timing of the strategic acquisition opportunities which we may pursue. We exclude business combination transaction expenses from our non-GAAP financial measures to provide a useful comparison of our operating results to prior periods and to peer companies because such amounts vary significantly based on the magnitude of the transaction and do not reflect our core operations.</w:t>
      </w:r>
    </w:p>
    <w:p>
      <w:pPr>
        <w:spacing w:after="0" w:line="11" w:lineRule="exact"/>
        <w:rPr>
          <w:rFonts w:ascii="Times New Roman" w:cs="Times New Roman" w:eastAsia="Times New Roman" w:hAnsi="Times New Roman"/>
          <w:sz w:val="17"/>
          <w:szCs w:val="17"/>
          <w:b w:val="1"/>
          <w:bCs w:val="1"/>
          <w:color w:val="auto"/>
        </w:rPr>
      </w:pPr>
    </w:p>
    <w:p>
      <w:pPr>
        <w:ind w:left="320" w:right="60" w:hanging="315"/>
        <w:spacing w:after="0" w:line="278" w:lineRule="auto"/>
        <w:tabs>
          <w:tab w:leader="none" w:pos="31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 method investment </w:t>
      </w:r>
      <w:r>
        <w:rPr>
          <w:rFonts w:ascii="Times New Roman" w:cs="Times New Roman" w:eastAsia="Times New Roman" w:hAnsi="Times New Roman"/>
          <w:sz w:val="17"/>
          <w:szCs w:val="17"/>
          <w:color w:val="auto"/>
        </w:rPr>
        <w:t>– Equity method investment represents our proportionate share of income or loss of unconsolidated variable interest entities.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We exclude this from our non-GAAP financial measures to provide a useful comparison of our operating results to prior periods and to our peer companies because such amounts are not representative of our normal operating activities.</w:t>
      </w:r>
    </w:p>
    <w:p>
      <w:pPr>
        <w:spacing w:after="0" w:line="2" w:lineRule="exact"/>
        <w:rPr>
          <w:rFonts w:ascii="Times New Roman" w:cs="Times New Roman" w:eastAsia="Times New Roman" w:hAnsi="Times New Roman"/>
          <w:sz w:val="17"/>
          <w:szCs w:val="17"/>
          <w:b w:val="1"/>
          <w:bCs w:val="1"/>
          <w:color w:val="auto"/>
        </w:rPr>
      </w:pPr>
    </w:p>
    <w:p>
      <w:pPr>
        <w:ind w:left="320" w:right="400" w:hanging="315"/>
        <w:spacing w:after="0" w:line="278"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Internal control remediation </w:t>
      </w:r>
      <w:r>
        <w:rPr>
          <w:rFonts w:ascii="Times New Roman" w:cs="Times New Roman" w:eastAsia="Times New Roman" w:hAnsi="Times New Roman"/>
          <w:sz w:val="17"/>
          <w:szCs w:val="17"/>
          <w:color w:val="auto"/>
        </w:rPr>
        <w:t>– Internal control remediation costs represent professional services fees related to the Company’s efforts to remediate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internal control material weaknesses. We excluded these fees from our non-GAAP financial measures to provide a useful comparison of our operating results to prior periods and to our peer companies because such amounts are not representative of our normal operating activities.</w:t>
      </w:r>
    </w:p>
    <w:p>
      <w:pPr>
        <w:spacing w:after="0" w:line="2" w:lineRule="exact"/>
        <w:rPr>
          <w:rFonts w:ascii="Times New Roman" w:cs="Times New Roman" w:eastAsia="Times New Roman" w:hAnsi="Times New Roman"/>
          <w:sz w:val="17"/>
          <w:szCs w:val="17"/>
          <w:color w:val="auto"/>
        </w:rPr>
      </w:pPr>
    </w:p>
    <w:p>
      <w:pPr>
        <w:ind w:left="320" w:right="240" w:hanging="315"/>
        <w:spacing w:after="0" w:line="289" w:lineRule="auto"/>
        <w:tabs>
          <w:tab w:leader="none" w:pos="31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transformation costs </w:t>
      </w:r>
      <w:r>
        <w:rPr>
          <w:rFonts w:ascii="Times New Roman" w:cs="Times New Roman" w:eastAsia="Times New Roman" w:hAnsi="Times New Roman"/>
          <w:sz w:val="17"/>
          <w:szCs w:val="17"/>
          <w:color w:val="auto"/>
        </w:rPr>
        <w:t>– Business transformation fees represent consultancy fees incurred for specific business initiatives that do not reflect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cost of normal business operations.</w:t>
      </w:r>
    </w:p>
    <w:p>
      <w:pPr>
        <w:spacing w:after="0" w:line="1" w:lineRule="exact"/>
        <w:rPr>
          <w:rFonts w:ascii="Times New Roman" w:cs="Times New Roman" w:eastAsia="Times New Roman" w:hAnsi="Times New Roman"/>
          <w:sz w:val="17"/>
          <w:szCs w:val="17"/>
          <w:b w:val="1"/>
          <w:bCs w:val="1"/>
          <w:color w:val="auto"/>
        </w:rPr>
      </w:pPr>
    </w:p>
    <w:p>
      <w:pPr>
        <w:ind w:left="320" w:right="100" w:hanging="315"/>
        <w:spacing w:after="0" w:line="268" w:lineRule="auto"/>
        <w:tabs>
          <w:tab w:leader="none" w:pos="31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adjustments on strategic investments </w:t>
      </w:r>
      <w:r>
        <w:rPr>
          <w:rFonts w:ascii="Times New Roman" w:cs="Times New Roman" w:eastAsia="Times New Roman" w:hAnsi="Times New Roman"/>
          <w:sz w:val="17"/>
          <w:szCs w:val="17"/>
          <w:color w:val="auto"/>
        </w:rPr>
        <w:t>– Fair value adjustments on strategic investments primarily consist of the gain or loss on strategic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investments, which includes recurring fair value adjustments which are adjusted for observable price changes and any potential impairments. See Note 11, </w:t>
      </w:r>
      <w:r>
        <w:rPr>
          <w:rFonts w:ascii="Times New Roman" w:cs="Times New Roman" w:eastAsia="Times New Roman" w:hAnsi="Times New Roman"/>
          <w:sz w:val="17"/>
          <w:szCs w:val="17"/>
          <w:i w:val="1"/>
          <w:iCs w:val="1"/>
          <w:color w:val="auto"/>
        </w:rPr>
        <w:t>Fair Value Measures</w:t>
      </w:r>
      <w:r>
        <w:rPr>
          <w:rFonts w:ascii="Times New Roman" w:cs="Times New Roman" w:eastAsia="Times New Roman" w:hAnsi="Times New Roman"/>
          <w:sz w:val="17"/>
          <w:szCs w:val="17"/>
          <w:color w:val="auto"/>
        </w:rPr>
        <w:t>, included in this report for additional information on our strategic investment activity. We exclude fair value adjustments on strategic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investments given the volatility in ongoing adjustments to the valuation of these strategic investments and because such adjustments are unrelated to the operating performance of our business.</w:t>
      </w:r>
    </w:p>
    <w:p>
      <w:pPr>
        <w:spacing w:after="0" w:line="10" w:lineRule="exact"/>
        <w:rPr>
          <w:rFonts w:ascii="Times New Roman" w:cs="Times New Roman" w:eastAsia="Times New Roman" w:hAnsi="Times New Roman"/>
          <w:sz w:val="17"/>
          <w:szCs w:val="17"/>
          <w:b w:val="1"/>
          <w:bCs w:val="1"/>
          <w:color w:val="auto"/>
        </w:rPr>
      </w:pPr>
    </w:p>
    <w:p>
      <w:pPr>
        <w:ind w:left="320" w:right="80" w:hanging="315"/>
        <w:spacing w:after="0" w:line="266" w:lineRule="auto"/>
        <w:tabs>
          <w:tab w:leader="none" w:pos="31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Restructuring charges </w:t>
      </w:r>
      <w:r>
        <w:rPr>
          <w:rFonts w:ascii="Times New Roman" w:cs="Times New Roman" w:eastAsia="Times New Roman" w:hAnsi="Times New Roman"/>
          <w:sz w:val="17"/>
          <w:szCs w:val="17"/>
          <w:color w:val="auto"/>
        </w:rPr>
        <w:t>– Restructuring charges represent the charges incurred associated with certain actions to restructure parts of the Company within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U.S. and Canada. These charges include severance and related expenses for workforce reductions, lower of cost and net realizable value adjustments to inventory and long-lived assets that will no longer be used in operations, and termination fees for any contracts cancelled as part of these programs. We exclude these items from our non-GAAP financial measures when evaluating our continuing business performance as such items vary significantly based on the magnitude of the restructuring action and do not reflect future expected operating expenses. In addition, these charges do not necessarily provide meaningful insight into the fundamentals of current or past operations of our business.</w:t>
      </w:r>
    </w:p>
    <w:p>
      <w:pPr>
        <w:spacing w:after="0" w:line="11" w:lineRule="exact"/>
        <w:rPr>
          <w:rFonts w:ascii="Times New Roman" w:cs="Times New Roman" w:eastAsia="Times New Roman" w:hAnsi="Times New Roman"/>
          <w:sz w:val="17"/>
          <w:szCs w:val="17"/>
          <w:b w:val="1"/>
          <w:bCs w:val="1"/>
          <w:color w:val="auto"/>
        </w:rPr>
      </w:pPr>
    </w:p>
    <w:p>
      <w:pPr>
        <w:ind w:left="320" w:hanging="315"/>
        <w:spacing w:after="0" w:line="271" w:lineRule="auto"/>
        <w:tabs>
          <w:tab w:leader="none" w:pos="31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Joint venture formation fees </w:t>
      </w:r>
      <w:r>
        <w:rPr>
          <w:rFonts w:ascii="Times New Roman" w:cs="Times New Roman" w:eastAsia="Times New Roman" w:hAnsi="Times New Roman"/>
          <w:sz w:val="17"/>
          <w:szCs w:val="17"/>
          <w:color w:val="auto"/>
        </w:rPr>
        <w:t>– Joint venture formation fees represent the charges incurred associated with the formation of GreenBox, which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established on July 21, 2023. It primarily includes investment banker fees, legal fees, transaction fees, advisory fees, and certain other professional fees. We exclude joint venture formation fees from our non-GAAP financial measures to provide a useful comparison of our operating results to prior periods and peer companies because such amounts vary significantly based on the magnitude of the joint venture and do not reflect our core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41" w:name="page42"/>
    <w:bookmarkEnd w:id="41"/>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20" w:hanging="315"/>
        <w:spacing w:after="0" w:line="291" w:lineRule="auto"/>
        <w:tabs>
          <w:tab w:leader="none" w:pos="316"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 financing transaction costs </w:t>
      </w:r>
      <w:r>
        <w:rPr>
          <w:rFonts w:ascii="Times New Roman" w:cs="Times New Roman" w:eastAsia="Times New Roman" w:hAnsi="Times New Roman"/>
          <w:sz w:val="17"/>
          <w:szCs w:val="17"/>
          <w:color w:val="auto"/>
        </w:rPr>
        <w:t>– Equity financing transaction costs represents the costs incurred, including for legal, professional fees for accountants,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transaction fees, advisory fees, due diligence costs, and certain other professional fees that are directly related to an equity financing transaction.</w:t>
      </w: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reconciles GAAP net loss to Adjusted EBITDA for the three and six months ended March 29, 2025 and March 30, 2024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840" w:type="dxa"/>
            <w:vAlign w:val="bottom"/>
            <w:gridSpan w:val="4"/>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31"/>
        </w:trPr>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2"/>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4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60" w:type="dxa"/>
            <w:vAlign w:val="bottom"/>
          </w:tcPr>
          <w:p>
            <w:pPr>
              <w:spacing w:after="0"/>
              <w:rPr>
                <w:sz w:val="18"/>
                <w:szCs w:val="18"/>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March 30, 2024</w:t>
            </w:r>
          </w:p>
        </w:tc>
      </w:tr>
      <w:tr>
        <w:trPr>
          <w:trHeight w:val="31"/>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(39,958)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(73,902)</w:t>
            </w:r>
          </w:p>
        </w:tc>
      </w:tr>
      <w:tr>
        <w:trPr>
          <w:trHeight w:val="236"/>
        </w:trPr>
        <w:tc>
          <w:tcPr>
            <w:tcW w:w="5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(14,998)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(15,944)</w:t>
            </w:r>
          </w:p>
        </w:tc>
      </w:tr>
      <w:tr>
        <w:trPr>
          <w:trHeight w:val="40"/>
        </w:trPr>
        <w:tc>
          <w:tcPr>
            <w:tcW w:w="5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Income tax benefit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36"/>
        </w:trPr>
        <w:tc>
          <w:tcPr>
            <w:tcW w:w="5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5,033</w:t>
            </w:r>
          </w:p>
        </w:tc>
      </w:tr>
      <w:tr>
        <w:trPr>
          <w:trHeight w:val="40"/>
        </w:trPr>
        <w:tc>
          <w:tcPr>
            <w:tcW w:w="5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76,703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64,188</w:t>
            </w:r>
          </w:p>
        </w:tc>
      </w:tr>
      <w:tr>
        <w:trPr>
          <w:trHeight w:val="236"/>
        </w:trPr>
        <w:tc>
          <w:tcPr>
            <w:tcW w:w="5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Business combination transaction expenses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Equity method investment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5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Internal control remediation</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Business transformation costs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5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Fair value adjustments on strategic investments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Restructuring charges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34,206</w:t>
            </w:r>
          </w:p>
        </w:tc>
      </w:tr>
      <w:tr>
        <w:trPr>
          <w:trHeight w:val="236"/>
        </w:trPr>
        <w:tc>
          <w:tcPr>
            <w:tcW w:w="5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Joint venture formation fees</w:t>
            </w:r>
          </w:p>
        </w:tc>
        <w:tc>
          <w:tcPr>
            <w:tcW w:w="1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1,089</w:t>
            </w:r>
          </w:p>
        </w:tc>
      </w:tr>
      <w:tr>
        <w:trPr>
          <w:trHeight w:val="40"/>
        </w:trPr>
        <w:tc>
          <w:tcPr>
            <w:tcW w:w="5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5"/>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Equity financing transaction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1,985</w:t>
            </w:r>
          </w:p>
        </w:tc>
      </w:tr>
      <w:tr>
        <w:trPr>
          <w:trHeight w:val="262"/>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8,508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52,622</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16,575</w:t>
            </w:r>
          </w:p>
        </w:tc>
      </w:tr>
      <w:tr>
        <w:trPr>
          <w:trHeight w:val="26"/>
        </w:trPr>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26" w:lineRule="exact"/>
        <w:rPr>
          <w:sz w:val="20"/>
          <w:szCs w:val="20"/>
          <w:color w:val="auto"/>
        </w:rPr>
      </w:pPr>
    </w:p>
    <w:p>
      <w:pPr>
        <w:ind w:right="40" w:firstLine="315"/>
        <w:spacing w:after="0" w:line="267" w:lineRule="auto"/>
        <w:rPr>
          <w:sz w:val="20"/>
          <w:szCs w:val="20"/>
          <w:color w:val="auto"/>
        </w:rPr>
      </w:pPr>
      <w:r>
        <w:rPr>
          <w:rFonts w:ascii="Times New Roman" w:cs="Times New Roman" w:eastAsia="Times New Roman" w:hAnsi="Times New Roman"/>
          <w:sz w:val="17"/>
          <w:szCs w:val="17"/>
          <w:color w:val="auto"/>
        </w:rPr>
        <w:t>We consider Adjusted gross profit and Adjusted gross profit margin to be important indicators of profitability which we use in our financial and operational decision-making and evaluation of our overall operating performance. We define Adjusted gross profit, a non-GAAP financial measure, as GAAP gross profit excluding the following items: depreciation and stock-based compensation expense. We define Adjusted gross profit margin, a non-GAAP financial measure, as non-GAAP Adjusted gross profit divided by total revenue. The following table reconciles GAAP gross profit to Adjusted gross profit and gross profit margin to Adjusted gross profit margin during the periods presented (dollars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840" w:type="dxa"/>
            <w:vAlign w:val="bottom"/>
            <w:gridSpan w:val="4"/>
          </w:tcPr>
          <w:p>
            <w:pPr>
              <w:jc w:val="right"/>
              <w:ind w:right="794"/>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31"/>
        </w:trPr>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2"/>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4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60" w:type="dxa"/>
            <w:vAlign w:val="bottom"/>
          </w:tcPr>
          <w:p>
            <w:pPr>
              <w:spacing w:after="0"/>
              <w:rPr>
                <w:sz w:val="18"/>
                <w:szCs w:val="18"/>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March 30, 2024</w:t>
            </w:r>
          </w:p>
        </w:tc>
      </w:tr>
      <w:tr>
        <w:trPr>
          <w:trHeight w:val="31"/>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5"/>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187,867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94,276</w:t>
            </w:r>
          </w:p>
        </w:tc>
      </w:tr>
      <w:tr>
        <w:trPr>
          <w:trHeight w:val="236"/>
        </w:trPr>
        <w:tc>
          <w:tcPr>
            <w:tcW w:w="5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Depreciation</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r>
      <w:tr>
        <w:trPr>
          <w:trHeight w:val="40"/>
        </w:trPr>
        <w:tc>
          <w:tcPr>
            <w:tcW w:w="5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8,587</w:t>
            </w:r>
          </w:p>
        </w:tc>
      </w:tr>
      <w:tr>
        <w:trPr>
          <w:trHeight w:val="236"/>
        </w:trPr>
        <w:tc>
          <w:tcPr>
            <w:tcW w:w="5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Restructuring charges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34,206</w:t>
            </w:r>
          </w:p>
        </w:tc>
      </w:tr>
      <w:tr>
        <w:trPr>
          <w:trHeight w:val="40"/>
        </w:trPr>
        <w:tc>
          <w:tcPr>
            <w:tcW w:w="5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87"/>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121,810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69,670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208,027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137,250</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37"/>
        </w:trPr>
        <w:tc>
          <w:tcPr>
            <w:tcW w:w="5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55"/>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 margin</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19.6 %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7.7 %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18.1 %</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12.5 %</w:t>
            </w: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gross profit margin</w:t>
            </w:r>
          </w:p>
        </w:tc>
        <w:tc>
          <w:tcPr>
            <w:tcW w:w="160" w:type="dxa"/>
            <w:vAlign w:val="bottom"/>
          </w:tcPr>
          <w:p>
            <w:pPr>
              <w:spacing w:after="0"/>
              <w:rPr>
                <w:sz w:val="20"/>
                <w:szCs w:val="20"/>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22.2 %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17.7 %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18.2 %</w:t>
            </w:r>
          </w:p>
        </w:tc>
      </w:tr>
    </w:tbl>
    <w:p>
      <w:pPr>
        <w:spacing w:after="0" w:line="166" w:lineRule="exact"/>
        <w:rPr>
          <w:sz w:val="20"/>
          <w:szCs w:val="20"/>
          <w:color w:val="auto"/>
        </w:rPr>
      </w:pPr>
    </w:p>
    <w:p>
      <w:pPr>
        <w:jc w:val="both"/>
        <w:ind w:right="20" w:firstLine="315"/>
        <w:spacing w:after="0" w:line="270" w:lineRule="auto"/>
        <w:rPr>
          <w:sz w:val="20"/>
          <w:szCs w:val="20"/>
          <w:color w:val="auto"/>
        </w:rPr>
      </w:pPr>
      <w:r>
        <w:rPr>
          <w:rFonts w:ascii="Times New Roman" w:cs="Times New Roman" w:eastAsia="Times New Roman" w:hAnsi="Times New Roman"/>
          <w:sz w:val="17"/>
          <w:szCs w:val="17"/>
          <w:color w:val="auto"/>
        </w:rPr>
        <w:t>We consider free cash flow to be an important indicator of financial liquidity, which we use in our financial and operational decision-making and evaluation of our overall operating performance. We define free cash flow as net cash provided by, or used in, operating activities less purchases of property and equipment and capitalization of internal use software development costs. The following table reconciles GAAP net cash provided by, or used in, operating activities to free cash flow during the periods presented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2" w:name="page43"/>
    <w:bookmarkEnd w:id="42"/>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840" w:type="dxa"/>
            <w:vAlign w:val="bottom"/>
            <w:gridSpan w:val="4"/>
          </w:tcPr>
          <w:p>
            <w:pPr>
              <w:jc w:val="right"/>
              <w:ind w:right="795"/>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31"/>
        </w:trPr>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4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60" w:type="dxa"/>
            <w:vAlign w:val="bottom"/>
          </w:tcPr>
          <w:p>
            <w:pPr>
              <w:spacing w:after="0"/>
              <w:rPr>
                <w:sz w:val="18"/>
                <w:szCs w:val="18"/>
                <w:color w:val="auto"/>
              </w:rPr>
            </w:pP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0" w:type="dxa"/>
            <w:vAlign w:val="bottom"/>
          </w:tcPr>
          <w:p>
            <w:pPr>
              <w:spacing w:after="0"/>
              <w:rPr>
                <w:sz w:val="1"/>
                <w:szCs w:val="1"/>
                <w:color w:val="auto"/>
              </w:rPr>
            </w:pPr>
          </w:p>
        </w:tc>
      </w:tr>
      <w:tr>
        <w:trPr>
          <w:trHeight w:val="31"/>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269,575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21,072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474,602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(9,078)</w:t>
            </w:r>
          </w:p>
        </w:tc>
        <w:tc>
          <w:tcPr>
            <w:tcW w:w="0" w:type="dxa"/>
            <w:vAlign w:val="bottom"/>
          </w:tcPr>
          <w:p>
            <w:pPr>
              <w:spacing w:after="0"/>
              <w:rPr>
                <w:sz w:val="1"/>
                <w:szCs w:val="1"/>
                <w:color w:val="auto"/>
              </w:rPr>
            </w:pPr>
          </w:p>
        </w:tc>
      </w:tr>
      <w:tr>
        <w:trPr>
          <w:trHeight w:val="231"/>
        </w:trPr>
        <w:tc>
          <w:tcPr>
            <w:tcW w:w="5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Purchases of property and equipment and capitalization of internal</w:t>
            </w:r>
          </w:p>
        </w:tc>
        <w:tc>
          <w:tcPr>
            <w:tcW w:w="160" w:type="dxa"/>
            <w:vAlign w:val="bottom"/>
          </w:tcPr>
          <w:p>
            <w:pPr>
              <w:spacing w:after="0"/>
              <w:rPr>
                <w:sz w:val="20"/>
                <w:szCs w:val="20"/>
                <w:color w:val="auto"/>
              </w:rPr>
            </w:pPr>
          </w:p>
        </w:tc>
        <w:tc>
          <w:tcPr>
            <w:tcW w:w="1300" w:type="dxa"/>
            <w:vAlign w:val="bottom"/>
            <w:vMerge w:val="restart"/>
          </w:tcPr>
          <w:p>
            <w:pPr>
              <w:ind w:left="680"/>
              <w:spacing w:after="0"/>
              <w:rPr>
                <w:sz w:val="20"/>
                <w:szCs w:val="20"/>
                <w:color w:val="auto"/>
              </w:rPr>
            </w:pPr>
            <w:r>
              <w:rPr>
                <w:rFonts w:ascii="Times New Roman" w:cs="Times New Roman" w:eastAsia="Times New Roman" w:hAnsi="Times New Roman"/>
                <w:sz w:val="17"/>
                <w:szCs w:val="17"/>
                <w:color w:val="auto"/>
              </w:rPr>
              <w:t>(20,560)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vMerge w:val="restart"/>
          </w:tcPr>
          <w:p>
            <w:pPr>
              <w:ind w:left="780"/>
              <w:spacing w:after="0"/>
              <w:rPr>
                <w:sz w:val="20"/>
                <w:szCs w:val="20"/>
                <w:color w:val="auto"/>
              </w:rPr>
            </w:pPr>
            <w:r>
              <w:rPr>
                <w:rFonts w:ascii="Times New Roman" w:cs="Times New Roman" w:eastAsia="Times New Roman" w:hAnsi="Times New Roman"/>
                <w:sz w:val="17"/>
                <w:szCs w:val="17"/>
                <w:color w:val="auto"/>
              </w:rPr>
              <w:t>(2,871)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vMerge w:val="restart"/>
          </w:tcPr>
          <w:p>
            <w:pPr>
              <w:ind w:left="680"/>
              <w:spacing w:after="0"/>
              <w:rPr>
                <w:sz w:val="20"/>
                <w:szCs w:val="20"/>
                <w:color w:val="auto"/>
              </w:rPr>
            </w:pPr>
            <w:r>
              <w:rPr>
                <w:rFonts w:ascii="Times New Roman" w:cs="Times New Roman" w:eastAsia="Times New Roman" w:hAnsi="Times New Roman"/>
                <w:sz w:val="17"/>
                <w:szCs w:val="17"/>
                <w:color w:val="auto"/>
              </w:rPr>
              <w:t>(27,917)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(5,864)</w:t>
            </w:r>
          </w:p>
        </w:tc>
        <w:tc>
          <w:tcPr>
            <w:tcW w:w="0" w:type="dxa"/>
            <w:vAlign w:val="bottom"/>
          </w:tcPr>
          <w:p>
            <w:pPr>
              <w:spacing w:after="0"/>
              <w:rPr>
                <w:sz w:val="1"/>
                <w:szCs w:val="1"/>
                <w:color w:val="auto"/>
              </w:rPr>
            </w:pPr>
          </w:p>
        </w:tc>
      </w:tr>
      <w:tr>
        <w:trPr>
          <w:trHeight w:val="228"/>
        </w:trPr>
        <w:tc>
          <w:tcPr>
            <w:tcW w:w="5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use software development costs</w:t>
            </w: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249,015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18,201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446,685</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(14,942)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21" w:lineRule="exact"/>
        <w:rPr>
          <w:sz w:val="20"/>
          <w:szCs w:val="20"/>
          <w:color w:val="auto"/>
        </w:rPr>
      </w:pPr>
    </w:p>
    <w:p>
      <w:pPr>
        <w:ind w:right="420" w:firstLine="315"/>
        <w:spacing w:after="0" w:line="289" w:lineRule="auto"/>
        <w:rPr>
          <w:sz w:val="20"/>
          <w:szCs w:val="20"/>
          <w:color w:val="auto"/>
        </w:rPr>
      </w:pPr>
      <w:r>
        <w:rPr>
          <w:rFonts w:ascii="Times New Roman" w:cs="Times New Roman" w:eastAsia="Times New Roman" w:hAnsi="Times New Roman"/>
          <w:sz w:val="17"/>
          <w:szCs w:val="17"/>
          <w:color w:val="auto"/>
        </w:rPr>
        <w:t>As of March 29, 2025, our principal sources of liquidity were cash received from customers upon the inception and continuation of contracts to install Systems.</w:t>
      </w:r>
    </w:p>
    <w:p>
      <w:pPr>
        <w:spacing w:after="0" w:line="1" w:lineRule="exact"/>
        <w:rPr>
          <w:sz w:val="20"/>
          <w:szCs w:val="20"/>
          <w:color w:val="auto"/>
        </w:rPr>
      </w:pPr>
    </w:p>
    <w:p>
      <w:pPr>
        <w:ind w:right="140" w:firstLine="315"/>
        <w:spacing w:after="0" w:line="297" w:lineRule="auto"/>
        <w:rPr>
          <w:sz w:val="20"/>
          <w:szCs w:val="20"/>
          <w:color w:val="auto"/>
        </w:rPr>
      </w:pPr>
      <w:r>
        <w:rPr>
          <w:rFonts w:ascii="Times New Roman" w:cs="Times New Roman" w:eastAsia="Times New Roman" w:hAnsi="Times New Roman"/>
          <w:sz w:val="17"/>
          <w:szCs w:val="17"/>
          <w:color w:val="auto"/>
        </w:rPr>
        <w:t>The following table shows net cash provided by (used in) operating activities, net cash provided by (used in) investing activities, and net cash provided by (used in) financing activities for the six months ended March 29, 2025 and March 30, 2024: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3"/>
          </w:tcPr>
          <w:p>
            <w:pPr>
              <w:jc w:val="right"/>
              <w:ind w:right="1055"/>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31"/>
        </w:trPr>
        <w:tc>
          <w:tcPr>
            <w:tcW w:w="7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2"/>
        </w:trPr>
        <w:tc>
          <w:tcPr>
            <w:tcW w:w="7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60" w:type="dxa"/>
            <w:vAlign w:val="bottom"/>
          </w:tcPr>
          <w:p>
            <w:pPr>
              <w:spacing w:after="0"/>
              <w:rPr>
                <w:sz w:val="18"/>
                <w:szCs w:val="18"/>
                <w:color w:val="auto"/>
              </w:rPr>
            </w:pPr>
          </w:p>
        </w:tc>
        <w:tc>
          <w:tcPr>
            <w:tcW w:w="150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March 30, 2024</w:t>
            </w:r>
          </w:p>
        </w:tc>
      </w:tr>
      <w:tr>
        <w:trPr>
          <w:trHeight w:val="31"/>
        </w:trPr>
        <w:tc>
          <w:tcPr>
            <w:tcW w:w="7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3"/>
          </w:tcPr>
          <w:p>
            <w:pPr>
              <w:spacing w:after="0"/>
              <w:rPr>
                <w:sz w:val="2"/>
                <w:szCs w:val="2"/>
                <w:color w:val="auto"/>
              </w:rPr>
            </w:pPr>
          </w:p>
        </w:tc>
      </w:tr>
      <w:tr>
        <w:trPr>
          <w:trHeight w:val="212"/>
        </w:trPr>
        <w:tc>
          <w:tcPr>
            <w:tcW w:w="7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3"/>
          </w:tcPr>
          <w:p>
            <w:pPr>
              <w:jc w:val="right"/>
              <w:ind w:right="1235"/>
              <w:spacing w:after="0"/>
              <w:rPr>
                <w:sz w:val="20"/>
                <w:szCs w:val="20"/>
                <w:color w:val="auto"/>
              </w:rPr>
            </w:pPr>
            <w:r>
              <w:rPr>
                <w:rFonts w:ascii="Times New Roman" w:cs="Times New Roman" w:eastAsia="Times New Roman" w:hAnsi="Times New Roman"/>
                <w:sz w:val="16"/>
                <w:szCs w:val="16"/>
                <w:color w:val="auto"/>
              </w:rPr>
              <w:t>(in thousands)</w:t>
            </w:r>
          </w:p>
        </w:tc>
      </w:tr>
      <w:tr>
        <w:trPr>
          <w:trHeight w:val="31"/>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5"/>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2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36"/>
        </w:trPr>
        <w:tc>
          <w:tcPr>
            <w:tcW w:w="7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Operating activities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474,602</w:t>
            </w:r>
          </w:p>
        </w:tc>
        <w:tc>
          <w:tcPr>
            <w:tcW w:w="2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(9,078)</w:t>
            </w:r>
          </w:p>
        </w:tc>
      </w:tr>
      <w:tr>
        <w:trPr>
          <w:trHeight w:val="40"/>
        </w:trPr>
        <w:tc>
          <w:tcPr>
            <w:tcW w:w="7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5"/>
        </w:trPr>
        <w:tc>
          <w:tcPr>
            <w:tcW w:w="7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Investing activities</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(245,909)</w:t>
            </w:r>
          </w:p>
        </w:tc>
        <w:tc>
          <w:tcPr>
            <w:tcW w:w="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235,476</w:t>
            </w:r>
          </w:p>
        </w:tc>
      </w:tr>
      <w:tr>
        <w:trPr>
          <w:trHeight w:val="236"/>
        </w:trPr>
        <w:tc>
          <w:tcPr>
            <w:tcW w:w="7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Financing activities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2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416,941</w:t>
            </w: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69" w:lineRule="exact"/>
        <w:rPr>
          <w:sz w:val="20"/>
          <w:szCs w:val="20"/>
          <w:color w:val="auto"/>
        </w:rPr>
      </w:pPr>
    </w:p>
    <w:p>
      <w:pPr>
        <w:ind w:right="100" w:firstLine="315"/>
        <w:spacing w:after="0" w:line="265" w:lineRule="auto"/>
        <w:rPr>
          <w:sz w:val="20"/>
          <w:szCs w:val="20"/>
          <w:color w:val="auto"/>
        </w:rPr>
      </w:pPr>
      <w:r>
        <w:rPr>
          <w:rFonts w:ascii="Times New Roman" w:cs="Times New Roman" w:eastAsia="Times New Roman" w:hAnsi="Times New Roman"/>
          <w:sz w:val="17"/>
          <w:szCs w:val="17"/>
          <w:color w:val="auto"/>
        </w:rPr>
        <w:t>Our net cash provided by (used in) operating activities consists of net loss adjusted for certain non-cash items, including depreciation and amortization, foreign currency gains and losses, loss on disposal of assets, provision for excess and obsolete inventory, and stock-based compensation, as well as changes in operating assets and liabilities. The primary changes in working capital items, such as the changes in accounts receivable and deferred revenue, result from the difference in timing of payments from our customers related to system installations and the associated costs incurred by us to fulfill the System performance obligation. This may result in an operating cash flow source or use for the period, depending on the timing of payments received as compared to the fulfillment of the System performance obligation.</w:t>
      </w:r>
    </w:p>
    <w:p>
      <w:pPr>
        <w:spacing w:after="0" w:line="16" w:lineRule="exact"/>
        <w:rPr>
          <w:sz w:val="20"/>
          <w:szCs w:val="20"/>
          <w:color w:val="auto"/>
        </w:rPr>
      </w:pPr>
    </w:p>
    <w:p>
      <w:pPr>
        <w:ind w:right="100" w:firstLine="315"/>
        <w:spacing w:after="0" w:line="267" w:lineRule="auto"/>
        <w:rPr>
          <w:sz w:val="20"/>
          <w:szCs w:val="20"/>
          <w:color w:val="auto"/>
        </w:rPr>
      </w:pPr>
      <w:r>
        <w:rPr>
          <w:rFonts w:ascii="Times New Roman" w:cs="Times New Roman" w:eastAsia="Times New Roman" w:hAnsi="Times New Roman"/>
          <w:sz w:val="17"/>
          <w:szCs w:val="17"/>
          <w:color w:val="auto"/>
        </w:rPr>
        <w:t>Net cash provided by operating activities was $474.6 million during the six months ended March 29, 2025. Net cash provided by operating activities was primarily due to our net loss of $40.0 million adjusted for non-cash items of $90.8 million, primarily consisting of $19.9 million depreciation and amortization, $70.1 million stock-based compensation, and $4.1 million equity in net loss from equity method investment, in addition to cash provided by operating assets and liabilities of $423.8 million. Cash used in operating assets and liabilities of $423.8 million was primarily driven by net working capital changes, including the timing of cash payments to vendors and cash receipts from customers.</w:t>
      </w:r>
    </w:p>
    <w:p>
      <w:pPr>
        <w:spacing w:after="0" w:line="14" w:lineRule="exact"/>
        <w:rPr>
          <w:sz w:val="20"/>
          <w:szCs w:val="20"/>
          <w:color w:val="auto"/>
        </w:rPr>
      </w:pPr>
    </w:p>
    <w:p>
      <w:pPr>
        <w:ind w:right="80" w:firstLine="315"/>
        <w:spacing w:after="0" w:line="267" w:lineRule="auto"/>
        <w:rPr>
          <w:sz w:val="20"/>
          <w:szCs w:val="20"/>
          <w:color w:val="auto"/>
        </w:rPr>
      </w:pPr>
      <w:r>
        <w:rPr>
          <w:rFonts w:ascii="Times New Roman" w:cs="Times New Roman" w:eastAsia="Times New Roman" w:hAnsi="Times New Roman"/>
          <w:sz w:val="17"/>
          <w:szCs w:val="17"/>
          <w:color w:val="auto"/>
        </w:rPr>
        <w:t>Net cash used in operating activities was $9.1 million during the six months ended March 30, 2024. Net cash used in operating activities was primarily due to our net loss of $73.9 million adjusted for non-cash items of $89.4 million, primarily consisting of $6.4 million depreciation and amortization, $57.5 million stock-based compensation, and $34.3 million provision for excess and obsolete inventory, in addition to cash used in operating assets and liabilities of $24.6 million. Cash used in operating assets and liabilities of $24.6 million was primarily driven by net working capital changes, including the timing of cash payments to vendors and cash receipts from customers.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69" w:lineRule="exact"/>
        <w:rPr>
          <w:sz w:val="20"/>
          <w:szCs w:val="20"/>
          <w:color w:val="auto"/>
        </w:rPr>
      </w:pPr>
    </w:p>
    <w:p>
      <w:pPr>
        <w:ind w:right="500" w:firstLine="315"/>
        <w:spacing w:after="0" w:line="289" w:lineRule="auto"/>
        <w:rPr>
          <w:sz w:val="20"/>
          <w:szCs w:val="20"/>
          <w:color w:val="auto"/>
        </w:rPr>
      </w:pPr>
      <w:r>
        <w:rPr>
          <w:rFonts w:ascii="Times New Roman" w:cs="Times New Roman" w:eastAsia="Times New Roman" w:hAnsi="Times New Roman"/>
          <w:sz w:val="17"/>
          <w:szCs w:val="17"/>
          <w:color w:val="auto"/>
        </w:rPr>
        <w:t>Our investing activities have consisted primarily of property and equipment purchases, capitalization of internal use software development costs, and acquisitions of strategic investments.</w:t>
      </w:r>
    </w:p>
    <w:p>
      <w:pPr>
        <w:spacing w:after="0" w:line="1" w:lineRule="exact"/>
        <w:rPr>
          <w:sz w:val="20"/>
          <w:szCs w:val="20"/>
          <w:color w:val="auto"/>
        </w:rPr>
      </w:pPr>
    </w:p>
    <w:p>
      <w:pPr>
        <w:ind w:right="160" w:firstLine="315"/>
        <w:spacing w:after="0" w:line="297" w:lineRule="auto"/>
        <w:rPr>
          <w:sz w:val="20"/>
          <w:szCs w:val="20"/>
          <w:color w:val="auto"/>
        </w:rPr>
      </w:pPr>
      <w:r>
        <w:rPr>
          <w:rFonts w:ascii="Times New Roman" w:cs="Times New Roman" w:eastAsia="Times New Roman" w:hAnsi="Times New Roman"/>
          <w:sz w:val="17"/>
          <w:szCs w:val="17"/>
          <w:color w:val="auto"/>
        </w:rPr>
        <w:t>Net cash and cash equivalents used in investing activities during the six months ended March 29, 2025 is related to $27.9 million in purchases of property and equipment, purchases of strategic investment of $18.0 million, and cash paid for the acquisition of ASR of $200.0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3" w:name="page44"/>
    <w:bookmarkEnd w:id="43"/>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580" w:firstLine="315"/>
        <w:spacing w:after="0" w:line="297" w:lineRule="auto"/>
        <w:rPr>
          <w:sz w:val="20"/>
          <w:szCs w:val="20"/>
          <w:color w:val="auto"/>
        </w:rPr>
      </w:pPr>
      <w:r>
        <w:rPr>
          <w:rFonts w:ascii="Times New Roman" w:cs="Times New Roman" w:eastAsia="Times New Roman" w:hAnsi="Times New Roman"/>
          <w:sz w:val="17"/>
          <w:szCs w:val="17"/>
          <w:color w:val="auto"/>
        </w:rPr>
        <w:t>Net cash and cash equivalents provided by investing activities during the six months ended March 30, 2024 is primarily driven by $290.0 million in proceeds upon the maturity of certain U.S. Treasury securities, offset by purchases of U.S. Treasury securities of $48.7 million.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69" w:lineRule="exact"/>
        <w:rPr>
          <w:sz w:val="20"/>
          <w:szCs w:val="20"/>
          <w:color w:val="auto"/>
        </w:rPr>
      </w:pPr>
    </w:p>
    <w:p>
      <w:pPr>
        <w:ind w:firstLine="315"/>
        <w:spacing w:after="0" w:line="289" w:lineRule="auto"/>
        <w:rPr>
          <w:sz w:val="20"/>
          <w:szCs w:val="20"/>
          <w:color w:val="auto"/>
        </w:rPr>
      </w:pPr>
      <w:r>
        <w:rPr>
          <w:rFonts w:ascii="Times New Roman" w:cs="Times New Roman" w:eastAsia="Times New Roman" w:hAnsi="Times New Roman"/>
          <w:sz w:val="17"/>
          <w:szCs w:val="17"/>
          <w:color w:val="auto"/>
        </w:rPr>
        <w:t>Our financing activities typically consist of payments and proceeds related to our equity incentive plans for both RSUs and ESPP, and also include proceeds from the exercise of the vested warrants issued to Walmart as well as proceeds from equity financing transactions.</w:t>
      </w:r>
    </w:p>
    <w:p>
      <w:pPr>
        <w:spacing w:after="0" w:line="1" w:lineRule="exact"/>
        <w:rPr>
          <w:sz w:val="20"/>
          <w:szCs w:val="20"/>
          <w:color w:val="auto"/>
        </w:rPr>
      </w:pPr>
    </w:p>
    <w:p>
      <w:pPr>
        <w:ind w:right="140" w:firstLine="315"/>
        <w:spacing w:after="0" w:line="277" w:lineRule="auto"/>
        <w:rPr>
          <w:sz w:val="20"/>
          <w:szCs w:val="20"/>
          <w:color w:val="auto"/>
        </w:rPr>
      </w:pPr>
      <w:r>
        <w:rPr>
          <w:rFonts w:ascii="Times New Roman" w:cs="Times New Roman" w:eastAsia="Times New Roman" w:hAnsi="Times New Roman"/>
          <w:sz w:val="17"/>
          <w:szCs w:val="17"/>
          <w:color w:val="auto"/>
        </w:rPr>
        <w:t>During the six months ended March 29, 2025, we received proceeds of $3.2 million from the issuance of common stock under the ESPP, which was offset by payments for taxes related to net share settlement of stock-based compensation awards of $3.0 million. No other significant financing activities occurred during the six months ended March 29, 2025.</w:t>
      </w:r>
    </w:p>
    <w:p>
      <w:pPr>
        <w:spacing w:after="0" w:line="5" w:lineRule="exact"/>
        <w:rPr>
          <w:sz w:val="20"/>
          <w:szCs w:val="20"/>
          <w:color w:val="auto"/>
        </w:rPr>
      </w:pPr>
    </w:p>
    <w:p>
      <w:pPr>
        <w:ind w:right="420" w:firstLine="315"/>
        <w:spacing w:after="0" w:line="277" w:lineRule="auto"/>
        <w:rPr>
          <w:sz w:val="20"/>
          <w:szCs w:val="20"/>
          <w:color w:val="auto"/>
        </w:rPr>
      </w:pPr>
      <w:r>
        <w:rPr>
          <w:rFonts w:ascii="Times New Roman" w:cs="Times New Roman" w:eastAsia="Times New Roman" w:hAnsi="Times New Roman"/>
          <w:sz w:val="17"/>
          <w:szCs w:val="17"/>
          <w:color w:val="auto"/>
        </w:rPr>
        <w:t>During the six months ended March 30, 2024, we received cash of $158.7 million upon the gross exercise of Walmart’s vested warrant units, which occurred in December 2023. We additionally received proceeds of $258.0 million in relation to issuance of Class A common stock upon completion of our equity financing transaction in March 2024. No other significant financing activities occurred during the six months ended March 30, 2024.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Contractual Obligations and Commitments and Liquidity Outlook</w:t>
      </w:r>
    </w:p>
    <w:p>
      <w:pPr>
        <w:spacing w:after="0" w:line="69" w:lineRule="exact"/>
        <w:rPr>
          <w:sz w:val="20"/>
          <w:szCs w:val="20"/>
          <w:color w:val="auto"/>
        </w:rPr>
      </w:pPr>
    </w:p>
    <w:p>
      <w:pPr>
        <w:ind w:right="220" w:firstLine="315"/>
        <w:spacing w:after="0" w:line="270" w:lineRule="auto"/>
        <w:rPr>
          <w:sz w:val="20"/>
          <w:szCs w:val="20"/>
          <w:color w:val="auto"/>
        </w:rPr>
      </w:pPr>
      <w:r>
        <w:rPr>
          <w:rFonts w:ascii="Times New Roman" w:cs="Times New Roman" w:eastAsia="Times New Roman" w:hAnsi="Times New Roman"/>
          <w:sz w:val="17"/>
          <w:szCs w:val="17"/>
          <w:color w:val="auto"/>
        </w:rPr>
        <w:t>Our cash flows from operations along with equity infusions have historically been sufficient to fund our operating activities and other cash requirements. As of March 29, 2025, we had a cash and cash equivalents balance of $954.9 million. Our cash requirements for the six months ended March 29, 2025 were primarily related to inventory purchases in order to deliver our Systems to our customers in an orderly manner in line with our installation timeline, and acquisitions of strategic investments to expand our investment profile.</w:t>
      </w:r>
    </w:p>
    <w:p>
      <w:pPr>
        <w:spacing w:after="0" w:line="12" w:lineRule="exact"/>
        <w:rPr>
          <w:sz w:val="20"/>
          <w:szCs w:val="20"/>
          <w:color w:val="auto"/>
        </w:rPr>
      </w:pPr>
    </w:p>
    <w:p>
      <w:pPr>
        <w:ind w:right="140" w:firstLine="315"/>
        <w:spacing w:after="0" w:line="264" w:lineRule="auto"/>
        <w:rPr>
          <w:sz w:val="20"/>
          <w:szCs w:val="20"/>
          <w:color w:val="auto"/>
        </w:rPr>
      </w:pPr>
      <w:r>
        <w:rPr>
          <w:rFonts w:ascii="Times New Roman" w:cs="Times New Roman" w:eastAsia="Times New Roman" w:hAnsi="Times New Roman"/>
          <w:sz w:val="17"/>
          <w:szCs w:val="17"/>
          <w:color w:val="auto"/>
        </w:rPr>
        <w:t xml:space="preserve">Based on our present business plan, we expect our current cash and cash equivalents, working capital, and our forecasted cash flows from operations to be sufficient to meet our foreseeable cash needs for at least the next 12 months. Our foreseeable cash needs, in addition to our recurring operating expenses, include our expected capital expenditures to support expansion of our infrastructure and workforce, potential strategic acquisitions, and minimum contractual obligations. Contractual obligations are cash that we are obligated to pay as part of certain contracts that we have entered into during our course of business. Our contractual obligations consist of operating lease liabilities that are included in our consolidated balance sheet and vendor commitments associated with agreements that are legally binding. Our operating lease cash requirements have not changed materially since September 28, 2024, and are disclosed within Note 5,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included elsewhere in this Quarterly Report on Form 10-Q.</w:t>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current and long-term material cash requirements as of March 29, 2025 for our vendor commitments: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Payments due in:</w:t>
            </w: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1"/>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212"/>
        </w:trPr>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51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1300" w:type="dxa"/>
            <w:vAlign w:val="bottom"/>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w w:val="95"/>
              </w:rPr>
              <w:t>Less than 1 Year</w:t>
            </w:r>
          </w:p>
        </w:tc>
        <w:tc>
          <w:tcPr>
            <w:tcW w:w="240" w:type="dxa"/>
            <w:vAlign w:val="bottom"/>
          </w:tcPr>
          <w:p>
            <w:pPr>
              <w:spacing w:after="0"/>
              <w:rPr>
                <w:sz w:val="18"/>
                <w:szCs w:val="18"/>
                <w:color w:val="auto"/>
              </w:rPr>
            </w:pPr>
          </w:p>
        </w:tc>
        <w:tc>
          <w:tcPr>
            <w:tcW w:w="12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4"/>
              </w:rPr>
              <w:t>1-3 Years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180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More than 5 Years</w:t>
            </w:r>
          </w:p>
        </w:tc>
      </w:tr>
      <w:tr>
        <w:trPr>
          <w:trHeight w:val="31"/>
        </w:trPr>
        <w:tc>
          <w:tcPr>
            <w:tcW w:w="3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2"/>
        </w:trPr>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8"/>
              </w:rPr>
              <w:t>(in thousands)</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1"/>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Vendor commitments</w:t>
            </w: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984,788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928,439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56,349</w:t>
            </w:r>
          </w:p>
        </w:tc>
        <w:tc>
          <w:tcPr>
            <w:tcW w:w="116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38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r>
    </w:tbl>
    <w:p>
      <w:pPr>
        <w:spacing w:after="0" w:line="244" w:lineRule="exact"/>
        <w:rPr>
          <w:sz w:val="20"/>
          <w:szCs w:val="20"/>
          <w:color w:val="auto"/>
        </w:rPr>
      </w:pPr>
    </w:p>
    <w:p>
      <w:pPr>
        <w:ind w:right="200" w:firstLine="315"/>
        <w:spacing w:after="0" w:line="270" w:lineRule="auto"/>
        <w:rPr>
          <w:sz w:val="20"/>
          <w:szCs w:val="20"/>
          <w:color w:val="auto"/>
        </w:rPr>
      </w:pPr>
      <w:r>
        <w:rPr>
          <w:rFonts w:ascii="Times New Roman" w:cs="Times New Roman" w:eastAsia="Times New Roman" w:hAnsi="Times New Roman"/>
          <w:sz w:val="17"/>
          <w:szCs w:val="17"/>
          <w:color w:val="auto"/>
        </w:rPr>
        <w:t>Our future capital requirements will depend on many factors, including our growth rate, the timing and extent of spending to support research and development efforts, the expansion of sales and marketing activities, the introduction of new and enhanced product and service offerings, and the cost of any future acquisitions of technology or businesses. In the event that additional financing is required from outside sources, we may be unable to raise the funds on acceptable terms, if at all.</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21" w:lineRule="exact"/>
        <w:rPr>
          <w:sz w:val="20"/>
          <w:szCs w:val="20"/>
          <w:color w:val="auto"/>
        </w:rPr>
      </w:pPr>
    </w:p>
    <w:p>
      <w:pPr>
        <w:ind w:right="200" w:firstLine="315"/>
        <w:spacing w:after="0" w:line="277" w:lineRule="auto"/>
        <w:rPr>
          <w:sz w:val="20"/>
          <w:szCs w:val="20"/>
          <w:color w:val="auto"/>
        </w:rPr>
      </w:pPr>
      <w:r>
        <w:rPr>
          <w:rFonts w:ascii="Times New Roman" w:cs="Times New Roman" w:eastAsia="Times New Roman" w:hAnsi="Times New Roman"/>
          <w:sz w:val="17"/>
          <w:szCs w:val="17"/>
          <w:color w:val="auto"/>
        </w:rPr>
        <w:t>There have been no significant changes in our critical accounting policies and estimates during the six months ended March 29, 2025, as compared to the critical accounting policies and estimates disclosed in the audited consolidated financial statements and related notes thereto as of and for the year ended September 28, 2024, which are included within the Annual Report on Form 10-K filed with the SEC on December 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4" w:name="page45"/>
    <w:bookmarkEnd w:id="44"/>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March 29, 2025, we had no off-balance sheet arrangements as defined in Instruction 8 to Item 303(b) of Regulation 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21" w:lineRule="exact"/>
        <w:rPr>
          <w:sz w:val="20"/>
          <w:szCs w:val="20"/>
          <w:color w:val="auto"/>
        </w:rPr>
      </w:pPr>
    </w:p>
    <w:p>
      <w:pPr>
        <w:ind w:right="640" w:firstLine="315"/>
        <w:spacing w:after="0" w:line="288" w:lineRule="auto"/>
        <w:rPr>
          <w:sz w:val="20"/>
          <w:szCs w:val="20"/>
          <w:color w:val="auto"/>
        </w:rPr>
      </w:pPr>
      <w:r>
        <w:rPr>
          <w:rFonts w:ascii="Times New Roman" w:cs="Times New Roman" w:eastAsia="Times New Roman" w:hAnsi="Times New Roman"/>
          <w:sz w:val="17"/>
          <w:szCs w:val="17"/>
          <w:color w:val="auto"/>
        </w:rPr>
        <w:t>For information on recent accounting pronouncements, see Recently Issued Accounting Pronouncements and Recently Adopted Accounting Pronouncements in the notes to the unaudited condensed consolidated financial statements appearing elsewhere in this Quarterly Report on Form 10-Q.</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21" w:lineRule="exact"/>
        <w:rPr>
          <w:sz w:val="20"/>
          <w:szCs w:val="20"/>
          <w:color w:val="auto"/>
        </w:rPr>
      </w:pPr>
    </w:p>
    <w:p>
      <w:pPr>
        <w:ind w:right="480" w:firstLine="315"/>
        <w:spacing w:after="0" w:line="288" w:lineRule="auto"/>
        <w:rPr>
          <w:sz w:val="20"/>
          <w:szCs w:val="20"/>
          <w:color w:val="auto"/>
        </w:rPr>
      </w:pPr>
      <w:r>
        <w:rPr>
          <w:rFonts w:ascii="Times New Roman" w:cs="Times New Roman" w:eastAsia="Times New Roman" w:hAnsi="Times New Roman"/>
          <w:sz w:val="17"/>
          <w:szCs w:val="17"/>
          <w:color w:val="auto"/>
        </w:rPr>
        <w:t>There have been no material changes in our assessment of our sensitivity to market risk since our presentation set forth in Item 7A, “Quantitative and Qualitative Disclosures About Market Risk” in the Annual Report on Form 10-K filed with the SEC on December 4,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69" w:lineRule="exact"/>
        <w:rPr>
          <w:sz w:val="20"/>
          <w:szCs w:val="20"/>
          <w:color w:val="auto"/>
        </w:rPr>
      </w:pPr>
    </w:p>
    <w:p>
      <w:pPr>
        <w:ind w:right="60" w:firstLine="315"/>
        <w:spacing w:after="0" w:line="261"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(our principal executive officer and principal financial officer, respectively), has evaluated the effectiveness of our disclosure controls and procedures as defined in Rules 13a-15(e) and 15d-15(e) under the Securities Exchange Act of 1934, as amended (the “Exchange Act”), as of the end of the period covered by this Quarterly Report on Form 10-Q.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2" w:lineRule="exact"/>
        <w:rPr>
          <w:sz w:val="20"/>
          <w:szCs w:val="20"/>
          <w:color w:val="auto"/>
        </w:rPr>
      </w:pPr>
    </w:p>
    <w:p>
      <w:pPr>
        <w:ind w:firstLine="315"/>
        <w:spacing w:after="0" w:line="270" w:lineRule="auto"/>
        <w:rPr>
          <w:sz w:val="20"/>
          <w:szCs w:val="20"/>
          <w:color w:val="auto"/>
        </w:rPr>
      </w:pPr>
      <w:r>
        <w:rPr>
          <w:rFonts w:ascii="Times New Roman" w:cs="Times New Roman" w:eastAsia="Times New Roman" w:hAnsi="Times New Roman"/>
          <w:sz w:val="17"/>
          <w:szCs w:val="17"/>
          <w:color w:val="auto"/>
        </w:rPr>
        <w:t>Based on such evaluation, our Chief Executive Officer and Chief Financial Officer have concluded that as of March 29, 2025, our disclosure controls and procedures were not effective at the reasonable assurance level because of the existence of the material weaknesses described below. 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spacing w:after="0" w:line="12" w:lineRule="exact"/>
        <w:rPr>
          <w:sz w:val="20"/>
          <w:szCs w:val="20"/>
          <w:color w:val="auto"/>
        </w:rPr>
      </w:pPr>
    </w:p>
    <w:p>
      <w:pPr>
        <w:ind w:right="140" w:firstLine="315"/>
        <w:spacing w:after="0" w:line="267" w:lineRule="auto"/>
        <w:rPr>
          <w:sz w:val="20"/>
          <w:szCs w:val="20"/>
          <w:color w:val="auto"/>
        </w:rPr>
      </w:pPr>
      <w:r>
        <w:rPr>
          <w:rFonts w:ascii="Times New Roman" w:cs="Times New Roman" w:eastAsia="Times New Roman" w:hAnsi="Times New Roman"/>
          <w:sz w:val="17"/>
          <w:szCs w:val="17"/>
          <w:color w:val="auto"/>
        </w:rPr>
        <w:t>As of March 29, 2025, the Company did not effectively design procedures and controls over the timing of cost of revenue recognition. This resulted in the acceleration of the recognition of cost of revenue during the year ended September 28, 2024. Given that we recognize revenue on a percentage of completion basis, this resulted in the acceleration of recognition of revenue during the year ended September 28, 2024. Additionally, the Company did not effectively design and execute controls over revenue recognition related to cost overruns on certain deployments that will not be billable. These deficiencies in internal control over financial reporting constituted material weaknesses as of March 29, 2025.</w:t>
      </w:r>
    </w:p>
    <w:p>
      <w:pPr>
        <w:spacing w:after="0" w:line="14" w:lineRule="exact"/>
        <w:rPr>
          <w:sz w:val="20"/>
          <w:szCs w:val="20"/>
          <w:color w:val="auto"/>
        </w:rPr>
      </w:pPr>
    </w:p>
    <w:p>
      <w:pPr>
        <w:ind w:right="120" w:firstLine="315"/>
        <w:spacing w:after="0" w:line="269" w:lineRule="auto"/>
        <w:rPr>
          <w:sz w:val="20"/>
          <w:szCs w:val="20"/>
          <w:color w:val="auto"/>
        </w:rPr>
      </w:pPr>
      <w:r>
        <w:rPr>
          <w:rFonts w:ascii="Times New Roman" w:cs="Times New Roman" w:eastAsia="Times New Roman" w:hAnsi="Times New Roman"/>
          <w:sz w:val="17"/>
          <w:szCs w:val="17"/>
          <w:color w:val="auto"/>
        </w:rPr>
        <w:t>Notwithstanding the material weaknesses in internal control over financial reporting, our management, including our Chief Executive Officer and Chief Financial Officer, have concluded that our consolidated financial statements present fairly, in all material respects, our financial position, results of our operations and our cash flows for the periods presented in this Quarterly Report on Form 10-Q, in conformity with U.S. GAAP. There can be no assurance that these material weaknesses will not result in a misstatement to the annual or interim consolidated financial statements for future periods that would not be prevented or detected.</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69" w:lineRule="exact"/>
        <w:rPr>
          <w:sz w:val="20"/>
          <w:szCs w:val="20"/>
          <w:color w:val="auto"/>
        </w:rPr>
      </w:pPr>
    </w:p>
    <w:p>
      <w:pPr>
        <w:ind w:right="160" w:firstLine="315"/>
        <w:spacing w:after="0" w:line="289" w:lineRule="auto"/>
        <w:rPr>
          <w:sz w:val="20"/>
          <w:szCs w:val="20"/>
          <w:color w:val="auto"/>
        </w:rPr>
      </w:pPr>
      <w:r>
        <w:rPr>
          <w:rFonts w:ascii="Times New Roman" w:cs="Times New Roman" w:eastAsia="Times New Roman" w:hAnsi="Times New Roman"/>
          <w:sz w:val="17"/>
          <w:szCs w:val="17"/>
          <w:color w:val="auto"/>
        </w:rPr>
        <w:t>Subject to the steps taken in connection with the remediation plan noted below, there have been no changes in our internal control over financial reporting for the three months ended March 29,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5" w:name="page46"/>
    <w:bookmarkEnd w:id="45"/>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Material Weakness Remediation Plan</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Management has developed a remediation plan, which it began implementing as of the end of fiscal year 2024, that includes the following elements:</w:t>
      </w:r>
    </w:p>
    <w:p>
      <w:pPr>
        <w:spacing w:after="0" w:line="67" w:lineRule="exact"/>
        <w:rPr>
          <w:sz w:val="20"/>
          <w:szCs w:val="20"/>
          <w:color w:val="auto"/>
        </w:rPr>
      </w:pPr>
    </w:p>
    <w:p>
      <w:pPr>
        <w:ind w:left="620" w:hanging="30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Augmented compensating controls over the receipt of goods and services, with a focus on milestone related expenses;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Implemented ERP system enhancements for goods and services receipts and enhanced documentation requirements for milestone related expenses;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Training of the employees and redesign of the structure of the organization receiving goods and services; and</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Implemented compensating controls over revenue recognition for non-billable cost overruns.</w:t>
      </w:r>
    </w:p>
    <w:p>
      <w:pPr>
        <w:spacing w:after="0" w:line="67" w:lineRule="exact"/>
        <w:rPr>
          <w:sz w:val="20"/>
          <w:szCs w:val="20"/>
          <w:color w:val="auto"/>
        </w:rPr>
      </w:pPr>
    </w:p>
    <w:p>
      <w:pPr>
        <w:ind w:firstLine="315"/>
        <w:spacing w:after="0" w:line="262" w:lineRule="auto"/>
        <w:rPr>
          <w:sz w:val="20"/>
          <w:szCs w:val="20"/>
          <w:color w:val="auto"/>
        </w:rPr>
      </w:pPr>
      <w:r>
        <w:rPr>
          <w:rFonts w:ascii="Times New Roman" w:cs="Times New Roman" w:eastAsia="Times New Roman" w:hAnsi="Times New Roman"/>
          <w:sz w:val="17"/>
          <w:szCs w:val="17"/>
          <w:color w:val="auto"/>
        </w:rPr>
        <w:t>Management is committed to the completion of the remediation of these material weaknesses, and, as of February 5, 2025, had implemented all of the controls described above. These controls were tested in connection with management’s evaluation of the effectiveness of our disclosure controls and procedures as of March 29, 2025. No deficiencies were noted as part of that testing. We will continue to test these controls, including in connection with management’s evaluation of the effectiveness of our internal control over financial reporting as of the end of our current fiscal year. As management continues to evaluate and work to improve its internal control over financial reporting, it may determine that additional measures to address control deficiencies or modifications to the remediation plan are necessary. Therefore, management cannot assure you when these material weaknesses will be remediated, that additional actions will not be required to remediate these material weaknesses, or the costs of any such additional actions. These material weaknesses will not be determined to be remediated until the remediated controls operate for a sufficient period of time and management has concluded, through further testing, that these controls are operating effectively.</w:t>
      </w:r>
    </w:p>
    <w:p>
      <w:pPr>
        <w:spacing w:after="0" w:line="23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21" w:lineRule="exact"/>
        <w:rPr>
          <w:sz w:val="20"/>
          <w:szCs w:val="20"/>
          <w:color w:val="auto"/>
        </w:rPr>
      </w:pPr>
    </w:p>
    <w:p>
      <w:pPr>
        <w:ind w:firstLine="315"/>
        <w:spacing w:after="0" w:line="264" w:lineRule="auto"/>
        <w:rPr>
          <w:sz w:val="20"/>
          <w:szCs w:val="20"/>
          <w:color w:val="auto"/>
        </w:rPr>
      </w:pPr>
      <w:r>
        <w:rPr>
          <w:rFonts w:ascii="Times New Roman" w:cs="Times New Roman" w:eastAsia="Times New Roman" w:hAnsi="Times New Roman"/>
          <w:sz w:val="17"/>
          <w:szCs w:val="17"/>
          <w:color w:val="auto"/>
        </w:rPr>
        <w:t>We are subject from time to time to various claims, lawsuits, and other legal and administrative proceedings (including those described below). Some of these claims, lawsuits, and other proceedings may involve highly complex issues that are subject to substantial uncertainties, and could result in damages, fines, and penalties, non-monetary sanctions, or relief. We intend to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For additional information, see “Risk Factors – Risks Related to Our Common Stock - We are party to pending litigation, and we may be subject to future litigation in the operation of our business. An adverse outcome in one or more proceedings could adversely affect our business.”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 Matters</w:t>
      </w:r>
    </w:p>
    <w:p>
      <w:pPr>
        <w:spacing w:after="0" w:line="69" w:lineRule="exact"/>
        <w:rPr>
          <w:sz w:val="20"/>
          <w:szCs w:val="20"/>
          <w:color w:val="auto"/>
        </w:rPr>
      </w:pPr>
    </w:p>
    <w:p>
      <w:pPr>
        <w:ind w:right="260" w:firstLine="315"/>
        <w:spacing w:after="0" w:line="277" w:lineRule="auto"/>
        <w:rPr>
          <w:sz w:val="20"/>
          <w:szCs w:val="20"/>
          <w:color w:val="auto"/>
        </w:rPr>
      </w:pPr>
      <w:r>
        <w:rPr>
          <w:rFonts w:ascii="Times New Roman" w:cs="Times New Roman" w:eastAsia="Times New Roman" w:hAnsi="Times New Roman"/>
          <w:sz w:val="17"/>
          <w:szCs w:val="17"/>
          <w:color w:val="auto"/>
        </w:rPr>
        <w:t>We have been responding to requests for information from the SEC relating to an investigation by the SEC of alleged violations by us of Rule 21F-17, which prohibits actions to impede communications directly with the SEC staff about a possible securities law violation. We intend to continue to defend this matter vigorously and cannot predict the outcome of this investigation.</w:t>
      </w:r>
    </w:p>
    <w:p>
      <w:pPr>
        <w:spacing w:after="0" w:line="5" w:lineRule="exact"/>
        <w:rPr>
          <w:sz w:val="20"/>
          <w:szCs w:val="20"/>
          <w:color w:val="auto"/>
        </w:rPr>
      </w:pPr>
    </w:p>
    <w:p>
      <w:pPr>
        <w:ind w:right="300" w:firstLine="315"/>
        <w:spacing w:after="0" w:line="297" w:lineRule="auto"/>
        <w:rPr>
          <w:sz w:val="20"/>
          <w:szCs w:val="20"/>
          <w:color w:val="auto"/>
        </w:rPr>
      </w:pPr>
      <w:r>
        <w:rPr>
          <w:rFonts w:ascii="Times New Roman" w:cs="Times New Roman" w:eastAsia="Times New Roman" w:hAnsi="Times New Roman"/>
          <w:sz w:val="17"/>
          <w:szCs w:val="17"/>
          <w:color w:val="auto"/>
        </w:rPr>
        <w:t>We have received a subpoena from the SEC relating to our November 2024 restatement of revenues for the year ended September 28, 2024 and certain other matters. We are cooperating with the SEC with respect to this matter.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Securities Class Actions</w:t>
      </w:r>
    </w:p>
    <w:p>
      <w:pPr>
        <w:spacing w:after="0" w:line="69" w:lineRule="exact"/>
        <w:rPr>
          <w:sz w:val="20"/>
          <w:szCs w:val="20"/>
          <w:color w:val="auto"/>
        </w:rPr>
      </w:pPr>
    </w:p>
    <w:p>
      <w:pPr>
        <w:jc w:val="both"/>
        <w:ind w:right="180" w:firstLine="315"/>
        <w:spacing w:after="0" w:line="277" w:lineRule="auto"/>
        <w:rPr>
          <w:sz w:val="20"/>
          <w:szCs w:val="20"/>
          <w:color w:val="auto"/>
        </w:rPr>
      </w:pPr>
      <w:r>
        <w:rPr>
          <w:rFonts w:ascii="Times New Roman" w:cs="Times New Roman" w:eastAsia="Times New Roman" w:hAnsi="Times New Roman"/>
          <w:sz w:val="17"/>
          <w:szCs w:val="17"/>
          <w:color w:val="auto"/>
        </w:rPr>
        <w:t>On August 14, 2024, a putative class action captioned Fox v. Symbotic Inc. et al., Case No. 24-cv-12090 was filed in the United States District Court for the District of Massachusetts by an alleged holder of our common stock. On March 10, 2025, the plaintiff voluntarily dismissed this action without prejudice pursuant to Federal Rule of Civil Procedure 41(a)(1)(A)(i).</w:t>
      </w:r>
    </w:p>
    <w:p>
      <w:pPr>
        <w:spacing w:after="0" w:line="5" w:lineRule="exact"/>
        <w:rPr>
          <w:sz w:val="20"/>
          <w:szCs w:val="20"/>
          <w:color w:val="auto"/>
        </w:rPr>
      </w:pPr>
    </w:p>
    <w:p>
      <w:pPr>
        <w:ind w:right="60" w:firstLine="315"/>
        <w:spacing w:after="0" w:line="265" w:lineRule="auto"/>
        <w:rPr>
          <w:sz w:val="20"/>
          <w:szCs w:val="20"/>
          <w:color w:val="auto"/>
        </w:rPr>
      </w:pPr>
      <w:r>
        <w:rPr>
          <w:rFonts w:ascii="Times New Roman" w:cs="Times New Roman" w:eastAsia="Times New Roman" w:hAnsi="Times New Roman"/>
          <w:sz w:val="17"/>
          <w:szCs w:val="17"/>
          <w:color w:val="auto"/>
        </w:rPr>
        <w:t>On December 3, 2024, a putative class action captioned Decker v. Symbotic Inc. et al., Case No. 24-cv-12976 was filed in the United States District Court for the District of Massachusetts by an alleged purchaser of our common stock. The complaint asserts claims for violations of federal securities laws against us and three of our officers on the grounds that we made false and/or misleading statements related to our revenue recognition and the effectiveness of our disclosure controls and procedures. Based on these allegations, the plaintiff brings claims seeking unspecified damages, attorneys’ fees, expert fees, and other costs and relief on behalf of himself and a putative class of persons who purchased our stock between February 8, 2024 and November 26, 2024. On May 5, 2025, the court entered an order appointing a lead plaintiff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74" w:right="399" w:bottom="1440" w:gutter="0" w:footer="0" w:header="0"/>
        </w:sectPr>
      </w:pPr>
    </w:p>
    <w:bookmarkStart w:id="46" w:name="page47"/>
    <w:bookmarkEnd w:id="46"/>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the Private Securities Litigation Reform Act and setting a schedule for the filing of an amended complaint and our response to the complaint. The plaintiff’s amended complaint is due on July 11, 2025.</w:t>
      </w:r>
    </w:p>
    <w:p>
      <w:pPr>
        <w:spacing w:after="0" w:line="1" w:lineRule="exact"/>
        <w:rPr>
          <w:sz w:val="20"/>
          <w:szCs w:val="20"/>
          <w:color w:val="auto"/>
        </w:rPr>
      </w:pPr>
    </w:p>
    <w:p>
      <w:pPr>
        <w:ind w:right="120" w:firstLine="315"/>
        <w:spacing w:after="0" w:line="265" w:lineRule="auto"/>
        <w:rPr>
          <w:sz w:val="20"/>
          <w:szCs w:val="20"/>
          <w:color w:val="auto"/>
        </w:rPr>
      </w:pPr>
      <w:r>
        <w:rPr>
          <w:rFonts w:ascii="Times New Roman" w:cs="Times New Roman" w:eastAsia="Times New Roman" w:hAnsi="Times New Roman"/>
          <w:sz w:val="17"/>
          <w:szCs w:val="17"/>
          <w:color w:val="auto"/>
        </w:rPr>
        <w:t>We intend to vigorously defend this case. If a court ultimately determines that we are liable in this case, we may be subject to substantial damages. We cannot predict with any degree of certainty the outcome of this matter or determine the extent of any potential liabilities. We also cannot provide an estimate of the possible loss or range of loss. Any adverse outcome in this matter could expose us to substantial damages that may have a material adverse impact on our operations and cash flows. Despite the potential for significant damages, we do not believe, based on currently available information, that the outcome of this proceeding will have a material adverse effect on our financial condition, although the outcome could be material to our operating results for any particular period, depending, in part, upon the operating results for such period.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Shareholder Derivative Actions</w:t>
      </w:r>
    </w:p>
    <w:p>
      <w:pPr>
        <w:spacing w:after="0" w:line="69" w:lineRule="exact"/>
        <w:rPr>
          <w:sz w:val="20"/>
          <w:szCs w:val="20"/>
          <w:color w:val="auto"/>
        </w:rPr>
      </w:pPr>
    </w:p>
    <w:p>
      <w:pPr>
        <w:ind w:firstLine="315"/>
        <w:spacing w:after="0" w:line="263" w:lineRule="auto"/>
        <w:rPr>
          <w:sz w:val="20"/>
          <w:szCs w:val="20"/>
          <w:color w:val="auto"/>
        </w:rPr>
      </w:pPr>
      <w:r>
        <w:rPr>
          <w:rFonts w:ascii="Times New Roman" w:cs="Times New Roman" w:eastAsia="Times New Roman" w:hAnsi="Times New Roman"/>
          <w:sz w:val="17"/>
          <w:szCs w:val="17"/>
          <w:color w:val="auto"/>
        </w:rPr>
        <w:t>On October 2, 2024, two putative shareholder derivative actions captioned Austen v. Cohen et al., 24-cv-12522 and Kukreja v. Cohen et al., 24-cv-12523 were filed in the United States District Court for the District of Massachusetts by our alleged shareholders. The actions assert claims on behalf of us against certain senior officers and members of our board of directors for, among others, breach of fiduciary duty, unjust enrichment, and violations of federal securities laws based primarily on allegations that the defendants caused or allowed us to disseminate misleading and inaccurate information to shareholders in connection with our expected earnings for the third quarter of fiscal year 2024. The actions also contend that the defendants wasted corporate assets by exposing us to the securities class action lawsuit filed on August 14, 2024. The actions seek compensatory damages, changes to corporate governance and internal procedures, restitution, costs and attorneys’ fees, and other unspecified relief. Motions to consolidate the two actions into a single matter, appoint lead plaintiffs’ counsel, and stay any obligation of the defendants to respond to the complaint based on the pendency of the related securities class action lawsuit remain pending.</w:t>
      </w:r>
    </w:p>
    <w:p>
      <w:pPr>
        <w:spacing w:after="0" w:line="17" w:lineRule="exact"/>
        <w:rPr>
          <w:sz w:val="20"/>
          <w:szCs w:val="20"/>
          <w:color w:val="auto"/>
        </w:rPr>
      </w:pPr>
    </w:p>
    <w:p>
      <w:pPr>
        <w:ind w:firstLine="315"/>
        <w:spacing w:after="0" w:line="265" w:lineRule="auto"/>
        <w:rPr>
          <w:sz w:val="20"/>
          <w:szCs w:val="20"/>
          <w:color w:val="auto"/>
        </w:rPr>
      </w:pPr>
      <w:r>
        <w:rPr>
          <w:rFonts w:ascii="Times New Roman" w:cs="Times New Roman" w:eastAsia="Times New Roman" w:hAnsi="Times New Roman"/>
          <w:sz w:val="17"/>
          <w:szCs w:val="17"/>
          <w:color w:val="auto"/>
        </w:rPr>
        <w:t>We intend to vigorously defend these cases. If a court ultimately determines that we are liable, we may be subject to substantial damages. We cannot predict with any degree of certainty the outcome of this matter or determine the extent of any potential liabilities. We also cannot provide an estimate of the possible loss or range of loss. Any adverse outcome in this matter could expose us to substantial damages that may have a material adverse impact on our operations and cash flows. Despite the potential for significant damages, we do not believe, based on currently available information, that the outcome of this proceeding will have a material adverse effect on our financial condition, although the outcome could be material to our operating results for any particular period, depending, in part, upon the operating results for such period.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21" w:lineRule="exact"/>
        <w:rPr>
          <w:sz w:val="20"/>
          <w:szCs w:val="20"/>
          <w:color w:val="auto"/>
        </w:rPr>
      </w:pPr>
    </w:p>
    <w:p>
      <w:pPr>
        <w:jc w:val="both"/>
        <w:ind w:right="120" w:firstLine="315"/>
        <w:spacing w:after="0" w:line="277" w:lineRule="auto"/>
        <w:rPr>
          <w:sz w:val="20"/>
          <w:szCs w:val="20"/>
          <w:color w:val="auto"/>
        </w:rPr>
      </w:pPr>
      <w:r>
        <w:rPr>
          <w:rFonts w:ascii="Times New Roman" w:cs="Times New Roman" w:eastAsia="Times New Roman" w:hAnsi="Times New Roman"/>
          <w:sz w:val="17"/>
          <w:szCs w:val="17"/>
          <w:color w:val="auto"/>
        </w:rPr>
        <w:t>We are subject to various risks and uncertainties in the course of our business. For a detailed discussion of these risks, please see the section in our Annual Report on Form 10-K filed with the SEC on December 4, 2024 titled “Risk Factors”. Any of the matters highlighted in those risk factors could adversely affect our business, results of operation and financial condition.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21" w:lineRule="exact"/>
        <w:rPr>
          <w:sz w:val="20"/>
          <w:szCs w:val="20"/>
          <w:color w:val="auto"/>
        </w:rPr>
      </w:pPr>
    </w:p>
    <w:p>
      <w:pPr>
        <w:ind w:right="460" w:firstLine="315"/>
        <w:spacing w:after="0" w:line="289" w:lineRule="auto"/>
        <w:rPr>
          <w:sz w:val="20"/>
          <w:szCs w:val="20"/>
          <w:color w:val="auto"/>
        </w:rPr>
      </w:pPr>
      <w:r>
        <w:rPr>
          <w:rFonts w:ascii="Times New Roman" w:cs="Times New Roman" w:eastAsia="Times New Roman" w:hAnsi="Times New Roman"/>
          <w:sz w:val="17"/>
          <w:szCs w:val="17"/>
          <w:color w:val="auto"/>
        </w:rPr>
        <w:t>During the fiscal quarter ended March 29, 2025, the following directors, as defined in Rule 16a-1(f) under the Exchange Act, adopted a “Rule 10b5-1 trading arrangement” or a “non-Rule 10b5-1 trading arrangement,” as defined in Regulation S-K Item 408:</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February 24, 2025, Daniela Rus, a director of the Company, entered into a trading plan pursuant to Rule 10b5-1 of the Exchange Act. Ms. Rus’ Rule</w:t>
      </w:r>
    </w:p>
    <w:p>
      <w:pPr>
        <w:spacing w:after="0" w:line="3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7"/>
          <w:szCs w:val="17"/>
          <w:color w:val="auto"/>
        </w:rPr>
        <w:t>10b5-1 trading plan provides for the sale of up to a maximum of 17,411 shares of Class A Common Stock that she has received following the vesting of various RSU grants. Ms. Rus’ Rule 10b5-1 trading plan expires on April 30, 2026, or earlier if all transactions under the trading arrangement are completed. The trading arrangement is intended to satisfy the affirmative defense in Rule 10b5-1(c)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7" w:name="page48"/>
    <w:bookmarkEnd w:id="47"/>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80" w:firstLine="315"/>
        <w:spacing w:after="0" w:line="270" w:lineRule="auto"/>
        <w:rPr>
          <w:sz w:val="20"/>
          <w:szCs w:val="20"/>
          <w:color w:val="auto"/>
        </w:rPr>
      </w:pPr>
      <w:r>
        <w:rPr>
          <w:rFonts w:ascii="Times New Roman" w:cs="Times New Roman" w:eastAsia="Times New Roman" w:hAnsi="Times New Roman"/>
          <w:sz w:val="17"/>
          <w:szCs w:val="17"/>
          <w:color w:val="auto"/>
        </w:rPr>
        <w:t>On February 25, 2025, Merline Saintil, a director of the Company, entered into a trading plan pursuant to Rule 10b5-1 of the Exchange Act. Ms. Saintil’s Rule 10b5-1 trading plan provides for the sale of up to a maximum of 1,224 shares of Class A Common Stock that she has received or will receive following the vesting of various RSU grants. Ms. Saintil’s Rule 10b5-1 trading plan expires on December 31, 2025, or earlier if all transactions under the trading arrangement are completed. The trading arrangement is intended to satisfy the affirmative defense in Rule 10b5-1(c) under the Exchange Act.</w:t>
      </w:r>
    </w:p>
    <w:p>
      <w:pPr>
        <w:spacing w:after="0" w:line="12" w:lineRule="exact"/>
        <w:rPr>
          <w:sz w:val="20"/>
          <w:szCs w:val="20"/>
          <w:color w:val="auto"/>
        </w:rPr>
      </w:pPr>
    </w:p>
    <w:p>
      <w:pPr>
        <w:ind w:right="100" w:firstLine="315"/>
        <w:spacing w:after="0" w:line="270" w:lineRule="auto"/>
        <w:rPr>
          <w:sz w:val="20"/>
          <w:szCs w:val="20"/>
          <w:color w:val="auto"/>
        </w:rPr>
      </w:pPr>
      <w:r>
        <w:rPr>
          <w:rFonts w:ascii="Times New Roman" w:cs="Times New Roman" w:eastAsia="Times New Roman" w:hAnsi="Times New Roman"/>
          <w:sz w:val="17"/>
          <w:szCs w:val="17"/>
          <w:color w:val="auto"/>
        </w:rPr>
        <w:t>Certain of our directors and officers have made elections to participate in, and are participating in, our Incentive Compensation Plan, ESPP or our defined-contribution benefit plan under the provisions of Section 401(k) of the Internal Revenue Code and have may, and may from time to time make, elections to have shares withheld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exhibits listed below are filed or incorporated by reference into this Report.</w:t>
      </w:r>
    </w:p>
    <w:p>
      <w:pPr>
        <w:spacing w:after="0" w:line="119"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7"/>
          <w:szCs w:val="17"/>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5207635</wp:posOffset>
            </wp:positionH>
            <wp:positionV relativeFrom="paragraph">
              <wp:posOffset>45720</wp:posOffset>
            </wp:positionV>
            <wp:extent cx="18738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73885" cy="8255"/>
                    </a:xfrm>
                    <a:prstGeom prst="rect">
                      <a:avLst/>
                    </a:prstGeom>
                    <a:noFill/>
                  </pic:spPr>
                </pic:pic>
              </a:graphicData>
            </a:graphic>
          </wp:anchor>
        </w:drawing>
      </w:r>
    </w:p>
    <w:p>
      <w:pPr>
        <w:sectPr>
          <w:pgSz w:w="11900" w:h="16838" w:orient="portrait"/>
          <w:cols w:equalWidth="0" w:num="1">
            <w:col w:w="11320"/>
          </w:cols>
          <w:pgMar w:left="320" w:top="174" w:right="259" w:bottom="1440" w:gutter="0" w:footer="0" w:header="0"/>
        </w:sectPr>
      </w:pPr>
    </w:p>
    <w:p>
      <w:pPr>
        <w:spacing w:after="0" w:line="93" w:lineRule="exact"/>
        <w:rPr>
          <w:sz w:val="20"/>
          <w:szCs w:val="20"/>
          <w:color w:val="auto"/>
        </w:rPr>
      </w:pPr>
    </w:p>
    <w:tbl>
      <w:tblPr>
        <w:tblLayout w:type="fixed"/>
        <w:tblInd w:w="320" w:type="dxa"/>
        <w:tblCellMar>
          <w:top w:w="0" w:type="dxa"/>
          <w:left w:w="0" w:type="dxa"/>
          <w:bottom w:w="0" w:type="dxa"/>
          <w:right w:w="0" w:type="dxa"/>
        </w:tblCellMar>
      </w:tblPr>
      <w:tr>
        <w:trPr>
          <w:trHeight w:val="228"/>
        </w:trPr>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Exhibit</w:t>
            </w: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40" w:type="dxa"/>
            <w:vAlign w:val="bottom"/>
            <w:gridSpan w:val="10"/>
          </w:tcPr>
          <w:p>
            <w:pPr>
              <w:ind w:left="1680"/>
              <w:spacing w:after="0"/>
              <w:rPr>
                <w:sz w:val="20"/>
                <w:szCs w:val="20"/>
                <w:color w:val="auto"/>
              </w:rPr>
            </w:pPr>
            <w:r>
              <w:rPr>
                <w:rFonts w:ascii="Times New Roman" w:cs="Times New Roman" w:eastAsia="Times New Roman" w:hAnsi="Times New Roman"/>
                <w:sz w:val="17"/>
                <w:szCs w:val="17"/>
                <w:color w:val="auto"/>
              </w:rPr>
              <w:t>Description</w:t>
            </w:r>
          </w:p>
        </w:tc>
      </w:tr>
      <w:tr>
        <w:trPr>
          <w:trHeight w:val="40"/>
        </w:trPr>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190"/>
        </w:trPr>
        <w:tc>
          <w:tcPr>
            <w:tcW w:w="98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80" w:type="dxa"/>
            <w:vAlign w:val="bottom"/>
            <w:gridSpan w:val="11"/>
          </w:tcPr>
          <w:p>
            <w:pPr>
              <w:spacing w:after="0" w:line="190"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Purchase and Sale Agreement, by and between Walmart Inc. and Symbotic Inc., dated as of</w:t>
              </w:r>
            </w:hyperlink>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top w:val="single" w:sz="8" w:color="0000FF"/>
              <w:bottom w:val="single" w:sz="8" w:color="0000FF"/>
            </w:tcBorders>
          </w:tcPr>
          <w:p>
            <w:pPr>
              <w:spacing w:after="0"/>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January 15, 2025.</w:t>
              </w:r>
            </w:hyperlink>
          </w:p>
        </w:tc>
        <w:tc>
          <w:tcPr>
            <w:tcW w:w="5140" w:type="dxa"/>
            <w:vAlign w:val="bottom"/>
            <w:tcBorders>
              <w:top w:val="single" w:sz="8" w:color="0000FF"/>
            </w:tcBorders>
            <w:gridSpan w:val="8"/>
          </w:tcPr>
          <w:p>
            <w:pPr>
              <w:spacing w:after="0"/>
              <w:rPr>
                <w:sz w:val="17"/>
                <w:szCs w:val="17"/>
                <w:color w:val="auto"/>
              </w:rPr>
            </w:pPr>
          </w:p>
        </w:tc>
        <w:tc>
          <w:tcPr>
            <w:tcW w:w="300" w:type="dxa"/>
            <w:vAlign w:val="bottom"/>
            <w:gridSpan w:val="2"/>
          </w:tcPr>
          <w:p>
            <w:pPr>
              <w:spacing w:after="0"/>
              <w:rPr>
                <w:sz w:val="17"/>
                <w:szCs w:val="17"/>
                <w:color w:val="auto"/>
              </w:rPr>
            </w:pPr>
          </w:p>
        </w:tc>
      </w:tr>
      <w:tr>
        <w:trPr>
          <w:trHeight w:val="242"/>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80" w:type="dxa"/>
            <w:vAlign w:val="bottom"/>
            <w:gridSpan w:val="11"/>
          </w:tcPr>
          <w:p>
            <w:pPr>
              <w:spacing w:after="0"/>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Master Automation Agreement, by and between Walmart Inc. and Symbotic LLC, dated as of</w:t>
              </w:r>
            </w:hyperlink>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top w:val="single" w:sz="8" w:color="0000FF"/>
              <w:bottom w:val="single" w:sz="8" w:color="0000FF"/>
            </w:tcBorders>
          </w:tcPr>
          <w:p>
            <w:pPr>
              <w:spacing w:after="0"/>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January 27, 2025.</w:t>
              </w:r>
            </w:hyperlink>
          </w:p>
        </w:tc>
        <w:tc>
          <w:tcPr>
            <w:tcW w:w="5300" w:type="dxa"/>
            <w:vAlign w:val="bottom"/>
            <w:tcBorders>
              <w:top w:val="single" w:sz="8" w:color="0000FF"/>
            </w:tcBorders>
            <w:gridSpan w:val="9"/>
          </w:tcPr>
          <w:p>
            <w:pPr>
              <w:spacing w:after="0"/>
              <w:rPr>
                <w:sz w:val="17"/>
                <w:szCs w:val="17"/>
                <w:color w:val="auto"/>
              </w:rPr>
            </w:pPr>
          </w:p>
        </w:tc>
        <w:tc>
          <w:tcPr>
            <w:tcW w:w="140" w:type="dxa"/>
            <w:vAlign w:val="bottom"/>
          </w:tcPr>
          <w:p>
            <w:pPr>
              <w:spacing w:after="0"/>
              <w:rPr>
                <w:sz w:val="17"/>
                <w:szCs w:val="17"/>
                <w:color w:val="auto"/>
              </w:rPr>
            </w:pPr>
          </w:p>
        </w:tc>
      </w:tr>
      <w:tr>
        <w:trPr>
          <w:trHeight w:val="242"/>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Rule 13a-14(a)/ Rule 15d-14(a) of the</w:t>
            </w:r>
          </w:p>
        </w:tc>
        <w:tc>
          <w:tcPr>
            <w:tcW w:w="360" w:type="dxa"/>
            <w:vAlign w:val="bottom"/>
            <w:gridSpan w:val="3"/>
          </w:tcPr>
          <w:p>
            <w:pPr>
              <w:spacing w:after="0"/>
              <w:rPr>
                <w:sz w:val="21"/>
                <w:szCs w:val="21"/>
                <w:color w:val="auto"/>
              </w:rPr>
            </w:pPr>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8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Securities Exchange Act of 1934, as amended</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242"/>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Rule 13a-14(a)/ Rule 15d-14(a) of the</w:t>
            </w:r>
          </w:p>
        </w:tc>
        <w:tc>
          <w:tcPr>
            <w:tcW w:w="420" w:type="dxa"/>
            <w:vAlign w:val="bottom"/>
            <w:gridSpan w:val="4"/>
          </w:tcPr>
          <w:p>
            <w:pPr>
              <w:spacing w:after="0"/>
              <w:rPr>
                <w:sz w:val="21"/>
                <w:szCs w:val="21"/>
                <w:color w:val="auto"/>
              </w:rPr>
            </w:pPr>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8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Securities Exchange Act of 1934, as amended</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r>
      <w:tr>
        <w:trPr>
          <w:trHeight w:val="242"/>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18 U.S.C. Section 1350, as adopted</w:t>
            </w:r>
          </w:p>
        </w:tc>
        <w:tc>
          <w:tcPr>
            <w:tcW w:w="540" w:type="dxa"/>
            <w:vAlign w:val="bottom"/>
            <w:gridSpan w:val="5"/>
          </w:tcPr>
          <w:p>
            <w:pPr>
              <w:spacing w:after="0"/>
              <w:rPr>
                <w:sz w:val="21"/>
                <w:szCs w:val="21"/>
                <w:color w:val="auto"/>
              </w:rPr>
            </w:pPr>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pursuant to Section 906 of the Sarbanes-Oxley Act of 2002</w:t>
            </w:r>
          </w:p>
        </w:tc>
        <w:tc>
          <w:tcPr>
            <w:tcW w:w="2520" w:type="dxa"/>
            <w:vAlign w:val="bottom"/>
            <w:gridSpan w:val="7"/>
          </w:tcPr>
          <w:p>
            <w:pPr>
              <w:spacing w:after="0"/>
              <w:rPr>
                <w:sz w:val="17"/>
                <w:szCs w:val="17"/>
                <w:color w:val="auto"/>
              </w:rPr>
            </w:pPr>
          </w:p>
        </w:tc>
      </w:tr>
      <w:tr>
        <w:trPr>
          <w:trHeight w:val="242"/>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8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18 U.S.C. Section 1350, as adopted</w:t>
            </w:r>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pursuant to Section 906 of the Sarbanes-Oxley Act of 2002</w:t>
            </w:r>
          </w:p>
        </w:tc>
        <w:tc>
          <w:tcPr>
            <w:tcW w:w="1940" w:type="dxa"/>
            <w:vAlign w:val="bottom"/>
            <w:tcBorders>
              <w:top w:val="single" w:sz="8" w:color="0000FF"/>
            </w:tcBorders>
            <w:gridSpan w:val="2"/>
          </w:tcPr>
          <w:p>
            <w:pPr>
              <w:spacing w:after="0"/>
              <w:rPr>
                <w:sz w:val="17"/>
                <w:szCs w:val="17"/>
                <w:color w:val="auto"/>
              </w:rPr>
            </w:pPr>
          </w:p>
        </w:tc>
        <w:tc>
          <w:tcPr>
            <w:tcW w:w="600" w:type="dxa"/>
            <w:vAlign w:val="bottom"/>
            <w:gridSpan w:val="6"/>
          </w:tcPr>
          <w:p>
            <w:pPr>
              <w:spacing w:after="0"/>
              <w:rPr>
                <w:sz w:val="17"/>
                <w:szCs w:val="17"/>
                <w:color w:val="auto"/>
              </w:rPr>
            </w:pPr>
          </w:p>
        </w:tc>
      </w:tr>
      <w:tr>
        <w:trPr>
          <w:trHeight w:val="281"/>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24"/>
                <w:szCs w:val="24"/>
                <w:color w:val="auto"/>
              </w:rPr>
            </w:pPr>
          </w:p>
        </w:tc>
        <w:tc>
          <w:tcPr>
            <w:tcW w:w="668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7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23"/>
                <w:szCs w:val="23"/>
                <w:color w:val="auto"/>
              </w:rPr>
            </w:pPr>
          </w:p>
        </w:tc>
        <w:tc>
          <w:tcPr>
            <w:tcW w:w="668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7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23"/>
                <w:szCs w:val="23"/>
                <w:color w:val="auto"/>
              </w:rPr>
            </w:pPr>
          </w:p>
        </w:tc>
        <w:tc>
          <w:tcPr>
            <w:tcW w:w="668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7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23"/>
                <w:szCs w:val="23"/>
                <w:color w:val="auto"/>
              </w:rPr>
            </w:pPr>
          </w:p>
        </w:tc>
        <w:tc>
          <w:tcPr>
            <w:tcW w:w="668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7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23"/>
                <w:szCs w:val="23"/>
                <w:color w:val="auto"/>
              </w:rPr>
            </w:pPr>
          </w:p>
        </w:tc>
        <w:tc>
          <w:tcPr>
            <w:tcW w:w="668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spacing w:after="0" w:line="48" w:lineRule="exact"/>
        <w:rPr>
          <w:sz w:val="20"/>
          <w:szCs w:val="20"/>
          <w:color w:val="auto"/>
        </w:rPr>
      </w:pPr>
    </w:p>
    <w:p>
      <w:pPr>
        <w:ind w:left="1420" w:right="600" w:hanging="1083"/>
        <w:spacing w:after="0" w:line="313" w:lineRule="auto"/>
        <w:tabs>
          <w:tab w:leader="none" w:pos="14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Form</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Exhibit</w:t>
            </w: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Filing Date</w:t>
            </w:r>
          </w:p>
        </w:tc>
      </w:tr>
      <w:tr>
        <w:trPr>
          <w:trHeight w:val="40"/>
        </w:trPr>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439"/>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24"/>
                <w:szCs w:val="24"/>
                <w:color w:val="auto"/>
              </w:rPr>
            </w:pPr>
          </w:p>
        </w:tc>
        <w:tc>
          <w:tcPr>
            <w:tcW w:w="116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1/16/2025</w:t>
            </w:r>
          </w:p>
        </w:tc>
      </w:tr>
      <w:tr>
        <w:trPr>
          <w:trHeight w:val="485"/>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4"/>
                <w:szCs w:val="24"/>
                <w:color w:val="auto"/>
              </w:rPr>
            </w:pPr>
          </w:p>
        </w:tc>
        <w:tc>
          <w:tcPr>
            <w:tcW w:w="116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1/28/2025</w:t>
            </w:r>
          </w:p>
        </w:tc>
      </w:tr>
    </w:tbl>
    <w:p>
      <w:pPr>
        <w:spacing w:after="0" w:line="4075" w:lineRule="exact"/>
        <w:rPr>
          <w:sz w:val="20"/>
          <w:szCs w:val="20"/>
          <w:color w:val="auto"/>
        </w:rPr>
      </w:pPr>
    </w:p>
    <w:p>
      <w:pPr>
        <w:sectPr>
          <w:pgSz w:w="11900" w:h="16838" w:orient="portrait"/>
          <w:cols w:equalWidth="0" w:num="2">
            <w:col w:w="8100" w:space="100"/>
            <w:col w:w="3120"/>
          </w:cols>
          <w:pgMar w:left="320" w:top="174" w:right="259" w:bottom="1440" w:gutter="0" w:footer="0" w:header="0"/>
          <w:type w:val="continuous"/>
        </w:sectPr>
      </w:pPr>
    </w:p>
    <w:p>
      <w:pPr>
        <w:spacing w:after="0" w:line="182" w:lineRule="exact"/>
        <w:rPr>
          <w:sz w:val="20"/>
          <w:szCs w:val="20"/>
          <w:color w:val="auto"/>
        </w:rPr>
      </w:pPr>
    </w:p>
    <w:p>
      <w:pPr>
        <w:ind w:left="780" w:right="40" w:hanging="443"/>
        <w:spacing w:after="0" w:line="297" w:lineRule="auto"/>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the exhibits and schedules to this Exhibit have been omitted in accordance with Item 1.01 of Form 8-K and Item 601(a)(5) of Regulation S-The Registrant agrees to furnish a copy of all omitted exhibits and schedules to the SEC upon its request.</w:t>
      </w:r>
    </w:p>
    <w:p>
      <w:pPr>
        <w:spacing w:after="0" w:line="1" w:lineRule="exact"/>
        <w:rPr>
          <w:rFonts w:ascii="Times New Roman" w:cs="Times New Roman" w:eastAsia="Times New Roman" w:hAnsi="Times New Roman"/>
          <w:sz w:val="17"/>
          <w:szCs w:val="17"/>
          <w:color w:val="auto"/>
        </w:rPr>
      </w:pPr>
    </w:p>
    <w:p>
      <w:pPr>
        <w:ind w:left="780" w:hanging="399"/>
        <w:spacing w:after="0" w:line="285" w:lineRule="auto"/>
        <w:tabs>
          <w:tab w:leader="none" w:pos="78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confidential information contained in this document, marked by brackets and asterisks, has been omitted pursuant to Item 1.01 of Form 8-K an Item 601(b)(10)(iv) of Regulation S-K, because Symbotic customarily and actually treats such information as private or confidential and the omitted information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20"/>
          </w:cols>
          <w:pgMar w:left="320" w:top="174" w:right="259" w:bottom="1440" w:gutter="0" w:footer="0" w:header="0"/>
          <w:type w:val="continuous"/>
        </w:sectPr>
      </w:pPr>
    </w:p>
    <w:bookmarkStart w:id="48" w:name="page49"/>
    <w:bookmarkEnd w:id="48"/>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357" w:lineRule="exact"/>
        <w:rPr>
          <w:sz w:val="20"/>
          <w:szCs w:val="20"/>
          <w:color w:val="auto"/>
        </w:rPr>
      </w:pPr>
    </w:p>
    <w:p>
      <w:pPr>
        <w:ind w:firstLine="315"/>
        <w:spacing w:after="0" w:line="29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7, 2025</w:t>
      </w:r>
    </w:p>
    <w:p>
      <w:pPr>
        <w:spacing w:after="0" w:line="117" w:lineRule="exact"/>
        <w:rPr>
          <w:sz w:val="20"/>
          <w:szCs w:val="20"/>
          <w:color w:val="auto"/>
        </w:rPr>
      </w:pPr>
    </w:p>
    <w:tbl>
      <w:tblPr>
        <w:tblLayout w:type="fixed"/>
        <w:tblInd w:w="180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Symbotic Inc.</w:t>
            </w:r>
          </w:p>
        </w:tc>
        <w:tc>
          <w:tcPr>
            <w:tcW w:w="4900" w:type="dxa"/>
            <w:vAlign w:val="bottom"/>
          </w:tcPr>
          <w:p>
            <w:pPr>
              <w:spacing w:after="0"/>
              <w:rPr>
                <w:sz w:val="19"/>
                <w:szCs w:val="19"/>
                <w:color w:val="auto"/>
              </w:rPr>
            </w:pPr>
          </w:p>
        </w:tc>
      </w:tr>
      <w:tr>
        <w:trPr>
          <w:trHeight w:val="538"/>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/s/ Maria G. Freve</w:t>
            </w:r>
          </w:p>
        </w:tc>
      </w:tr>
      <w:tr>
        <w:trPr>
          <w:trHeight w:val="40"/>
        </w:trPr>
        <w:tc>
          <w:tcPr>
            <w:tcW w:w="136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229"/>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Maria G. Freve</w:t>
            </w:r>
          </w:p>
        </w:tc>
      </w:tr>
      <w:tr>
        <w:trPr>
          <w:trHeight w:val="271"/>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 Controller and Chief Accounting Officer</w:t>
            </w:r>
          </w:p>
        </w:tc>
      </w:tr>
      <w:tr>
        <w:trPr>
          <w:trHeight w:val="228"/>
        </w:trPr>
        <w:tc>
          <w:tcPr>
            <w:tcW w:w="136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200"/>
          </w:cols>
          <w:pgMar w:left="320" w:top="174" w:right="37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Richard B. Cohen, certify that: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I have reviewed this Quarterly Report on Form 10-Q for the fiscal quarter ended March 29, 2025 of Symbotic Inc.;</w:t>
      </w:r>
    </w:p>
    <w:p>
      <w:pPr>
        <w:spacing w:after="0" w:line="145" w:lineRule="exact"/>
        <w:rPr>
          <w:sz w:val="20"/>
          <w:szCs w:val="20"/>
          <w:color w:val="auto"/>
        </w:rPr>
      </w:pPr>
    </w:p>
    <w:p>
      <w:pPr>
        <w:ind w:right="580"/>
        <w:spacing w:after="0" w:line="313" w:lineRule="auto"/>
        <w:rPr>
          <w:sz w:val="20"/>
          <w:szCs w:val="20"/>
          <w:color w:val="auto"/>
        </w:rPr>
      </w:pPr>
      <w:r>
        <w:rPr>
          <w:rFonts w:ascii="Times New Roman" w:cs="Times New Roman" w:eastAsia="Times New Roman" w:hAnsi="Times New Roman"/>
          <w:sz w:val="17"/>
          <w:szCs w:val="17"/>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sz w:val="20"/>
          <w:szCs w:val="20"/>
          <w:color w:val="auto"/>
        </w:rPr>
      </w:pPr>
    </w:p>
    <w:p>
      <w:pPr>
        <w:ind w:right="40"/>
        <w:spacing w:after="0" w:line="329" w:lineRule="auto"/>
        <w:rPr>
          <w:sz w:val="20"/>
          <w:szCs w:val="20"/>
          <w:color w:val="auto"/>
        </w:rPr>
      </w:pPr>
      <w:r>
        <w:rPr>
          <w:rFonts w:ascii="Times New Roman" w:cs="Times New Roman" w:eastAsia="Times New Roman" w:hAnsi="Times New Roman"/>
          <w:sz w:val="17"/>
          <w:szCs w:val="17"/>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sz w:val="20"/>
          <w:szCs w:val="20"/>
          <w:color w:val="auto"/>
        </w:rPr>
      </w:pPr>
    </w:p>
    <w:p>
      <w:pPr>
        <w:jc w:val="both"/>
        <w:ind w:right="180"/>
        <w:spacing w:after="0" w:line="301" w:lineRule="auto"/>
        <w:rPr>
          <w:sz w:val="20"/>
          <w:szCs w:val="20"/>
          <w:color w:val="auto"/>
        </w:rPr>
      </w:pPr>
      <w:r>
        <w:rPr>
          <w:rFonts w:ascii="Times New Roman" w:cs="Times New Roman" w:eastAsia="Times New Roman" w:hAnsi="Times New Roman"/>
          <w:sz w:val="17"/>
          <w:szCs w:val="17"/>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sz w:val="20"/>
          <w:szCs w:val="20"/>
          <w:color w:val="auto"/>
        </w:rPr>
      </w:pPr>
    </w:p>
    <w:p>
      <w:pPr>
        <w:ind w:left="640" w:right="180" w:hanging="320"/>
        <w:spacing w:after="0" w:line="301" w:lineRule="auto"/>
        <w:tabs>
          <w:tab w:leader="none" w:pos="63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7"/>
          <w:szCs w:val="17"/>
          <w:color w:val="auto"/>
        </w:rPr>
      </w:pPr>
    </w:p>
    <w:p>
      <w:pPr>
        <w:ind w:left="640" w:hanging="320"/>
        <w:spacing w:after="0" w:line="301" w:lineRule="auto"/>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7"/>
          <w:szCs w:val="17"/>
          <w:color w:val="auto"/>
        </w:rPr>
      </w:pPr>
    </w:p>
    <w:p>
      <w:pPr>
        <w:ind w:left="640" w:right="40" w:hanging="320"/>
        <w:spacing w:after="0" w:line="313" w:lineRule="auto"/>
        <w:tabs>
          <w:tab w:leader="none" w:pos="63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7"/>
          <w:szCs w:val="17"/>
          <w:color w:val="auto"/>
        </w:rPr>
      </w:pPr>
    </w:p>
    <w:p>
      <w:pPr>
        <w:ind w:left="640" w:right="100" w:hanging="320"/>
        <w:spacing w:after="0" w:line="293" w:lineRule="auto"/>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sz w:val="20"/>
          <w:szCs w:val="20"/>
          <w:color w:val="auto"/>
        </w:rPr>
      </w:pPr>
    </w:p>
    <w:p>
      <w:pPr>
        <w:ind w:right="620"/>
        <w:spacing w:after="0" w:line="313" w:lineRule="auto"/>
        <w:rPr>
          <w:sz w:val="20"/>
          <w:szCs w:val="20"/>
          <w:color w:val="auto"/>
        </w:rPr>
      </w:pPr>
      <w:r>
        <w:rPr>
          <w:rFonts w:ascii="Times New Roman" w:cs="Times New Roman" w:eastAsia="Times New Roman" w:hAnsi="Times New Roman"/>
          <w:sz w:val="17"/>
          <w:szCs w:val="17"/>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sz w:val="20"/>
          <w:szCs w:val="20"/>
          <w:color w:val="auto"/>
        </w:rPr>
      </w:pPr>
    </w:p>
    <w:p>
      <w:pPr>
        <w:ind w:left="640" w:right="160" w:hanging="320"/>
        <w:spacing w:after="0" w:line="329" w:lineRule="auto"/>
        <w:tabs>
          <w:tab w:leader="none" w:pos="63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Times New Roman" w:cs="Times New Roman" w:eastAsia="Times New Roman" w:hAnsi="Times New Roman"/>
          <w:sz w:val="17"/>
          <w:szCs w:val="17"/>
          <w:color w:val="auto"/>
        </w:rPr>
      </w:pPr>
    </w:p>
    <w:p>
      <w:pPr>
        <w:ind w:left="640" w:right="200" w:hanging="320"/>
        <w:spacing w:after="0" w:line="313" w:lineRule="auto"/>
        <w:tabs>
          <w:tab w:leader="none" w:pos="6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78"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8"/>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Date: May 7, 2025</w:t>
            </w:r>
          </w:p>
        </w:tc>
        <w:tc>
          <w:tcPr>
            <w:tcW w:w="7060" w:type="dxa"/>
            <w:vAlign w:val="bottom"/>
            <w:gridSpan w:val="2"/>
          </w:tcPr>
          <w:p>
            <w:pPr>
              <w:ind w:left="2840"/>
              <w:spacing w:after="0"/>
              <w:rPr>
                <w:sz w:val="20"/>
                <w:szCs w:val="20"/>
                <w:color w:val="auto"/>
              </w:rPr>
            </w:pPr>
            <w:r>
              <w:rPr>
                <w:rFonts w:ascii="Times New Roman" w:cs="Times New Roman" w:eastAsia="Times New Roman" w:hAnsi="Times New Roman"/>
                <w:sz w:val="17"/>
                <w:szCs w:val="17"/>
                <w:color w:val="auto"/>
              </w:rPr>
              <w:t>By: /s/ Richard B. Cohen</w:t>
            </w:r>
          </w:p>
        </w:tc>
      </w:tr>
      <w:tr>
        <w:trPr>
          <w:trHeight w:val="211"/>
        </w:trPr>
        <w:tc>
          <w:tcPr>
            <w:tcW w:w="41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Richard B. Cohen</w:t>
            </w:r>
          </w:p>
        </w:tc>
      </w:tr>
      <w:tr>
        <w:trPr>
          <w:trHeight w:val="223"/>
        </w:trPr>
        <w:tc>
          <w:tcPr>
            <w:tcW w:w="4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Chairman and Chief Executive Officer</w:t>
            </w:r>
          </w:p>
        </w:tc>
      </w:tr>
      <w:tr>
        <w:trPr>
          <w:trHeight w:val="228"/>
        </w:trPr>
        <w:tc>
          <w:tcPr>
            <w:tcW w:w="4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ectPr>
          <w:pgSz w:w="11900" w:h="16838" w:orient="portrait"/>
          <w:cols w:equalWidth="0" w:num="1">
            <w:col w:w="11220"/>
          </w:cols>
          <w:pgMar w:left="340" w:top="1419"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Carol Hibbard, certify that: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I have reviewed this Quarterly Report on Form 10-Q for the fiscal quarter ended March 29, 2025 of Symbotic Inc.;</w:t>
      </w:r>
    </w:p>
    <w:p>
      <w:pPr>
        <w:spacing w:after="0" w:line="145" w:lineRule="exact"/>
        <w:rPr>
          <w:sz w:val="20"/>
          <w:szCs w:val="20"/>
          <w:color w:val="auto"/>
        </w:rPr>
      </w:pPr>
    </w:p>
    <w:p>
      <w:pPr>
        <w:ind w:right="580"/>
        <w:spacing w:after="0" w:line="313" w:lineRule="auto"/>
        <w:rPr>
          <w:sz w:val="20"/>
          <w:szCs w:val="20"/>
          <w:color w:val="auto"/>
        </w:rPr>
      </w:pPr>
      <w:r>
        <w:rPr>
          <w:rFonts w:ascii="Times New Roman" w:cs="Times New Roman" w:eastAsia="Times New Roman" w:hAnsi="Times New Roman"/>
          <w:sz w:val="17"/>
          <w:szCs w:val="17"/>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sz w:val="20"/>
          <w:szCs w:val="20"/>
          <w:color w:val="auto"/>
        </w:rPr>
      </w:pPr>
    </w:p>
    <w:p>
      <w:pPr>
        <w:ind w:right="40"/>
        <w:spacing w:after="0" w:line="329" w:lineRule="auto"/>
        <w:rPr>
          <w:sz w:val="20"/>
          <w:szCs w:val="20"/>
          <w:color w:val="auto"/>
        </w:rPr>
      </w:pPr>
      <w:r>
        <w:rPr>
          <w:rFonts w:ascii="Times New Roman" w:cs="Times New Roman" w:eastAsia="Times New Roman" w:hAnsi="Times New Roman"/>
          <w:sz w:val="17"/>
          <w:szCs w:val="17"/>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sz w:val="20"/>
          <w:szCs w:val="20"/>
          <w:color w:val="auto"/>
        </w:rPr>
      </w:pPr>
    </w:p>
    <w:p>
      <w:pPr>
        <w:jc w:val="both"/>
        <w:ind w:right="180"/>
        <w:spacing w:after="0" w:line="301" w:lineRule="auto"/>
        <w:rPr>
          <w:sz w:val="20"/>
          <w:szCs w:val="20"/>
          <w:color w:val="auto"/>
        </w:rPr>
      </w:pPr>
      <w:r>
        <w:rPr>
          <w:rFonts w:ascii="Times New Roman" w:cs="Times New Roman" w:eastAsia="Times New Roman" w:hAnsi="Times New Roman"/>
          <w:sz w:val="17"/>
          <w:szCs w:val="17"/>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sz w:val="20"/>
          <w:szCs w:val="20"/>
          <w:color w:val="auto"/>
        </w:rPr>
      </w:pPr>
    </w:p>
    <w:p>
      <w:pPr>
        <w:ind w:left="640" w:right="200" w:hanging="320"/>
        <w:spacing w:after="0" w:line="301" w:lineRule="auto"/>
        <w:tabs>
          <w:tab w:leader="none" w:pos="63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7"/>
          <w:szCs w:val="17"/>
          <w:color w:val="auto"/>
        </w:rPr>
      </w:pPr>
    </w:p>
    <w:p>
      <w:pPr>
        <w:ind w:left="640" w:hanging="320"/>
        <w:spacing w:after="0" w:line="301" w:lineRule="auto"/>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7"/>
          <w:szCs w:val="17"/>
          <w:color w:val="auto"/>
        </w:rPr>
      </w:pPr>
    </w:p>
    <w:p>
      <w:pPr>
        <w:ind w:left="640" w:right="60" w:hanging="320"/>
        <w:spacing w:after="0" w:line="313" w:lineRule="auto"/>
        <w:tabs>
          <w:tab w:leader="none" w:pos="63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7"/>
          <w:szCs w:val="17"/>
          <w:color w:val="auto"/>
        </w:rPr>
      </w:pPr>
    </w:p>
    <w:p>
      <w:pPr>
        <w:ind w:left="640" w:right="100" w:hanging="320"/>
        <w:spacing w:after="0" w:line="293" w:lineRule="auto"/>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sz w:val="20"/>
          <w:szCs w:val="20"/>
          <w:color w:val="auto"/>
        </w:rPr>
      </w:pPr>
    </w:p>
    <w:p>
      <w:pPr>
        <w:ind w:right="620"/>
        <w:spacing w:after="0" w:line="313" w:lineRule="auto"/>
        <w:rPr>
          <w:sz w:val="20"/>
          <w:szCs w:val="20"/>
          <w:color w:val="auto"/>
        </w:rPr>
      </w:pPr>
      <w:r>
        <w:rPr>
          <w:rFonts w:ascii="Times New Roman" w:cs="Times New Roman" w:eastAsia="Times New Roman" w:hAnsi="Times New Roman"/>
          <w:sz w:val="17"/>
          <w:szCs w:val="17"/>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sz w:val="20"/>
          <w:szCs w:val="20"/>
          <w:color w:val="auto"/>
        </w:rPr>
      </w:pPr>
    </w:p>
    <w:p>
      <w:pPr>
        <w:ind w:left="640" w:right="160" w:hanging="320"/>
        <w:spacing w:after="0" w:line="329" w:lineRule="auto"/>
        <w:tabs>
          <w:tab w:leader="none" w:pos="63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Times New Roman" w:cs="Times New Roman" w:eastAsia="Times New Roman" w:hAnsi="Times New Roman"/>
          <w:sz w:val="17"/>
          <w:szCs w:val="17"/>
          <w:color w:val="auto"/>
        </w:rPr>
      </w:pPr>
    </w:p>
    <w:p>
      <w:pPr>
        <w:ind w:left="640" w:right="200" w:hanging="320"/>
        <w:spacing w:after="0" w:line="313" w:lineRule="auto"/>
        <w:tabs>
          <w:tab w:leader="none" w:pos="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78"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Date: May 7, 2025</w:t>
            </w:r>
          </w:p>
        </w:tc>
        <w:tc>
          <w:tcPr>
            <w:tcW w:w="7300" w:type="dxa"/>
            <w:vAlign w:val="bottom"/>
            <w:gridSpan w:val="2"/>
          </w:tcPr>
          <w:p>
            <w:pPr>
              <w:ind w:left="2580"/>
              <w:spacing w:after="0"/>
              <w:rPr>
                <w:sz w:val="20"/>
                <w:szCs w:val="20"/>
                <w:color w:val="auto"/>
              </w:rPr>
            </w:pPr>
            <w:r>
              <w:rPr>
                <w:rFonts w:ascii="Times New Roman" w:cs="Times New Roman" w:eastAsia="Times New Roman" w:hAnsi="Times New Roman"/>
                <w:sz w:val="17"/>
                <w:szCs w:val="17"/>
                <w:color w:val="auto"/>
              </w:rPr>
              <w:t>By: /s/ Carol Hibbard</w:t>
            </w:r>
          </w:p>
        </w:tc>
      </w:tr>
      <w:tr>
        <w:trPr>
          <w:trHeight w:val="211"/>
        </w:trPr>
        <w:tc>
          <w:tcPr>
            <w:tcW w:w="39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Carol Hibbard</w:t>
            </w:r>
          </w:p>
        </w:tc>
      </w:tr>
      <w:tr>
        <w:trPr>
          <w:trHeight w:val="223"/>
        </w:trPr>
        <w:tc>
          <w:tcPr>
            <w:tcW w:w="39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 and Treasurer</w:t>
            </w:r>
          </w:p>
        </w:tc>
      </w:tr>
      <w:tr>
        <w:trPr>
          <w:trHeight w:val="228"/>
        </w:trPr>
        <w:tc>
          <w:tcPr>
            <w:tcW w:w="39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r>
    </w:tbl>
    <w:p>
      <w:pPr>
        <w:sectPr>
          <w:pgSz w:w="11900" w:h="16838" w:orient="portrait"/>
          <w:cols w:equalWidth="0" w:num="1">
            <w:col w:w="11220"/>
          </w:cols>
          <w:pgMar w:left="340" w:top="1419"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50" w:lineRule="exact"/>
        <w:rPr>
          <w:sz w:val="20"/>
          <w:szCs w:val="20"/>
          <w:color w:val="auto"/>
        </w:rPr>
      </w:pPr>
    </w:p>
    <w:p>
      <w:pPr>
        <w:jc w:val="center"/>
        <w:ind w:left="340" w:right="2660"/>
        <w:spacing w:after="0" w:line="278" w:lineRule="auto"/>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18 U.S.C. SECTION 1350, AS ADOPTED PURSUANT TO SECTION 906 OF THE SARBANES-OXLEY ACT OF 2002</w:t>
      </w:r>
    </w:p>
    <w:p>
      <w:pPr>
        <w:spacing w:after="0" w:line="201" w:lineRule="exact"/>
        <w:rPr>
          <w:sz w:val="20"/>
          <w:szCs w:val="20"/>
          <w:color w:val="auto"/>
        </w:rPr>
      </w:pPr>
    </w:p>
    <w:p>
      <w:pPr>
        <w:ind w:right="220"/>
        <w:spacing w:after="0" w:line="301" w:lineRule="auto"/>
        <w:rPr>
          <w:sz w:val="20"/>
          <w:szCs w:val="20"/>
          <w:color w:val="auto"/>
        </w:rPr>
      </w:pPr>
      <w:r>
        <w:rPr>
          <w:rFonts w:ascii="Times New Roman" w:cs="Times New Roman" w:eastAsia="Times New Roman" w:hAnsi="Times New Roman"/>
          <w:sz w:val="17"/>
          <w:szCs w:val="17"/>
          <w:color w:val="auto"/>
        </w:rPr>
        <w:t>In connection with the Quarterly Report on Form 10-Q of Symbotic Inc. (the “Company”) for the fiscal quarter ended March 29, 2025, as filed with the Securities and Exchange Commission on the date hereof (the “Report”), I, Richard B. Cohen, Chairman and Chief Executive Officer of the Company, certify, pursuant to 18 U.S.C. Section 1350, as adopted pursuant to Section 906 of the Sarbanes-Oxley Act of 2002, that, to my knowledge: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 The Report fully complies with the requirements of Section 13(a) or 15(d) of the Securities Exchange Act of 1934; and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Date: May 7, 2025</w:t>
            </w:r>
          </w:p>
        </w:tc>
        <w:tc>
          <w:tcPr>
            <w:tcW w:w="7060" w:type="dxa"/>
            <w:vAlign w:val="bottom"/>
            <w:gridSpan w:val="2"/>
          </w:tcPr>
          <w:p>
            <w:pPr>
              <w:ind w:left="2840"/>
              <w:spacing w:after="0"/>
              <w:rPr>
                <w:sz w:val="20"/>
                <w:szCs w:val="20"/>
                <w:color w:val="auto"/>
              </w:rPr>
            </w:pPr>
            <w:r>
              <w:rPr>
                <w:rFonts w:ascii="Times New Roman" w:cs="Times New Roman" w:eastAsia="Times New Roman" w:hAnsi="Times New Roman"/>
                <w:sz w:val="17"/>
                <w:szCs w:val="17"/>
                <w:color w:val="auto"/>
              </w:rPr>
              <w:t>By: /s/ Richard B. Cohen</w:t>
            </w:r>
          </w:p>
        </w:tc>
      </w:tr>
      <w:tr>
        <w:trPr>
          <w:trHeight w:val="211"/>
        </w:trPr>
        <w:tc>
          <w:tcPr>
            <w:tcW w:w="41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Richard B. Cohen</w:t>
            </w:r>
          </w:p>
        </w:tc>
      </w:tr>
      <w:tr>
        <w:trPr>
          <w:trHeight w:val="223"/>
        </w:trPr>
        <w:tc>
          <w:tcPr>
            <w:tcW w:w="4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Chairman and Chief Executive Officer</w:t>
            </w:r>
          </w:p>
        </w:tc>
      </w:tr>
      <w:tr>
        <w:trPr>
          <w:trHeight w:val="228"/>
        </w:trPr>
        <w:tc>
          <w:tcPr>
            <w:tcW w:w="4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pacing w:after="0" w:line="297"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378"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w:t>
      </w:r>
    </w:p>
    <w:p>
      <w:pPr>
        <w:spacing w:after="0" w:line="3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46" w:lineRule="exact"/>
        <w:rPr>
          <w:sz w:val="20"/>
          <w:szCs w:val="20"/>
          <w:color w:val="auto"/>
        </w:rPr>
      </w:pPr>
    </w:p>
    <w:p>
      <w:pPr>
        <w:jc w:val="both"/>
        <w:ind w:right="560"/>
        <w:spacing w:after="0" w:line="301" w:lineRule="auto"/>
        <w:rPr>
          <w:sz w:val="20"/>
          <w:szCs w:val="20"/>
          <w:color w:val="auto"/>
        </w:rPr>
      </w:pPr>
      <w:r>
        <w:rPr>
          <w:rFonts w:ascii="Times New Roman" w:cs="Times New Roman" w:eastAsia="Times New Roman" w:hAnsi="Times New Roman"/>
          <w:sz w:val="17"/>
          <w:szCs w:val="17"/>
          <w:color w:val="auto"/>
        </w:rPr>
        <w:t>In connection with the Quarterly Report on Form 10-Q of Symbotic Inc. (the “Company”) for the fiscal quarter ended March 29, 2025, as filed with the Securities and Exchange Commission on the date hereof (the “Report”), I, Carol Hibbard, Chief Financial Officer and Treasurer of the Company, certify, pursuant to 18 U.S.C. Section 1350, as adopted pursuant to Section 906 of the Sarbanes-Oxley Act of 2002, that, to my knowledge: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 The Report fully complies with the requirements of Section 13(a) or 15(d) of the Securities Exchange Act of 1934; and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Date: May 7, 2025</w:t>
            </w:r>
          </w:p>
        </w:tc>
        <w:tc>
          <w:tcPr>
            <w:tcW w:w="7300" w:type="dxa"/>
            <w:vAlign w:val="bottom"/>
            <w:gridSpan w:val="2"/>
          </w:tcPr>
          <w:p>
            <w:pPr>
              <w:ind w:left="2580"/>
              <w:spacing w:after="0"/>
              <w:rPr>
                <w:sz w:val="20"/>
                <w:szCs w:val="20"/>
                <w:color w:val="auto"/>
              </w:rPr>
            </w:pPr>
            <w:r>
              <w:rPr>
                <w:rFonts w:ascii="Times New Roman" w:cs="Times New Roman" w:eastAsia="Times New Roman" w:hAnsi="Times New Roman"/>
                <w:sz w:val="17"/>
                <w:szCs w:val="17"/>
                <w:color w:val="auto"/>
              </w:rPr>
              <w:t>By: /s/ Carol Hibbard</w:t>
            </w:r>
          </w:p>
        </w:tc>
      </w:tr>
      <w:tr>
        <w:trPr>
          <w:trHeight w:val="211"/>
        </w:trPr>
        <w:tc>
          <w:tcPr>
            <w:tcW w:w="39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Carol Hibbard</w:t>
            </w:r>
          </w:p>
        </w:tc>
      </w:tr>
      <w:tr>
        <w:trPr>
          <w:trHeight w:val="223"/>
        </w:trPr>
        <w:tc>
          <w:tcPr>
            <w:tcW w:w="39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 and Treasurer</w:t>
            </w:r>
          </w:p>
        </w:tc>
      </w:tr>
      <w:tr>
        <w:trPr>
          <w:trHeight w:val="228"/>
        </w:trPr>
        <w:tc>
          <w:tcPr>
            <w:tcW w:w="39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r>
    </w:tbl>
    <w:p>
      <w:pPr>
        <w:spacing w:after="0" w:line="297"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3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04"/>
    </w:lvl>
  </w:abstractNum>
  <w:abstractNum w:abstractNumId="9">
    <w:nsid w:val="66EF438D"/>
    <w:multiLevelType w:val="hybridMultilevel"/>
    <w:lvl w:ilvl="0">
      <w:lvlJc w:val="left"/>
      <w:lvlText w:val="*"/>
      <w:numFmt w:val="bullet"/>
      <w:start w:val="1"/>
    </w:lvl>
    <w:lvl w:ilvl="1">
      <w:lvlJc w:val="left"/>
      <w:lvlText w:val="++"/>
      <w:numFmt w:val="bullet"/>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5" Type="http://schemas.openxmlformats.org/officeDocument/2006/relationships/image" Target="media/image66.png"/><Relationship Id="rId73" Type="http://schemas.openxmlformats.org/officeDocument/2006/relationships/hyperlink" Target="https://www.sec.gov/Archives/edgar/data/1837240/000119312525007370/d916752dex21.htm" TargetMode="External"/><Relationship Id="rId74" Type="http://schemas.openxmlformats.org/officeDocument/2006/relationships/hyperlink" Target="https://www.sec.gov/Archives/edgar/data/1837240/000119312525013845/d90546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2025-05-07T15:45:59Z</dcterms:created>
  <dcterms:modified xsi:type="dcterms:W3CDTF">2025-05-07T15:45:59Z</dcterms:modified>
</cp:coreProperties>
</file>