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0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SOFTBANK GROUP CORP.</w:t>
              </w:r>
            </w:hyperlink>
          </w:p>
        </w:tc>
        <w:tc>
          <w:tcPr>
            <w:tcW w:w="202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Symbotic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SYM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0" w:type="dxa"/>
            <w:vAlign w:val="bottom"/>
            <w:gridSpan w:val="6"/>
            <w:vMerge w:val="continue"/>
          </w:tcPr>
          <w:p>
            <w:pPr>
              <w:spacing w:after="0"/>
              <w:rPr>
                <w:sz w:val="6"/>
                <w:szCs w:val="6"/>
                <w:color w:val="auto"/>
              </w:rPr>
            </w:pPr>
          </w:p>
        </w:tc>
        <w:tc>
          <w:tcPr>
            <w:tcW w:w="118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70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20" w:type="dxa"/>
            <w:vAlign w:val="bottom"/>
            <w:gridSpan w:val="2"/>
            <w:vMerge w:val="restart"/>
          </w:tcPr>
          <w:p>
            <w:pPr>
              <w:ind w:left="300"/>
              <w:spacing w:after="0"/>
              <w:rPr>
                <w:sz w:val="20"/>
                <w:szCs w:val="20"/>
                <w:color w:val="auto"/>
              </w:rPr>
            </w:pPr>
            <w:r>
              <w:rPr>
                <w:rFonts w:ascii="Arial" w:cs="Arial" w:eastAsia="Arial" w:hAnsi="Arial"/>
                <w:sz w:val="13"/>
                <w:szCs w:val="13"/>
                <w:color w:val="auto"/>
              </w:rPr>
              <w:t>Officer (give title</w:t>
            </w:r>
          </w:p>
        </w:tc>
        <w:tc>
          <w:tcPr>
            <w:tcW w:w="120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20" w:type="dxa"/>
            <w:vAlign w:val="bottom"/>
            <w:gridSpan w:val="2"/>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ind w:left="40"/>
              <w:spacing w:after="0"/>
              <w:rPr>
                <w:sz w:val="20"/>
                <w:szCs w:val="20"/>
                <w:color w:val="auto"/>
              </w:rPr>
            </w:pPr>
            <w:r>
              <w:rPr>
                <w:rFonts w:ascii="Arial" w:cs="Arial" w:eastAsia="Arial" w:hAnsi="Arial"/>
                <w:sz w:val="13"/>
                <w:szCs w:val="13"/>
                <w:color w:val="auto"/>
              </w:rPr>
              <w:t>(First)</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(Middle)</w:t>
            </w:r>
          </w:p>
        </w:tc>
        <w:tc>
          <w:tcPr>
            <w:tcW w:w="290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ind w:left="3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1-7-1, KAIGAN</w:t>
            </w: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05/27/2026</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200" w:type="dxa"/>
            <w:vAlign w:val="bottom"/>
            <w:tcBorders>
              <w:bottom w:val="single" w:sz="8" w:color="2C2C2C"/>
            </w:tcBorders>
            <w:gridSpan w:val="4"/>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66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8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line="20" w:lineRule="exact"/>
              <w:rPr>
                <w:sz w:val="1"/>
                <w:szCs w:val="1"/>
                <w:color w:val="auto"/>
              </w:rPr>
            </w:pP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80" w:type="dxa"/>
            <w:vAlign w:val="bottom"/>
            <w:gridSpan w:val="5"/>
            <w:vMerge w:val="continue"/>
          </w:tcPr>
          <w:p>
            <w:pPr>
              <w:spacing w:after="0"/>
              <w:rPr>
                <w:sz w:val="12"/>
                <w:szCs w:val="12"/>
                <w:color w:val="auto"/>
              </w:rPr>
            </w:pPr>
          </w:p>
        </w:tc>
        <w:tc>
          <w:tcPr>
            <w:tcW w:w="360" w:type="dxa"/>
            <w:vAlign w:val="bottom"/>
          </w:tcPr>
          <w:p>
            <w:pPr>
              <w:spacing w:after="0"/>
              <w:rPr>
                <w:sz w:val="12"/>
                <w:szCs w:val="12"/>
                <w:color w:val="auto"/>
              </w:rPr>
            </w:pPr>
          </w:p>
        </w:tc>
        <w:tc>
          <w:tcPr>
            <w:tcW w:w="33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MINATO-KU</w:t>
            </w: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M0</w:t>
            </w:r>
          </w:p>
        </w:tc>
        <w:tc>
          <w:tcPr>
            <w:tcW w:w="17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105-7537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gridSpan w:val="5"/>
          </w:tcPr>
          <w:p>
            <w:pPr>
              <w:ind w:left="3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TOKYO</w:t>
            </w:r>
          </w:p>
        </w:tc>
        <w:tc>
          <w:tcPr>
            <w:tcW w:w="700" w:type="dxa"/>
            <w:vAlign w:val="bottom"/>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20" w:type="dxa"/>
            <w:vAlign w:val="bottom"/>
            <w:gridSpan w:val="5"/>
            <w:vMerge w:val="restart"/>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2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ind w:left="3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ind w:left="40"/>
              <w:spacing w:after="0"/>
              <w:rPr>
                <w:sz w:val="20"/>
                <w:szCs w:val="20"/>
                <w:color w:val="auto"/>
              </w:rPr>
            </w:pPr>
            <w:r>
              <w:rPr>
                <w:rFonts w:ascii="Arial" w:cs="Arial" w:eastAsia="Arial" w:hAnsi="Arial"/>
                <w:sz w:val="13"/>
                <w:szCs w:val="13"/>
                <w:color w:val="auto"/>
              </w:rPr>
              <w:t>(State)</w:t>
            </w:r>
          </w:p>
        </w:tc>
        <w:tc>
          <w:tcPr>
            <w:tcW w:w="1920" w:type="dxa"/>
            <w:vAlign w:val="bottom"/>
            <w:gridSpan w:val="4"/>
          </w:tcPr>
          <w:p>
            <w:pPr>
              <w:ind w:left="560"/>
              <w:spacing w:after="0"/>
              <w:rPr>
                <w:sz w:val="20"/>
                <w:szCs w:val="20"/>
                <w:color w:val="auto"/>
              </w:rPr>
            </w:pPr>
            <w:r>
              <w:rPr>
                <w:rFonts w:ascii="Arial" w:cs="Arial" w:eastAsia="Arial" w:hAnsi="Arial"/>
                <w:sz w:val="13"/>
                <w:szCs w:val="13"/>
                <w:color w:val="auto"/>
              </w:rPr>
              <w:t>(Zip)</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3980" w:type="dxa"/>
            <w:vAlign w:val="bottom"/>
            <w:tcBorders>
              <w:bottom w:val="single" w:sz="8" w:color="2C2C2C"/>
            </w:tcBorders>
            <w:gridSpan w:val="7"/>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080" w:type="dxa"/>
            <w:vAlign w:val="bottom"/>
            <w:tcBorders>
              <w:top w:val="single" w:sz="8" w:color="2C2C2C"/>
            </w:tcBorders>
            <w:gridSpan w:val="12"/>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5"/>
                <w:szCs w:val="15"/>
                <w:color w:val="auto"/>
              </w:rPr>
            </w:pPr>
          </w:p>
        </w:tc>
        <w:tc>
          <w:tcPr>
            <w:tcW w:w="1260" w:type="dxa"/>
            <w:vAlign w:val="bottom"/>
            <w:gridSpan w:val="3"/>
          </w:tcPr>
          <w:p>
            <w:pPr>
              <w:ind w:left="3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5"/>
                <w:szCs w:val="15"/>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80" w:type="dxa"/>
            <w:vAlign w:val="bottom"/>
            <w:gridSpan w:val="5"/>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200" w:type="dxa"/>
            <w:vAlign w:val="bottom"/>
          </w:tcPr>
          <w:p>
            <w:pPr>
              <w:spacing w:after="0"/>
              <w:rPr>
                <w:sz w:val="11"/>
                <w:szCs w:val="11"/>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13"/>
                <w:szCs w:val="13"/>
                <w:color w:val="auto"/>
              </w:rPr>
            </w:pP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360" w:type="dxa"/>
            <w:vAlign w:val="bottom"/>
            <w:tcBorders>
              <w:top w:val="single" w:sz="8" w:color="2C2C2C"/>
            </w:tcBorders>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112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3"/>
                <w:szCs w:val="13"/>
                <w:color w:val="auto"/>
              </w:rPr>
            </w:pP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3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SVF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20" w:type="dxa"/>
            <w:vAlign w:val="bottom"/>
            <w:gridSpan w:val="4"/>
            <w:vMerge w:val="restart"/>
          </w:tcPr>
          <w:p>
            <w:pPr>
              <w:ind w:left="1060"/>
              <w:spacing w:after="0"/>
              <w:rPr>
                <w:sz w:val="20"/>
                <w:szCs w:val="20"/>
                <w:color w:val="auto"/>
              </w:rPr>
            </w:pPr>
            <w:r>
              <w:rPr>
                <w:rFonts w:ascii="Times New Roman" w:cs="Times New Roman" w:eastAsia="Times New Roman" w:hAnsi="Times New Roman"/>
                <w:sz w:val="17"/>
                <w:szCs w:val="17"/>
                <w:color w:val="0000FF"/>
              </w:rPr>
              <w:t>05/27/2026</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5,590,000</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gridSpan w:val="2"/>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50.415</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Sponsor III</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(DE)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SVF II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SPAC</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20,000,000</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3 (DE)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SVF II</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17,825,312</w:t>
            </w:r>
          </w:p>
        </w:tc>
        <w:tc>
          <w:tcPr>
            <w:tcW w:w="7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98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AIV LLC</w:t>
            </w:r>
            <w:r>
              <w:rPr>
                <w:rFonts w:ascii="Times New Roman" w:cs="Times New Roman" w:eastAsia="Times New Roman" w:hAnsi="Times New Roman"/>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SB</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6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2,000,000</w:t>
            </w:r>
          </w:p>
        </w:tc>
        <w:tc>
          <w:tcPr>
            <w:tcW w:w="7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00" w:type="dxa"/>
            <w:vAlign w:val="bottom"/>
          </w:tcPr>
          <w:p>
            <w:pPr>
              <w:spacing w:after="0"/>
              <w:rPr>
                <w:sz w:val="18"/>
                <w:szCs w:val="18"/>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Northstar</w:t>
            </w: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2"/>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(1)</w:t>
            </w: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SOFTBANK GROUP CORP.</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KAIGAN</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MINATO-KU</w:t>
            </w: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M0</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105-7537</w:t>
            </w:r>
          </w:p>
        </w:tc>
        <w:tc>
          <w:tcPr>
            <w:tcW w:w="0" w:type="dxa"/>
            <w:vAlign w:val="bottom"/>
          </w:tcPr>
          <w:p>
            <w:pPr>
              <w:spacing w:after="0"/>
              <w:rPr>
                <w:sz w:val="1"/>
                <w:szCs w:val="1"/>
                <w:color w:val="auto"/>
              </w:rPr>
            </w:pPr>
          </w:p>
        </w:tc>
      </w:tr>
      <w:tr>
        <w:trPr>
          <w:trHeight w:val="120"/>
        </w:trPr>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TOKYO</w:t>
            </w:r>
          </w:p>
        </w:tc>
        <w:tc>
          <w:tcPr>
            <w:tcW w:w="10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SB Global Advisers Ltd</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69 GROSVENOR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0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LONDON W1K</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X0</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3JP</w:t>
            </w:r>
          </w:p>
        </w:tc>
        <w:tc>
          <w:tcPr>
            <w:tcW w:w="1380" w:type="dxa"/>
            <w:vAlign w:val="bottom"/>
            <w:gridSpan w:val="2"/>
            <w:vMerge w:val="continue"/>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SOFTBANK VISION FUND II-2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GEN II (JERSEY) LIMITED,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47 ESPLANADE,</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ST HELIER</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Y9</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JE1 0BD</w:t>
            </w: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SVF II Aggregator (Jersey) L.P.</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GEN II (JERSEY) LIMITED,</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47 ESPLANADE,</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ST. HELIER</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Y9</w:t>
            </w: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JE1 0BD</w:t>
            </w: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SVF II Holdings (DE)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CONCORD PIKE,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r>
              <w:rPr>
                <w:rFonts w:ascii="Times New Roman" w:cs="Times New Roman" w:eastAsia="Times New Roman" w:hAnsi="Times New Roman"/>
                <w:sz w:val="17"/>
                <w:szCs w:val="17"/>
                <w:color w:val="0000FF"/>
              </w:rPr>
              <w:t>WILMINGTON</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DE</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19803</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SVF II SPAC Investment 3 (DE)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1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CONCORD PIKE,</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WILMINGTON</w:t>
            </w:r>
          </w:p>
        </w:tc>
        <w:tc>
          <w:tcPr>
            <w:tcW w:w="10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DE</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19803</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Silver Brick Management PTE. LTD.</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138 MARKET STREET #27-01A CAPITAGREEN</w:t>
      </w:r>
    </w:p>
    <w:p>
      <w:pPr>
        <w:spacing w:after="0" w:line="3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1500"/>
        <w:spacing w:after="0"/>
        <w:tabs>
          <w:tab w:leader="none" w:pos="2880" w:val="left"/>
        </w:tabs>
        <w:rPr>
          <w:sz w:val="20"/>
          <w:szCs w:val="20"/>
          <w:color w:val="auto"/>
        </w:rPr>
      </w:pPr>
      <w:r>
        <w:rPr>
          <w:rFonts w:ascii="Times New Roman" w:cs="Times New Roman" w:eastAsia="Times New Roman" w:hAnsi="Times New Roman"/>
          <w:sz w:val="17"/>
          <w:szCs w:val="17"/>
          <w:color w:val="0000FF"/>
        </w:rPr>
        <w:t>U0</w:t>
      </w:r>
      <w:r>
        <w:rPr>
          <w:sz w:val="20"/>
          <w:szCs w:val="20"/>
          <w:color w:val="auto"/>
        </w:rPr>
        <w:tab/>
      </w:r>
      <w:r>
        <w:rPr>
          <w:rFonts w:ascii="Times New Roman" w:cs="Times New Roman" w:eastAsia="Times New Roman" w:hAnsi="Times New Roman"/>
          <w:sz w:val="17"/>
          <w:szCs w:val="17"/>
          <w:color w:val="0000FF"/>
        </w:rPr>
        <w:t>048926</w:t>
      </w:r>
    </w:p>
    <w:p>
      <w:pPr>
        <w:sectPr>
          <w:pgSz w:w="11900" w:h="16880" w:orient="portrait"/>
          <w:cols w:equalWidth="0" w:num="1">
            <w:col w:w="9979"/>
          </w:cols>
          <w:pgMar w:left="480" w:top="300" w:right="1440" w:bottom="0" w:gutter="0" w:footer="0" w:header="0"/>
        </w:sectPr>
      </w:pPr>
    </w:p>
    <w:p>
      <w:pPr>
        <w:spacing w:after="0" w:line="33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80" w:orient="portrait"/>
          <w:cols w:equalWidth="0" w:num="1">
            <w:col w:w="9979"/>
          </w:cols>
          <w:pgMar w:left="480" w:top="300" w:right="1440"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642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809240" cy="36429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SB Northstar GP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tcPr>
          <w:p>
            <w:pPr>
              <w:ind w:left="40"/>
              <w:spacing w:after="0"/>
              <w:rPr>
                <w:sz w:val="20"/>
                <w:szCs w:val="20"/>
                <w:color w:val="auto"/>
              </w:rPr>
            </w:pPr>
            <w:r>
              <w:rPr>
                <w:rFonts w:ascii="Arial" w:cs="Arial" w:eastAsia="Arial" w:hAnsi="Arial"/>
                <w:sz w:val="13"/>
                <w:szCs w:val="13"/>
                <w:color w:val="auto"/>
              </w:rPr>
              <w:t>(First)</w:t>
            </w:r>
          </w:p>
        </w:tc>
        <w:tc>
          <w:tcPr>
            <w:tcW w:w="1360" w:type="dxa"/>
            <w:vAlign w:val="bottom"/>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C/O WALKERS, 190 ELGIN AVENUE</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GEORGE TOWN,</w:t>
            </w: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4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GRAND</w:t>
            </w:r>
          </w:p>
        </w:tc>
        <w:tc>
          <w:tcPr>
            <w:tcW w:w="1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E9</w:t>
            </w:r>
          </w:p>
        </w:tc>
        <w:tc>
          <w:tcPr>
            <w:tcW w:w="1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KY1-9008</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3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CAYMAN</w:t>
            </w:r>
          </w:p>
        </w:tc>
        <w:tc>
          <w:tcPr>
            <w:tcW w:w="14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tcPr>
          <w:p>
            <w:pPr>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SVF II Strategic Investments AIV LLC</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EL CAMINO REAL,</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4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SoftBank Group Corp. ("SoftBank"), a publicly traded company listed on the Tokyo Stock Exchange, is the sole shareholder of SB Global Advisers Limited, which has been appointed as manager and is responsible for making final decisions related to the acquisition, structuring, financing and disposal of SoftBank Vision Fund II-2 L.P.'s investments. SoftBank Vision Fund II-2 L.P. is the sole limited partner of SVF II Aggregator (Jersey) L.P., which is the sole member of SVF II Holdings (DE) LLC, which is the sole member of SVF II SPAC Investment 3 (DE) LLC. SoftBank is the parent company of SVF II Strategic Investments AIV LLC and the parent company of Silver Brick Management PTE. LTD., which has been appointed as investment manager of SB Northstar LP and is responsible for making voting and investment decisions with respect to SB Northstar LP's investments. SoftBank is the sole shareholder of SB Investment Advisers (US) Inc., which is the sole member of SVF Sponsor III (DE) LLC.</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each of SB Investment Advisers (US) Inc. and SVF Sponsor III (DE) LLC are filing on a separate Form 4.</w:t>
      </w:r>
    </w:p>
    <w:p>
      <w:pPr>
        <w:sectPr>
          <w:pgSz w:w="11900" w:h="16838" w:orient="portrait"/>
          <w:cols w:equalWidth="0" w:num="1">
            <w:col w:w="10780"/>
          </w:cols>
          <w:pgMar w:left="500" w:top="256" w:right="6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SoftBank Group Corp.,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Yuko Yamamoto, Head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3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1436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Corporate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642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SB Global Advisers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33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Stephen Lam,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42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3042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SoftBank Vision Fund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60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SB Global Advisers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22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Limited, its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6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Stephen Lam,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6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06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SVF II Aggregator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6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/s/ Michael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01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SVF II Holdings (DE)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3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Jonathan Duckles,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SVF II SPAC Investment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938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19380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(DE) LLC, By: /s/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92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192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Duckles,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816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816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Silver Brick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66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PTE. LTD., By: /s/ Kozo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2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0928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Aramaki,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064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660" w:space="80"/>
            <w:col w:w="2040"/>
          </w:cols>
          <w:pgMar w:left="500" w:top="256" w:right="619" w:bottom="1440" w:gutter="0" w:footer="0" w:header="0"/>
          <w:type w:val="continuous"/>
        </w:sectPr>
      </w:pPr>
    </w:p>
    <w:p>
      <w:pPr>
        <w:ind w:left="6540"/>
        <w:spacing w:after="0"/>
        <w:rPr>
          <w:sz w:val="20"/>
          <w:szCs w:val="20"/>
          <w:color w:val="auto"/>
        </w:rPr>
      </w:pPr>
      <w:r>
        <w:rPr>
          <w:rFonts w:ascii="Times New Roman" w:cs="Times New Roman" w:eastAsia="Times New Roman" w:hAnsi="Times New Roman"/>
          <w:sz w:val="17"/>
          <w:szCs w:val="17"/>
          <w:color w:val="0000FF"/>
        </w:rPr>
        <w:t>SB Northstar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61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Stephen Lam,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45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SVF II Strategic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0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AIV LLC, By: /s/ Stephen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76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Lam,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2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180"/>
            <w:col w:w="2040"/>
          </w:cols>
          <w:pgMar w:left="500" w:top="256" w:right="6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80"/>
      </w:cols>
      <w:pgMar w:left="500" w:top="256"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22"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13" Type="http://schemas.openxmlformats.org/officeDocument/2006/relationships/hyperlink" Target="http://www.sec.gov/cgi-bin/browse-edgar?action=getcompany&amp;CIK=0001065521" TargetMode="External"/><Relationship Id="rId14" Type="http://schemas.openxmlformats.org/officeDocument/2006/relationships/hyperlink" Target="http://www.sec.gov/cgi-bin/browse-edgar?action=getcompany&amp;CIK=0001837240" TargetMode="External"/><Relationship Id="rId16" Type="http://schemas.openxmlformats.org/officeDocument/2006/relationships/hyperlink" Target="http://www.sec.gov/cgi-bin/browse-edgar?action=getcompany&amp;CIK=0001883884" TargetMode="External"/><Relationship Id="rId17" Type="http://schemas.openxmlformats.org/officeDocument/2006/relationships/hyperlink" Target="http://www.sec.gov/cgi-bin/browse-edgar?action=getcompany&amp;CIK=0001787613" TargetMode="External"/><Relationship Id="rId18" Type="http://schemas.openxmlformats.org/officeDocument/2006/relationships/hyperlink" Target="http://www.sec.gov/cgi-bin/browse-edgar?action=getcompany&amp;CIK=0001883559" TargetMode="External"/><Relationship Id="rId19" Type="http://schemas.openxmlformats.org/officeDocument/2006/relationships/hyperlink" Target="http://www.sec.gov/cgi-bin/browse-edgar?action=getcompany&amp;CIK=0001883900" TargetMode="External"/><Relationship Id="rId20" Type="http://schemas.openxmlformats.org/officeDocument/2006/relationships/hyperlink" Target="http://www.sec.gov/cgi-bin/browse-edgar?action=getcompany&amp;CIK=0001934312" TargetMode="External"/><Relationship Id="rId21" Type="http://schemas.openxmlformats.org/officeDocument/2006/relationships/hyperlink" Target="http://www.sec.gov/cgi-bin/browse-edgar?action=getcompany&amp;CIK=0001991269" TargetMode="External"/><Relationship Id="rId23" Type="http://schemas.openxmlformats.org/officeDocument/2006/relationships/hyperlink" Target="http://www.sec.gov/cgi-bin/browse-edgar?action=getcompany&amp;CIK=0001972882" TargetMode="External"/><Relationship Id="rId24" Type="http://schemas.openxmlformats.org/officeDocument/2006/relationships/hyperlink" Target="http://www.sec.gov/cgi-bin/browse-edgar?action=getcompany&amp;CIK=0001986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2026-05-29T20:09:01Z</dcterms:created>
  <dcterms:modified xsi:type="dcterms:W3CDTF">2026-05-29T20:09:01Z</dcterms:modified>
</cp:coreProperties>
</file>