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843280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196215</wp:posOffset>
            </wp:positionV>
            <wp:extent cx="212915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2522855</wp:posOffset>
            </wp:positionH>
            <wp:positionV relativeFrom="paragraph">
              <wp:posOffset>43815</wp:posOffset>
            </wp:positionV>
            <wp:extent cx="21291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9" w:lineRule="exact"/>
        <w:rPr>
          <w:sz w:val="24"/>
          <w:szCs w:val="24"/>
          <w:color w:val="auto"/>
        </w:rPr>
      </w:pPr>
    </w:p>
    <w:p>
      <w:pPr>
        <w:ind w:left="1000" w:hanging="581"/>
        <w:spacing w:after="0"/>
        <w:tabs>
          <w:tab w:leader="none" w:pos="10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28, 2024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52" w:lineRule="exact"/>
        <w:rPr>
          <w:sz w:val="24"/>
          <w:szCs w:val="24"/>
          <w:color w:val="auto"/>
        </w:rPr>
      </w:pPr>
    </w:p>
    <w:p>
      <w:pPr>
        <w:ind w:left="4420" w:right="3080" w:hanging="4001"/>
        <w:spacing w:after="0" w:line="511" w:lineRule="auto"/>
        <w:tabs>
          <w:tab w:leader="none" w:pos="1002"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 to</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b w:val="1"/>
                <w:bCs w:val="1"/>
                <w:color w:val="auto"/>
              </w:rPr>
              <w:t>Commission file number 001-40175</w:t>
            </w:r>
          </w:p>
        </w:tc>
      </w:tr>
      <w:tr>
        <w:trPr>
          <w:trHeight w:val="681"/>
        </w:trPr>
        <w:tc>
          <w:tcPr>
            <w:tcW w:w="3120" w:type="dxa"/>
            <w:vAlign w:val="bottom"/>
          </w:tcPr>
          <w:p>
            <w:pPr>
              <w:spacing w:after="0"/>
              <w:rPr>
                <w:sz w:val="24"/>
                <w:szCs w:val="24"/>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25"/>
                <w:szCs w:val="25"/>
                <w:b w:val="1"/>
                <w:bCs w:val="1"/>
                <w:color w:val="auto"/>
              </w:rPr>
              <w:t>SYMBOTIC INC.</w:t>
            </w:r>
          </w:p>
        </w:tc>
      </w:tr>
      <w:tr>
        <w:trPr>
          <w:trHeight w:val="263"/>
        </w:trPr>
        <w:tc>
          <w:tcPr>
            <w:tcW w:w="3120" w:type="dxa"/>
            <w:vAlign w:val="bottom"/>
          </w:tcPr>
          <w:p>
            <w:pPr>
              <w:spacing w:after="0"/>
              <w:rPr>
                <w:sz w:val="22"/>
                <w:szCs w:val="22"/>
                <w:color w:val="auto"/>
              </w:rPr>
            </w:pPr>
          </w:p>
        </w:tc>
        <w:tc>
          <w:tcPr>
            <w:tcW w:w="8160" w:type="dxa"/>
            <w:vAlign w:val="bottom"/>
          </w:tcPr>
          <w:p>
            <w:pPr>
              <w:jc w:val="center"/>
              <w:ind w:right="304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80"/>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160" w:type="dxa"/>
            <w:vAlign w:val="bottom"/>
          </w:tcPr>
          <w:p>
            <w:pPr>
              <w:jc w:val="right"/>
              <w:ind w:right="1382"/>
              <w:spacing w:after="0"/>
              <w:rPr>
                <w:sz w:val="20"/>
                <w:szCs w:val="20"/>
                <w:color w:val="auto"/>
              </w:rPr>
            </w:pPr>
            <w:r>
              <w:rPr>
                <w:rFonts w:ascii="Times New Roman" w:cs="Times New Roman" w:eastAsia="Times New Roman" w:hAnsi="Times New Roman"/>
                <w:sz w:val="16"/>
                <w:szCs w:val="16"/>
                <w:b w:val="1"/>
                <w:bCs w:val="1"/>
                <w:color w:val="auto"/>
              </w:rPr>
              <w:t>98-1572401</w:t>
            </w:r>
          </w:p>
        </w:tc>
      </w:tr>
      <w:tr>
        <w:trPr>
          <w:trHeight w:val="198"/>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8160" w:type="dxa"/>
            <w:vAlign w:val="bottom"/>
          </w:tcPr>
          <w:p>
            <w:pPr>
              <w:jc w:val="center"/>
              <w:ind w:left="442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3120" w:type="dxa"/>
            <w:vAlign w:val="bottom"/>
          </w:tcPr>
          <w:p>
            <w:pPr>
              <w:jc w:val="center"/>
              <w:ind w:left="47"/>
              <w:spacing w:after="0"/>
              <w:rPr>
                <w:sz w:val="20"/>
                <w:szCs w:val="20"/>
                <w:color w:val="auto"/>
              </w:rPr>
            </w:pPr>
            <w:r>
              <w:rPr>
                <w:rFonts w:ascii="Times New Roman" w:cs="Times New Roman" w:eastAsia="Times New Roman" w:hAnsi="Times New Roman"/>
                <w:sz w:val="14"/>
                <w:szCs w:val="14"/>
                <w:color w:val="auto"/>
              </w:rPr>
              <w:t>organization)</w:t>
            </w:r>
          </w:p>
        </w:tc>
        <w:tc>
          <w:tcPr>
            <w:tcW w:w="8160" w:type="dxa"/>
            <w:vAlign w:val="bottom"/>
          </w:tcPr>
          <w:p>
            <w:pPr>
              <w:spacing w:after="0"/>
              <w:rPr>
                <w:sz w:val="16"/>
                <w:szCs w:val="16"/>
                <w:color w:val="auto"/>
              </w:rPr>
            </w:pPr>
          </w:p>
        </w:tc>
      </w:tr>
      <w:tr>
        <w:trPr>
          <w:trHeight w:val="230"/>
        </w:trPr>
        <w:tc>
          <w:tcPr>
            <w:tcW w:w="3120" w:type="dxa"/>
            <w:vAlign w:val="bottom"/>
          </w:tcPr>
          <w:p>
            <w:pPr>
              <w:spacing w:after="0"/>
              <w:rPr>
                <w:sz w:val="20"/>
                <w:szCs w:val="20"/>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7"/>
              </w:rPr>
              <w:t>200 Research Drive</w:t>
            </w:r>
          </w:p>
        </w:tc>
      </w:tr>
      <w:tr>
        <w:trPr>
          <w:trHeight w:val="191"/>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5"/>
              </w:rPr>
              <w:t>Wilmington, MA 01887</w:t>
            </w:r>
          </w:p>
        </w:tc>
      </w:tr>
      <w:tr>
        <w:trPr>
          <w:trHeight w:val="205"/>
        </w:trPr>
        <w:tc>
          <w:tcPr>
            <w:tcW w:w="3120" w:type="dxa"/>
            <w:vAlign w:val="bottom"/>
          </w:tcPr>
          <w:p>
            <w:pPr>
              <w:spacing w:after="0"/>
              <w:rPr>
                <w:sz w:val="17"/>
                <w:szCs w:val="17"/>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6"/>
                <w:szCs w:val="16"/>
                <w:b w:val="1"/>
                <w:bCs w:val="1"/>
                <w:color w:val="auto"/>
                <w:w w:val="97"/>
              </w:rPr>
              <w:t>(978) 284-2800</w:t>
            </w:r>
          </w:p>
        </w:tc>
      </w:tr>
      <w:tr>
        <w:trPr>
          <w:trHeight w:val="205"/>
        </w:trPr>
        <w:tc>
          <w:tcPr>
            <w:tcW w:w="3120" w:type="dxa"/>
            <w:vAlign w:val="bottom"/>
          </w:tcPr>
          <w:p>
            <w:pPr>
              <w:spacing w:after="0"/>
              <w:rPr>
                <w:sz w:val="17"/>
                <w:szCs w:val="17"/>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w:t>
            </w:r>
          </w:p>
        </w:tc>
      </w:tr>
      <w:tr>
        <w:trPr>
          <w:trHeight w:val="184"/>
        </w:trPr>
        <w:tc>
          <w:tcPr>
            <w:tcW w:w="3120" w:type="dxa"/>
            <w:vAlign w:val="bottom"/>
          </w:tcPr>
          <w:p>
            <w:pPr>
              <w:spacing w:after="0"/>
              <w:rPr>
                <w:sz w:val="16"/>
                <w:szCs w:val="16"/>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color w:val="auto"/>
                <w:w w:val="99"/>
              </w:rPr>
              <w:t>Registrant’s Principal Executive Offices)</w:t>
            </w:r>
          </w:p>
        </w:tc>
      </w:tr>
      <w:tr>
        <w:trPr>
          <w:trHeight w:val="442"/>
        </w:trPr>
        <w:tc>
          <w:tcPr>
            <w:tcW w:w="3120" w:type="dxa"/>
            <w:vAlign w:val="bottom"/>
          </w:tcPr>
          <w:p>
            <w:pPr>
              <w:spacing w:after="0"/>
              <w:rPr>
                <w:sz w:val="24"/>
                <w:szCs w:val="24"/>
                <w:color w:val="auto"/>
              </w:rPr>
            </w:pPr>
          </w:p>
        </w:tc>
        <w:tc>
          <w:tcPr>
            <w:tcW w:w="8160" w:type="dxa"/>
            <w:vAlign w:val="bottom"/>
          </w:tcPr>
          <w:p>
            <w:pPr>
              <w:jc w:val="center"/>
              <w:ind w:right="3022"/>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84"/>
        </w:trPr>
        <w:tc>
          <w:tcPr>
            <w:tcW w:w="3120" w:type="dxa"/>
            <w:vAlign w:val="bottom"/>
          </w:tcPr>
          <w:p>
            <w:pPr>
              <w:spacing w:after="0"/>
              <w:rPr>
                <w:sz w:val="16"/>
                <w:szCs w:val="16"/>
                <w:color w:val="auto"/>
              </w:rPr>
            </w:pPr>
          </w:p>
        </w:tc>
        <w:tc>
          <w:tcPr>
            <w:tcW w:w="8160" w:type="dxa"/>
            <w:vAlign w:val="bottom"/>
          </w:tcPr>
          <w:p>
            <w:pPr>
              <w:jc w:val="center"/>
              <w:ind w:right="3042"/>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tc>
      </w:tr>
      <w:tr>
        <w:trPr>
          <w:trHeight w:val="1338"/>
        </w:trPr>
        <w:tc>
          <w:tcPr>
            <w:tcW w:w="31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55"/>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2"/>
        </w:trPr>
        <w:tc>
          <w:tcPr>
            <w:tcW w:w="3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181"/>
        </w:trPr>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SYM</w:t>
            </w: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4" w:lineRule="exact"/>
        <w:rPr>
          <w:sz w:val="20"/>
          <w:szCs w:val="20"/>
          <w:color w:val="auto"/>
        </w:rPr>
      </w:pPr>
    </w:p>
    <w:p>
      <w:pPr>
        <w:ind w:right="1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40"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Accelerated filer</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0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4"/>
        </w:trPr>
        <w:tc>
          <w:tcPr>
            <w:tcW w:w="2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8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10"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3, 2025, the following shares of common stock were outstanding:</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107,704,510 shares of Class A common stock, par value $0.0001 per share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76,378,094 shares of Class V-1 common stock, par value $0.0001 per share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404,309,196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109220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80" w:type="dxa"/>
            <w:vAlign w:val="bottom"/>
            <w:gridSpan w:val="10"/>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60" w:type="dxa"/>
            <w:vAlign w:val="bottom"/>
          </w:tcPr>
          <w:p>
            <w:pPr>
              <w:spacing w:after="0"/>
              <w:rPr>
                <w:sz w:val="16"/>
                <w:szCs w:val="16"/>
                <w:color w:val="auto"/>
              </w:rPr>
            </w:pPr>
          </w:p>
        </w:tc>
      </w:tr>
      <w:tr>
        <w:trPr>
          <w:trHeight w:val="223"/>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
        </w:trPr>
        <w:tc>
          <w:tcPr>
            <w:tcW w:w="10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0E32E1"/>
            </w:tcBorders>
            <w:gridSpan w:val="6"/>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0E32E1"/>
              </w:rPr>
              <w:t>Part I - Financial Information</w:t>
            </w:r>
          </w:p>
        </w:tc>
        <w:tc>
          <w:tcPr>
            <w:tcW w:w="3440" w:type="dxa"/>
            <w:vAlign w:val="bottom"/>
            <w:tcBorders>
              <w:bottom w:val="single" w:sz="8" w:color="CCEEFF"/>
            </w:tcBorders>
            <w:gridSpan w:val="6"/>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1.</w:t>
            </w: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44"/>
        </w:trPr>
        <w:tc>
          <w:tcPr>
            <w:tcW w:w="100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FF"/>
            </w:tcBorders>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Financial Statements</w:t>
            </w:r>
          </w:p>
        </w:tc>
        <w:tc>
          <w:tcPr>
            <w:tcW w:w="5420" w:type="dxa"/>
            <w:vAlign w:val="bottom"/>
            <w:tcBorders>
              <w:bottom w:val="single" w:sz="8" w:color="CCEEFF"/>
            </w:tcBorders>
            <w:gridSpan w:val="13"/>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9"/>
        </w:trPr>
        <w:tc>
          <w:tcPr>
            <w:tcW w:w="1000" w:type="dxa"/>
            <w:vAlign w:val="bottom"/>
          </w:tcPr>
          <w:p>
            <w:pPr>
              <w:spacing w:after="0"/>
              <w:rPr>
                <w:sz w:val="13"/>
                <w:szCs w:val="13"/>
                <w:color w:val="auto"/>
              </w:rPr>
            </w:pP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Balance Sheets as of December 28, 2024 and September 28, 2024</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44"/>
        </w:trPr>
        <w:tc>
          <w:tcPr>
            <w:tcW w:w="100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Operations for the Three Months Ended December 28, 2024 and December 30, 2023</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14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3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560" w:type="dxa"/>
            <w:vAlign w:val="bottom"/>
            <w:tcBorders>
              <w:top w:val="single" w:sz="8" w:color="0000FF"/>
            </w:tcBorders>
            <w:shd w:val="clear" w:color="auto" w:fill="CCEEFF"/>
          </w:tcPr>
          <w:p>
            <w:pPr>
              <w:spacing w:after="0"/>
              <w:rPr>
                <w:sz w:val="3"/>
                <w:szCs w:val="3"/>
                <w:color w:val="auto"/>
              </w:rPr>
            </w:pPr>
          </w:p>
        </w:tc>
        <w:tc>
          <w:tcPr>
            <w:tcW w:w="18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r>
      <w:tr>
        <w:trPr>
          <w:trHeight w:val="159"/>
        </w:trPr>
        <w:tc>
          <w:tcPr>
            <w:tcW w:w="1000" w:type="dxa"/>
            <w:vAlign w:val="bottom"/>
          </w:tcPr>
          <w:p>
            <w:pPr>
              <w:spacing w:after="0"/>
              <w:rPr>
                <w:sz w:val="13"/>
                <w:szCs w:val="13"/>
                <w:color w:val="auto"/>
              </w:rPr>
            </w:pP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Comprehensive Loss for the Three Months Ended December 28, 2024 and December 30, 2023</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w:t>
            </w:r>
          </w:p>
        </w:tc>
      </w:tr>
      <w:tr>
        <w:trPr>
          <w:trHeight w:val="44"/>
        </w:trPr>
        <w:tc>
          <w:tcPr>
            <w:tcW w:w="100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8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2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tcBorders>
              <w:bottom w:val="single" w:sz="8" w:color="CCEEFF"/>
            </w:tcBorders>
            <w:shd w:val="clear" w:color="auto" w:fill="CCEEFF"/>
          </w:tcPr>
          <w:p>
            <w:pPr>
              <w:spacing w:after="0"/>
              <w:rPr>
                <w:sz w:val="17"/>
                <w:szCs w:val="17"/>
                <w:color w:val="auto"/>
              </w:rPr>
            </w:pPr>
          </w:p>
        </w:tc>
        <w:tc>
          <w:tcPr>
            <w:tcW w:w="8620" w:type="dxa"/>
            <w:vAlign w:val="bottom"/>
            <w:tcBorders>
              <w:bottom w:val="single" w:sz="8" w:color="0000FF"/>
            </w:tcBorders>
            <w:gridSpan w:val="2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Changes in Equity (Deficit) for the Three Months Ended December 28, 2024 and December 30, 2023</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r>
      <w:tr>
        <w:trPr>
          <w:trHeight w:val="159"/>
        </w:trPr>
        <w:tc>
          <w:tcPr>
            <w:tcW w:w="1000" w:type="dxa"/>
            <w:vAlign w:val="bottom"/>
          </w:tcPr>
          <w:p>
            <w:pPr>
              <w:spacing w:after="0"/>
              <w:rPr>
                <w:sz w:val="13"/>
                <w:szCs w:val="13"/>
                <w:color w:val="auto"/>
              </w:rPr>
            </w:pP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000FF"/>
              </w:rPr>
              <w:t>Unaudited Condensed Consolidated Statements of Cash Flows for the Three Months Ended December 28, 2024 and December 30, 2023</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r>
      <w:tr>
        <w:trPr>
          <w:trHeight w:val="44"/>
        </w:trPr>
        <w:tc>
          <w:tcPr>
            <w:tcW w:w="1000" w:type="dxa"/>
            <w:vAlign w:val="bottom"/>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18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w:t>
            </w: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14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2.</w:t>
            </w: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E32E1"/>
              </w:rPr>
              <w:t>Management’s Discussion and Analysis of Financial Condition and Results of Operations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24</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Borders>
              <w:top w:val="single" w:sz="8" w:color="0E32E1"/>
            </w:tcBorders>
          </w:tcPr>
          <w:p>
            <w:pPr>
              <w:spacing w:after="0"/>
              <w:rPr>
                <w:sz w:val="3"/>
                <w:szCs w:val="3"/>
                <w:color w:val="auto"/>
              </w:rPr>
            </w:pPr>
          </w:p>
        </w:tc>
        <w:tc>
          <w:tcPr>
            <w:tcW w:w="1440" w:type="dxa"/>
            <w:vAlign w:val="bottom"/>
            <w:tcBorders>
              <w:top w:val="single" w:sz="8" w:color="0E32E1"/>
            </w:tcBorders>
          </w:tcPr>
          <w:p>
            <w:pPr>
              <w:spacing w:after="0"/>
              <w:rPr>
                <w:sz w:val="3"/>
                <w:szCs w:val="3"/>
                <w:color w:val="auto"/>
              </w:rPr>
            </w:pPr>
          </w:p>
        </w:tc>
        <w:tc>
          <w:tcPr>
            <w:tcW w:w="160" w:type="dxa"/>
            <w:vAlign w:val="bottom"/>
            <w:tcBorders>
              <w:top w:val="single" w:sz="8" w:color="0E32E1"/>
            </w:tcBorders>
          </w:tcPr>
          <w:p>
            <w:pPr>
              <w:spacing w:after="0"/>
              <w:rPr>
                <w:sz w:val="3"/>
                <w:szCs w:val="3"/>
                <w:color w:val="auto"/>
              </w:rPr>
            </w:pPr>
          </w:p>
        </w:tc>
        <w:tc>
          <w:tcPr>
            <w:tcW w:w="20" w:type="dxa"/>
            <w:vAlign w:val="bottom"/>
            <w:tcBorders>
              <w:top w:val="single" w:sz="8" w:color="0E32E1"/>
            </w:tcBorders>
          </w:tcPr>
          <w:p>
            <w:pPr>
              <w:spacing w:after="0"/>
              <w:rPr>
                <w:sz w:val="3"/>
                <w:szCs w:val="3"/>
                <w:color w:val="auto"/>
              </w:rPr>
            </w:pPr>
          </w:p>
        </w:tc>
        <w:tc>
          <w:tcPr>
            <w:tcW w:w="60" w:type="dxa"/>
            <w:vAlign w:val="bottom"/>
            <w:tcBorders>
              <w:top w:val="single" w:sz="8" w:color="0E32E1"/>
            </w:tcBorders>
          </w:tcPr>
          <w:p>
            <w:pPr>
              <w:spacing w:after="0"/>
              <w:rPr>
                <w:sz w:val="3"/>
                <w:szCs w:val="3"/>
                <w:color w:val="auto"/>
              </w:rPr>
            </w:pPr>
          </w:p>
        </w:tc>
        <w:tc>
          <w:tcPr>
            <w:tcW w:w="260" w:type="dxa"/>
            <w:vAlign w:val="bottom"/>
            <w:tcBorders>
              <w:top w:val="single" w:sz="8" w:color="0E32E1"/>
            </w:tcBorders>
          </w:tcPr>
          <w:p>
            <w:pPr>
              <w:spacing w:after="0"/>
              <w:rPr>
                <w:sz w:val="3"/>
                <w:szCs w:val="3"/>
                <w:color w:val="auto"/>
              </w:rPr>
            </w:pPr>
          </w:p>
        </w:tc>
        <w:tc>
          <w:tcPr>
            <w:tcW w:w="1320" w:type="dxa"/>
            <w:vAlign w:val="bottom"/>
            <w:tcBorders>
              <w:top w:val="single" w:sz="8" w:color="0E32E1"/>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E32E1"/>
            </w:tcBorders>
            <w:gridSpan w:val="10"/>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Quantitative and Qualitative Disclosures About Market Risk</w:t>
            </w:r>
          </w:p>
        </w:tc>
        <w:tc>
          <w:tcPr>
            <w:tcW w:w="5240" w:type="dxa"/>
            <w:vAlign w:val="bottom"/>
            <w:tcBorders>
              <w:bottom w:val="single" w:sz="8" w:color="CCEEFF"/>
            </w:tcBorders>
            <w:gridSpan w:val="11"/>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w:t>
            </w: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4.</w:t>
            </w: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E32E1"/>
              </w:rPr>
              <w:t>Controls and Procedures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34</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40" w:type="dxa"/>
            <w:vAlign w:val="bottom"/>
            <w:gridSpan w:val="11"/>
            <w:shd w:val="clear" w:color="auto" w:fill="CCEEFF"/>
          </w:tcPr>
          <w:p>
            <w:pPr>
              <w:jc w:val="center"/>
              <w:ind w:right="3460"/>
              <w:spacing w:after="0" w:line="159" w:lineRule="exact"/>
              <w:rPr>
                <w:sz w:val="20"/>
                <w:szCs w:val="20"/>
                <w:color w:val="auto"/>
              </w:rPr>
            </w:pPr>
            <w:r>
              <w:rPr>
                <w:rFonts w:ascii="Times New Roman" w:cs="Times New Roman" w:eastAsia="Times New Roman" w:hAnsi="Times New Roman"/>
                <w:sz w:val="14"/>
                <w:szCs w:val="14"/>
                <w:b w:val="1"/>
                <w:bCs w:val="1"/>
                <w:color w:val="0E32E1"/>
              </w:rPr>
              <w:t>Part II - Other Information</w:t>
            </w:r>
          </w:p>
        </w:tc>
        <w:tc>
          <w:tcPr>
            <w:tcW w:w="760" w:type="dxa"/>
            <w:vAlign w:val="bottom"/>
            <w:shd w:val="clear" w:color="auto" w:fill="CCEEFF"/>
          </w:tcPr>
          <w:p>
            <w:pPr>
              <w:spacing w:after="0"/>
              <w:rPr>
                <w:sz w:val="17"/>
                <w:szCs w:val="17"/>
                <w:color w:val="auto"/>
              </w:rPr>
            </w:pPr>
          </w:p>
        </w:tc>
      </w:tr>
      <w:tr>
        <w:trPr>
          <w:trHeight w:val="159"/>
        </w:trPr>
        <w:tc>
          <w:tcPr>
            <w:tcW w:w="10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1.</w:t>
            </w:r>
          </w:p>
        </w:tc>
        <w:tc>
          <w:tcPr>
            <w:tcW w:w="3500" w:type="dxa"/>
            <w:vAlign w:val="bottom"/>
            <w:tcBorders>
              <w:top w:val="single" w:sz="8" w:color="CCEEFF"/>
            </w:tcBorders>
            <w:gridSpan w:val="11"/>
          </w:tcPr>
          <w:p>
            <w:pPr>
              <w:spacing w:after="0" w:line="159" w:lineRule="exact"/>
              <w:rPr>
                <w:sz w:val="20"/>
                <w:szCs w:val="20"/>
                <w:color w:val="auto"/>
              </w:rPr>
            </w:pPr>
            <w:r>
              <w:rPr>
                <w:rFonts w:ascii="Times New Roman" w:cs="Times New Roman" w:eastAsia="Times New Roman" w:hAnsi="Times New Roman"/>
                <w:sz w:val="14"/>
                <w:szCs w:val="14"/>
                <w:color w:val="0E32E1"/>
              </w:rPr>
              <w:t>Legal Proceedings</w:t>
            </w:r>
          </w:p>
        </w:tc>
        <w:tc>
          <w:tcPr>
            <w:tcW w:w="1660" w:type="dxa"/>
            <w:vAlign w:val="bottom"/>
            <w:tcBorders>
              <w:top w:val="single" w:sz="8" w:color="0E32E1"/>
            </w:tcBorders>
            <w:gridSpan w:val="3"/>
          </w:tcPr>
          <w:p>
            <w:pPr>
              <w:spacing w:after="0"/>
              <w:rPr>
                <w:sz w:val="13"/>
                <w:szCs w:val="13"/>
                <w:color w:val="auto"/>
              </w:rPr>
            </w:pPr>
          </w:p>
        </w:tc>
        <w:tc>
          <w:tcPr>
            <w:tcW w:w="3520" w:type="dxa"/>
            <w:vAlign w:val="bottom"/>
            <w:tcBorders>
              <w:top w:val="single" w:sz="8" w:color="CCEEFF"/>
            </w:tcBorders>
            <w:gridSpan w:val="7"/>
          </w:tcPr>
          <w:p>
            <w:pPr>
              <w:spacing w:after="0"/>
              <w:rPr>
                <w:sz w:val="13"/>
                <w:szCs w:val="13"/>
                <w:color w:val="auto"/>
              </w:rPr>
            </w:pPr>
          </w:p>
        </w:tc>
        <w:tc>
          <w:tcPr>
            <w:tcW w:w="76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35</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E32E1"/>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w w:val="99"/>
              </w:rPr>
              <w:t>Risk Factors</w:t>
            </w:r>
          </w:p>
        </w:tc>
        <w:tc>
          <w:tcPr>
            <w:tcW w:w="7960" w:type="dxa"/>
            <w:vAlign w:val="bottom"/>
            <w:tcBorders>
              <w:bottom w:val="single" w:sz="8" w:color="CCEEFF"/>
            </w:tcBorders>
            <w:gridSpan w:val="18"/>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w:t>
            </w: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2.</w:t>
            </w: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E32E1"/>
              </w:rPr>
              <w:t>Unregistered Sales of Equity Securities and Use of Proceeds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36</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Borders>
              <w:top w:val="single" w:sz="8" w:color="0E32E1"/>
            </w:tcBorders>
          </w:tcPr>
          <w:p>
            <w:pPr>
              <w:spacing w:after="0"/>
              <w:rPr>
                <w:sz w:val="3"/>
                <w:szCs w:val="3"/>
                <w:color w:val="auto"/>
              </w:rPr>
            </w:pPr>
          </w:p>
        </w:tc>
        <w:tc>
          <w:tcPr>
            <w:tcW w:w="1440" w:type="dxa"/>
            <w:vAlign w:val="bottom"/>
            <w:tcBorders>
              <w:top w:val="single" w:sz="8" w:color="0E32E1"/>
            </w:tcBorders>
          </w:tcPr>
          <w:p>
            <w:pPr>
              <w:spacing w:after="0"/>
              <w:rPr>
                <w:sz w:val="3"/>
                <w:szCs w:val="3"/>
                <w:color w:val="auto"/>
              </w:rPr>
            </w:pPr>
          </w:p>
        </w:tc>
        <w:tc>
          <w:tcPr>
            <w:tcW w:w="160" w:type="dxa"/>
            <w:vAlign w:val="bottom"/>
            <w:tcBorders>
              <w:top w:val="single" w:sz="8" w:color="0E32E1"/>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3.</w:t>
            </w:r>
          </w:p>
        </w:tc>
        <w:tc>
          <w:tcPr>
            <w:tcW w:w="868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Defaults Upon Senior Securities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w:t>
            </w:r>
          </w:p>
        </w:tc>
      </w:tr>
      <w:tr>
        <w:trPr>
          <w:trHeight w:val="159"/>
        </w:trPr>
        <w:tc>
          <w:tcPr>
            <w:tcW w:w="100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Item 4.</w:t>
            </w:r>
          </w:p>
        </w:tc>
        <w:tc>
          <w:tcPr>
            <w:tcW w:w="1820" w:type="dxa"/>
            <w:vAlign w:val="bottom"/>
            <w:tcBorders>
              <w:top w:val="single" w:sz="8" w:color="0E32E1"/>
            </w:tcBorders>
            <w:gridSpan w:val="7"/>
          </w:tcPr>
          <w:p>
            <w:pPr>
              <w:spacing w:after="0" w:line="159" w:lineRule="exact"/>
              <w:rPr>
                <w:sz w:val="20"/>
                <w:szCs w:val="20"/>
                <w:color w:val="auto"/>
              </w:rPr>
            </w:pPr>
            <w:r>
              <w:rPr>
                <w:rFonts w:ascii="Times New Roman" w:cs="Times New Roman" w:eastAsia="Times New Roman" w:hAnsi="Times New Roman"/>
                <w:sz w:val="14"/>
                <w:szCs w:val="14"/>
                <w:color w:val="0E32E1"/>
              </w:rPr>
              <w:t>Mine Safety Disclosures</w:t>
            </w:r>
          </w:p>
        </w:tc>
        <w:tc>
          <w:tcPr>
            <w:tcW w:w="6860" w:type="dxa"/>
            <w:vAlign w:val="bottom"/>
            <w:tcBorders>
              <w:top w:val="single" w:sz="8" w:color="CCEEFF"/>
            </w:tcBorders>
            <w:gridSpan w:val="14"/>
          </w:tcPr>
          <w:p>
            <w:pPr>
              <w:spacing w:after="0"/>
              <w:rPr>
                <w:sz w:val="13"/>
                <w:szCs w:val="13"/>
                <w:color w:val="auto"/>
              </w:rPr>
            </w:pPr>
          </w:p>
        </w:tc>
        <w:tc>
          <w:tcPr>
            <w:tcW w:w="76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36</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120" w:type="dxa"/>
            <w:vAlign w:val="bottom"/>
            <w:tcBorders>
              <w:top w:val="single" w:sz="8" w:color="0E32E1"/>
            </w:tcBorders>
          </w:tcPr>
          <w:p>
            <w:pPr>
              <w:spacing w:after="0"/>
              <w:rPr>
                <w:sz w:val="3"/>
                <w:szCs w:val="3"/>
                <w:color w:val="auto"/>
              </w:rPr>
            </w:pPr>
          </w:p>
        </w:tc>
        <w:tc>
          <w:tcPr>
            <w:tcW w:w="320" w:type="dxa"/>
            <w:vAlign w:val="bottom"/>
            <w:tcBorders>
              <w:top w:val="single" w:sz="8" w:color="0E32E1"/>
            </w:tcBorders>
          </w:tcPr>
          <w:p>
            <w:pPr>
              <w:spacing w:after="0"/>
              <w:rPr>
                <w:sz w:val="3"/>
                <w:szCs w:val="3"/>
                <w:color w:val="auto"/>
              </w:rPr>
            </w:pPr>
          </w:p>
        </w:tc>
        <w:tc>
          <w:tcPr>
            <w:tcW w:w="140" w:type="dxa"/>
            <w:vAlign w:val="bottom"/>
            <w:tcBorders>
              <w:top w:val="single" w:sz="8" w:color="0E32E1"/>
            </w:tcBorders>
          </w:tcPr>
          <w:p>
            <w:pPr>
              <w:spacing w:after="0"/>
              <w:rPr>
                <w:sz w:val="3"/>
                <w:szCs w:val="3"/>
                <w:color w:val="auto"/>
              </w:rPr>
            </w:pPr>
          </w:p>
        </w:tc>
        <w:tc>
          <w:tcPr>
            <w:tcW w:w="220" w:type="dxa"/>
            <w:vAlign w:val="bottom"/>
            <w:tcBorders>
              <w:top w:val="single" w:sz="8" w:color="0E32E1"/>
            </w:tcBorders>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03"/>
        </w:trPr>
        <w:tc>
          <w:tcPr>
            <w:tcW w:w="10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E32E1"/>
            </w:tcBorders>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w w:val="99"/>
              </w:rPr>
              <w:t>Other Information</w:t>
            </w:r>
          </w:p>
        </w:tc>
        <w:tc>
          <w:tcPr>
            <w:tcW w:w="7640" w:type="dxa"/>
            <w:vAlign w:val="bottom"/>
            <w:tcBorders>
              <w:bottom w:val="single" w:sz="8" w:color="CCEEFF"/>
            </w:tcBorders>
            <w:gridSpan w:val="17"/>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w:t>
            </w:r>
          </w:p>
        </w:tc>
      </w:tr>
      <w:tr>
        <w:trPr>
          <w:trHeight w:val="159"/>
        </w:trPr>
        <w:tc>
          <w:tcPr>
            <w:tcW w:w="1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Item 6.</w:t>
            </w:r>
          </w:p>
        </w:tc>
        <w:tc>
          <w:tcPr>
            <w:tcW w:w="8680" w:type="dxa"/>
            <w:vAlign w:val="bottom"/>
            <w:gridSpan w:val="21"/>
          </w:tcPr>
          <w:p>
            <w:pPr>
              <w:spacing w:after="0" w:line="159" w:lineRule="exact"/>
              <w:rPr>
                <w:sz w:val="20"/>
                <w:szCs w:val="20"/>
                <w:color w:val="auto"/>
              </w:rPr>
            </w:pPr>
            <w:r>
              <w:rPr>
                <w:rFonts w:ascii="Times New Roman" w:cs="Times New Roman" w:eastAsia="Times New Roman" w:hAnsi="Times New Roman"/>
                <w:sz w:val="14"/>
                <w:szCs w:val="14"/>
                <w:color w:val="0E32E1"/>
              </w:rPr>
              <w:t>Exhibits</w:t>
            </w:r>
          </w:p>
        </w:tc>
        <w:tc>
          <w:tcPr>
            <w:tcW w:w="7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w:t>
            </w:r>
          </w:p>
        </w:tc>
      </w:tr>
      <w:tr>
        <w:trPr>
          <w:trHeight w:val="44"/>
        </w:trPr>
        <w:tc>
          <w:tcPr>
            <w:tcW w:w="1000" w:type="dxa"/>
            <w:vAlign w:val="bottom"/>
          </w:tcPr>
          <w:p>
            <w:pPr>
              <w:spacing w:after="0"/>
              <w:rPr>
                <w:sz w:val="3"/>
                <w:szCs w:val="3"/>
                <w:color w:val="auto"/>
              </w:rPr>
            </w:pPr>
          </w:p>
        </w:tc>
        <w:tc>
          <w:tcPr>
            <w:tcW w:w="480" w:type="dxa"/>
            <w:vAlign w:val="bottom"/>
            <w:tcBorders>
              <w:top w:val="single" w:sz="8" w:color="0E32E1"/>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59"/>
        </w:trPr>
        <w:tc>
          <w:tcPr>
            <w:tcW w:w="1000" w:type="dxa"/>
            <w:vAlign w:val="bottom"/>
            <w:shd w:val="clear" w:color="auto" w:fill="CCEEFF"/>
          </w:tcPr>
          <w:p>
            <w:pPr>
              <w:spacing w:after="0"/>
              <w:rPr>
                <w:sz w:val="13"/>
                <w:szCs w:val="13"/>
                <w:color w:val="auto"/>
              </w:rPr>
            </w:pPr>
          </w:p>
        </w:tc>
        <w:tc>
          <w:tcPr>
            <w:tcW w:w="8680" w:type="dxa"/>
            <w:vAlign w:val="bottom"/>
            <w:gridSpan w:val="21"/>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E32E1"/>
              </w:rPr>
              <w:t>Signatures</w:t>
            </w:r>
          </w:p>
        </w:tc>
        <w:tc>
          <w:tcPr>
            <w:tcW w:w="7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w:t>
            </w:r>
          </w:p>
        </w:tc>
      </w:tr>
      <w:tr>
        <w:trPr>
          <w:trHeight w:val="44"/>
        </w:trPr>
        <w:tc>
          <w:tcPr>
            <w:tcW w:w="100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0E32E1"/>
            </w:tcBorders>
            <w:shd w:val="clear" w:color="auto" w:fill="CCEEFF"/>
          </w:tcPr>
          <w:p>
            <w:pPr>
              <w:spacing w:after="0"/>
              <w:rPr>
                <w:sz w:val="3"/>
                <w:szCs w:val="3"/>
                <w:color w:val="auto"/>
              </w:rPr>
            </w:pPr>
          </w:p>
        </w:tc>
        <w:tc>
          <w:tcPr>
            <w:tcW w:w="120" w:type="dxa"/>
            <w:vAlign w:val="bottom"/>
            <w:tcBorders>
              <w:top w:val="single" w:sz="8" w:color="0E32E1"/>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480" w:top="1226" w:right="9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NOTE ON FORWARD-LOOKING STATEMENTS</w:t>
      </w:r>
    </w:p>
    <w:p>
      <w:pPr>
        <w:spacing w:after="0" w:line="13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contained in this Quarterly Report on Form 10-Q include, but are not limited to, statements about our ability to, or expectations that Symbotic will:</w:t>
      </w:r>
    </w:p>
    <w:p>
      <w:pPr>
        <w:spacing w:after="0" w:line="5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the technical requirements of existing or future supply agreements with its customers, including with respect to existing backlog;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its target customer base and maintain its existing customer base;</w:t>
      </w:r>
    </w:p>
    <w:p>
      <w:pPr>
        <w:spacing w:after="0" w:line="51" w:lineRule="exact"/>
        <w:rPr>
          <w:rFonts w:ascii="Times New Roman" w:cs="Times New Roman" w:eastAsia="Times New Roman" w:hAnsi="Times New Roman"/>
          <w:sz w:val="14"/>
          <w:szCs w:val="14"/>
          <w:color w:val="auto"/>
        </w:rPr>
      </w:pPr>
    </w:p>
    <w:p>
      <w:pPr>
        <w:ind w:left="520" w:right="60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the benefits expected from the acquisition of Walmart’s Advanced Systems and Robotics business, the GreenBox joint venture, the Commercial Agreement with GreenBox, Symbotic’s acquisitions of developed technology intangible assets, and the commercial agreement with Walmart de México y Centroamérica;</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 its outlook, including its system gross margin;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industry trends;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its system;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the listing of the Symbotic Class A Common Stock on Nasdaq;</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its growth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design and sell systems that are differentiated from those of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its research and development strategy;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maintain, protect and enforce intellectual property;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train and retain effective officers, key employees or directors;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laws and regulations applicable to its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stay abreast of modified or new laws and regulations applying to its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litigation;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equity securities in connection with future transactions;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future liquidity requirements and, if applicable, comply with restrictive covenants related to long-term indebtedness;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effectively remediate any material weaknesses in its internal control over financial reporting;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rapid technological changes;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respond to general economic and business conditions.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Forward-looking statements made in this Quarterly Report on Form 10-Q also include, but are not limited to, statements with respect to:</w:t>
      </w:r>
    </w:p>
    <w:p>
      <w:pPr>
        <w:spacing w:after="0" w:line="51"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performance of Symbotic’s business and operations;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revenues, expenses, adjusted EBITDA and anticipated cash needs;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cash flow, liquidity and sources of funding;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capital expenditures;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of Symbotic’s leadership 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pending and future legislation;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disruption;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to the business due to Symbotic’s dependency on certain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73" w:right="339" w:bottom="1440" w:gutter="0" w:footer="0" w:header="0"/>
        </w:sectPr>
      </w:pPr>
    </w:p>
    <w:bookmarkStart w:id="4" w:name="page5"/>
    <w:bookmarkEnd w:id="4"/>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competition in the warehouse automation industry;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in the design, production or launch of Symbotic’s systems and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meet customers’ requirements under existing or future contracts or customer’s expectations as to price or pricing 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defects in new products or enhancements to existing products;</w:t>
      </w:r>
    </w:p>
    <w:p>
      <w:pPr>
        <w:spacing w:after="0" w:line="51" w:lineRule="exact"/>
        <w:rPr>
          <w:rFonts w:ascii="Times New Roman" w:cs="Times New Roman" w:eastAsia="Times New Roman" w:hAnsi="Times New Roman"/>
          <w:sz w:val="14"/>
          <w:szCs w:val="14"/>
          <w:color w:val="auto"/>
        </w:rPr>
      </w:pPr>
    </w:p>
    <w:p>
      <w:pPr>
        <w:ind w:left="520" w:right="8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fluctuation of operating results from period to period due to a number of factors, including the pace of customer adoption of Symbotic’s new products and services and any changes in its product mix that shift too far into lower gross margin products; and</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consequences associated with joint ventures and legislative and regulatory actions and reforms.</w:t>
      </w:r>
    </w:p>
    <w:p>
      <w:pPr>
        <w:spacing w:after="0" w:line="5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our Annual Report on Form 10-K filed with the U.S. Securities and Exchange Commission (“SEC”) on December 4, 2024.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21"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 whether as a result of new information, future events or otherwise, except as required by law.</w:t>
      </w:r>
    </w:p>
    <w:p>
      <w:pPr>
        <w:spacing w:after="0" w:line="8" w:lineRule="exact"/>
        <w:rPr>
          <w:sz w:val="20"/>
          <w:szCs w:val="20"/>
          <w:color w:val="auto"/>
        </w:rPr>
      </w:pPr>
    </w:p>
    <w:p>
      <w:pPr>
        <w:jc w:val="both"/>
        <w:ind w:right="180" w:firstLine="255"/>
        <w:spacing w:after="0" w:line="270" w:lineRule="auto"/>
        <w:rPr>
          <w:sz w:val="20"/>
          <w:szCs w:val="20"/>
          <w:color w:val="auto"/>
        </w:rPr>
      </w:pPr>
      <w:r>
        <w:rPr>
          <w:rFonts w:ascii="Times New Roman" w:cs="Times New Roman" w:eastAsia="Times New Roman" w:hAnsi="Times New Roman"/>
          <w:sz w:val="14"/>
          <w:szCs w:val="14"/>
          <w:color w:val="auto"/>
        </w:rPr>
        <w:t>In addition to factors previously disclosed in our Annual Report on Form 10-K filed with the SEC on December 4, 2024,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Annualized and estimated numbers are not forecasts and may not reflect actual results.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this Quarterly Report on Form 10-Q,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 w:name="page6"/>
    <w:bookmarkEnd w:id="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Unaudited Condensed Consolidated Financial Statements</w:t>
      </w: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Balance Sheets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0" w:type="dxa"/>
            <w:vAlign w:val="bottom"/>
          </w:tcPr>
          <w:p>
            <w:pPr>
              <w:spacing w:after="0"/>
              <w:rPr>
                <w:sz w:val="1"/>
                <w:szCs w:val="1"/>
                <w:color w:val="auto"/>
              </w:rPr>
            </w:pPr>
          </w:p>
        </w:tc>
      </w:tr>
      <w:tr>
        <w:trPr>
          <w:trHeight w:val="26"/>
        </w:trPr>
        <w:tc>
          <w:tcPr>
            <w:tcW w:w="3680" w:type="dxa"/>
            <w:vAlign w:val="bottom"/>
          </w:tcPr>
          <w:p>
            <w:pPr>
              <w:spacing w:after="0"/>
              <w:rPr>
                <w:sz w:val="2"/>
                <w:szCs w:val="2"/>
                <w:color w:val="auto"/>
              </w:rPr>
            </w:pPr>
          </w:p>
        </w:tc>
        <w:tc>
          <w:tcPr>
            <w:tcW w:w="44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43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903,034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727,310</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201,548</w:t>
            </w:r>
          </w:p>
        </w:tc>
        <w:tc>
          <w:tcPr>
            <w:tcW w:w="0" w:type="dxa"/>
            <w:vAlign w:val="bottom"/>
          </w:tcPr>
          <w:p>
            <w:pPr>
              <w:spacing w:after="0"/>
              <w:rPr>
                <w:sz w:val="1"/>
                <w:szCs w:val="1"/>
                <w:color w:val="auto"/>
              </w:rPr>
            </w:pPr>
          </w:p>
        </w:tc>
      </w:tr>
      <w:tr>
        <w:trPr>
          <w:trHeight w:val="191"/>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218,233</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106,136</w:t>
            </w:r>
          </w:p>
        </w:tc>
        <w:tc>
          <w:tcPr>
            <w:tcW w:w="0" w:type="dxa"/>
            <w:vAlign w:val="bottom"/>
          </w:tcPr>
          <w:p>
            <w:pPr>
              <w:spacing w:after="0"/>
              <w:rPr>
                <w:sz w:val="1"/>
                <w:szCs w:val="1"/>
                <w:color w:val="auto"/>
              </w:rPr>
            </w:pPr>
          </w:p>
        </w:tc>
      </w:tr>
      <w:tr>
        <w:trPr>
          <w:trHeight w:val="191"/>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expenses</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101,252</w:t>
            </w:r>
          </w:p>
        </w:tc>
        <w:tc>
          <w:tcPr>
            <w:tcW w:w="0" w:type="dxa"/>
            <w:vAlign w:val="bottom"/>
          </w:tcPr>
          <w:p>
            <w:pPr>
              <w:spacing w:after="0"/>
              <w:rPr>
                <w:sz w:val="1"/>
                <w:szCs w:val="1"/>
                <w:color w:val="auto"/>
              </w:rPr>
            </w:pPr>
          </w:p>
        </w:tc>
      </w:tr>
      <w:tr>
        <w:trPr>
          <w:trHeight w:val="181"/>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current assets</w:t>
            </w:r>
          </w:p>
        </w:tc>
        <w:tc>
          <w:tcPr>
            <w:tcW w:w="4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1,458,426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1,355,537</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97,109</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81,289</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40,953</w:t>
            </w:r>
          </w:p>
        </w:tc>
        <w:tc>
          <w:tcPr>
            <w:tcW w:w="0" w:type="dxa"/>
            <w:vAlign w:val="bottom"/>
          </w:tcPr>
          <w:p>
            <w:pPr>
              <w:spacing w:after="0"/>
              <w:rPr>
                <w:sz w:val="1"/>
                <w:szCs w:val="1"/>
                <w:color w:val="auto"/>
              </w:rPr>
            </w:pPr>
          </w:p>
        </w:tc>
      </w:tr>
      <w:tr>
        <w:trPr>
          <w:trHeight w:val="32"/>
        </w:trPr>
        <w:tc>
          <w:tcPr>
            <w:tcW w:w="36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4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1,578,552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68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4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206,324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175,188</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4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165,644</w:t>
            </w:r>
          </w:p>
        </w:tc>
        <w:tc>
          <w:tcPr>
            <w:tcW w:w="0" w:type="dxa"/>
            <w:vAlign w:val="bottom"/>
          </w:tcPr>
          <w:p>
            <w:pPr>
              <w:spacing w:after="0"/>
              <w:rPr>
                <w:sz w:val="1"/>
                <w:szCs w:val="1"/>
                <w:color w:val="auto"/>
              </w:rPr>
            </w:pPr>
          </w:p>
        </w:tc>
      </w:tr>
      <w:tr>
        <w:trPr>
          <w:trHeight w:val="191"/>
        </w:trPr>
        <w:tc>
          <w:tcPr>
            <w:tcW w:w="3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676,314</w:t>
            </w:r>
          </w:p>
        </w:tc>
        <w:tc>
          <w:tcPr>
            <w:tcW w:w="0" w:type="dxa"/>
            <w:vAlign w:val="bottom"/>
          </w:tcPr>
          <w:p>
            <w:pPr>
              <w:spacing w:after="0"/>
              <w:rPr>
                <w:sz w:val="1"/>
                <w:szCs w:val="1"/>
                <w:color w:val="auto"/>
              </w:rPr>
            </w:pPr>
          </w:p>
        </w:tc>
      </w:tr>
      <w:tr>
        <w:trPr>
          <w:trHeight w:val="32"/>
        </w:trPr>
        <w:tc>
          <w:tcPr>
            <w:tcW w:w="36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1,196,851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1,017,146</w:t>
            </w: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129,233</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42,043</w:t>
            </w:r>
          </w:p>
        </w:tc>
        <w:tc>
          <w:tcPr>
            <w:tcW w:w="0" w:type="dxa"/>
            <w:vAlign w:val="bottom"/>
          </w:tcPr>
          <w:p>
            <w:pPr>
              <w:spacing w:after="0"/>
              <w:rPr>
                <w:sz w:val="1"/>
                <w:szCs w:val="1"/>
                <w:color w:val="auto"/>
              </w:rPr>
            </w:pPr>
          </w:p>
        </w:tc>
      </w:tr>
      <w:tr>
        <w:trPr>
          <w:trHeight w:val="181"/>
        </w:trPr>
        <w:tc>
          <w:tcPr>
            <w:tcW w:w="36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4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1,321,697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1,188,422</w:t>
            </w:r>
          </w:p>
        </w:tc>
        <w:tc>
          <w:tcPr>
            <w:tcW w:w="0" w:type="dxa"/>
            <w:vAlign w:val="bottom"/>
          </w:tcPr>
          <w:p>
            <w:pPr>
              <w:spacing w:after="0"/>
              <w:rPr>
                <w:sz w:val="1"/>
                <w:szCs w:val="1"/>
                <w:color w:val="auto"/>
              </w:rPr>
            </w:pPr>
          </w:p>
        </w:tc>
      </w:tr>
      <w:tr>
        <w:trPr>
          <w:trHeight w:val="32"/>
        </w:trPr>
        <w:tc>
          <w:tcPr>
            <w:tcW w:w="36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680" w:type="dxa"/>
            <w:vAlign w:val="bottom"/>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
        </w:trPr>
        <w:tc>
          <w:tcPr>
            <w:tcW w:w="3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80"/>
          </w:cols>
          <w:pgMar w:left="300" w:top="167"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7161530" cy="249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249555"/>
                    </a:xfrm>
                    <a:prstGeom prst="rect">
                      <a:avLst/>
                    </a:prstGeom>
                    <a:noFill/>
                  </pic:spPr>
                </pic:pic>
              </a:graphicData>
            </a:graphic>
          </wp:anchor>
        </w:drawing>
      </w:r>
    </w:p>
    <w:p>
      <w:pPr>
        <w:spacing w:after="0" w:line="42" w:lineRule="exact"/>
        <w:rPr>
          <w:sz w:val="20"/>
          <w:szCs w:val="20"/>
          <w:color w:val="auto"/>
        </w:rPr>
      </w:pPr>
    </w:p>
    <w:p>
      <w:pPr>
        <w:ind w:left="280" w:right="900"/>
        <w:spacing w:after="0" w:line="292" w:lineRule="auto"/>
        <w:rPr>
          <w:sz w:val="20"/>
          <w:szCs w:val="20"/>
          <w:color w:val="auto"/>
        </w:rPr>
      </w:pPr>
      <w:r>
        <w:rPr>
          <w:rFonts w:ascii="Times New Roman" w:cs="Times New Roman" w:eastAsia="Times New Roman" w:hAnsi="Times New Roman"/>
          <w:sz w:val="14"/>
          <w:szCs w:val="14"/>
          <w:color w:val="auto"/>
        </w:rPr>
        <w:t>Class A Common Stock, 3,000,000,000 shares authorized, 106,521,915 and 104,689,377 shares issued and outstanding at December 28, 2024 and September 28, 2024, respectively</w:t>
      </w:r>
    </w:p>
    <w:p>
      <w:pPr>
        <w:spacing w:after="0" w:line="1" w:lineRule="exact"/>
        <w:rPr>
          <w:sz w:val="20"/>
          <w:szCs w:val="20"/>
          <w:color w:val="auto"/>
        </w:rPr>
      </w:pPr>
    </w:p>
    <w:p>
      <w:pPr>
        <w:ind w:left="280" w:right="720"/>
        <w:spacing w:after="0" w:line="303" w:lineRule="auto"/>
        <w:rPr>
          <w:sz w:val="20"/>
          <w:szCs w:val="20"/>
          <w:color w:val="auto"/>
        </w:rPr>
      </w:pPr>
      <w:r>
        <w:rPr>
          <w:rFonts w:ascii="Times New Roman" w:cs="Times New Roman" w:eastAsia="Times New Roman" w:hAnsi="Times New Roman"/>
          <w:sz w:val="14"/>
          <w:szCs w:val="14"/>
          <w:color w:val="auto"/>
        </w:rPr>
        <w:t>Class V-1 Common Stock, 1,000,000,000 shares authorized, 76,588,618 and 76,965,386 shares issued and outstanding at December 28, 2024 and September 28, 2024, respectively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color w:val="auto"/>
        </w:rPr>
        <w:t>13</w:t>
      </w:r>
    </w:p>
    <w:p>
      <w:pPr>
        <w:spacing w:after="0" w:line="232"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12"/>
          <w:szCs w:val="12"/>
          <w:color w:val="auto"/>
        </w:rPr>
        <w:t>7</w:t>
      </w:r>
      <w:r>
        <w:rPr>
          <w:sz w:val="20"/>
          <w:szCs w:val="20"/>
          <w:color w:val="auto"/>
        </w:rPr>
        <w:tab/>
      </w:r>
      <w:r>
        <w:rPr>
          <w:rFonts w:ascii="Times New Roman" w:cs="Times New Roman" w:eastAsia="Times New Roman" w:hAnsi="Times New Roman"/>
          <w:sz w:val="12"/>
          <w:szCs w:val="12"/>
          <w:color w:val="auto"/>
        </w:rPr>
        <w:t>7</w:t>
      </w:r>
    </w:p>
    <w:p>
      <w:pPr>
        <w:spacing w:after="0" w:line="298" w:lineRule="exact"/>
        <w:rPr>
          <w:sz w:val="20"/>
          <w:szCs w:val="20"/>
          <w:color w:val="auto"/>
        </w:rPr>
      </w:pPr>
    </w:p>
    <w:p>
      <w:pPr>
        <w:sectPr>
          <w:pgSz w:w="11900" w:h="16838" w:orient="portrait"/>
          <w:cols w:equalWidth="0" w:num="2">
            <w:col w:w="8660" w:space="720"/>
            <w:col w:w="1900"/>
          </w:cols>
          <w:pgMar w:left="300" w:top="16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V-3 Common Stock, 450,000,000 shares authorized, 404,309,196 and 404,309,196 shares issued and outstanding at December</w:t>
            </w:r>
          </w:p>
        </w:tc>
        <w:tc>
          <w:tcPr>
            <w:tcW w:w="5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6"/>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28, 2024 and September 28, 2024, respectively</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1,526,573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1,523,692</w:t>
            </w:r>
          </w:p>
        </w:tc>
        <w:tc>
          <w:tcPr>
            <w:tcW w:w="0" w:type="dxa"/>
            <w:vAlign w:val="bottom"/>
          </w:tcPr>
          <w:p>
            <w:pPr>
              <w:spacing w:after="0"/>
              <w:rPr>
                <w:sz w:val="1"/>
                <w:szCs w:val="1"/>
                <w:color w:val="auto"/>
              </w:rPr>
            </w:pPr>
          </w:p>
        </w:tc>
      </w:tr>
      <w:tr>
        <w:trPr>
          <w:trHeight w:val="32"/>
        </w:trPr>
        <w:tc>
          <w:tcPr>
            <w:tcW w:w="7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(1,327,401)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(1,323,925)</w:t>
            </w:r>
          </w:p>
        </w:tc>
        <w:tc>
          <w:tcPr>
            <w:tcW w:w="0" w:type="dxa"/>
            <w:vAlign w:val="bottom"/>
          </w:tcPr>
          <w:p>
            <w:pPr>
              <w:spacing w:after="0"/>
              <w:rPr>
                <w:sz w:val="1"/>
                <w:szCs w:val="1"/>
                <w:color w:val="auto"/>
              </w:rPr>
            </w:pPr>
          </w:p>
        </w:tc>
      </w:tr>
      <w:tr>
        <w:trPr>
          <w:trHeight w:val="19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197,233</w:t>
            </w:r>
          </w:p>
        </w:tc>
        <w:tc>
          <w:tcPr>
            <w:tcW w:w="0" w:type="dxa"/>
            <w:vAlign w:val="bottom"/>
          </w:tcPr>
          <w:p>
            <w:pPr>
              <w:spacing w:after="0"/>
              <w:rPr>
                <w:sz w:val="1"/>
                <w:szCs w:val="1"/>
                <w:color w:val="auto"/>
              </w:rPr>
            </w:pPr>
          </w:p>
        </w:tc>
      </w:tr>
      <w:tr>
        <w:trPr>
          <w:trHeight w:val="191"/>
        </w:trPr>
        <w:tc>
          <w:tcPr>
            <w:tcW w:w="7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192,897</w:t>
            </w:r>
          </w:p>
        </w:tc>
        <w:tc>
          <w:tcPr>
            <w:tcW w:w="0" w:type="dxa"/>
            <w:vAlign w:val="bottom"/>
          </w:tcPr>
          <w:p>
            <w:pPr>
              <w:spacing w:after="0"/>
              <w:rPr>
                <w:sz w:val="1"/>
                <w:szCs w:val="1"/>
                <w:color w:val="auto"/>
              </w:rPr>
            </w:pPr>
          </w:p>
        </w:tc>
      </w:tr>
      <w:tr>
        <w:trPr>
          <w:trHeight w:val="32"/>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equity</w:t>
            </w: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393,925</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390,130</w:t>
            </w: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1,715,622</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1,578,552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Operations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and per share information)</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20" w:type="dxa"/>
            <w:vAlign w:val="bottom"/>
          </w:tcPr>
          <w:p>
            <w:pPr>
              <w:spacing w:after="0"/>
              <w:rPr>
                <w:sz w:val="14"/>
                <w:szCs w:val="1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r>
      <w:tr>
        <w:trPr>
          <w:trHeight w:val="26"/>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347,705</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359,943</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283,946</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r>
      <w:tr>
        <w:trPr>
          <w:trHeight w:val="181"/>
        </w:trPr>
        <w:tc>
          <w:tcPr>
            <w:tcW w:w="8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cost of revenue</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406,654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295,886</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64,057</w:t>
            </w:r>
          </w:p>
        </w:tc>
      </w:tr>
      <w:tr>
        <w:trPr>
          <w:trHeight w:val="17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42,144</w:t>
            </w: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47,012</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89,156</w:t>
            </w:r>
          </w:p>
        </w:tc>
      </w:tr>
      <w:tr>
        <w:trPr>
          <w:trHeight w:val="18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(25,099)</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w:t>
            </w:r>
          </w:p>
        </w:tc>
      </w:tr>
      <w:tr>
        <w:trPr>
          <w:trHeight w:val="18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before income tax and equity method investment</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(16,806)</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(18,900)</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19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8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per share of Class A Common Stock:</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of Class A Common Stock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1"/>
        </w:trPr>
        <w:tc>
          <w:tcPr>
            <w:tcW w:w="85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106,098,566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83,320,943</w:t>
            </w:r>
          </w:p>
        </w:tc>
      </w:tr>
    </w:tbl>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Comprehensive Loss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4"/>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7"/>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20" w:type="dxa"/>
            <w:vAlign w:val="bottom"/>
          </w:tcPr>
          <w:p>
            <w:pPr>
              <w:spacing w:after="0"/>
              <w:rPr>
                <w:sz w:val="14"/>
                <w:szCs w:val="14"/>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r>
      <w:tr>
        <w:trPr>
          <w:trHeight w:val="26"/>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191"/>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(16,236)</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r>
      <w:tr>
        <w:trPr>
          <w:trHeight w:val="17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191"/>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unrealized gain on investments, net of income taxes of $— for the three months ended December 28, 2024 and December 30, 2023</w:t>
            </w:r>
          </w:p>
        </w:tc>
        <w:tc>
          <w:tcPr>
            <w:tcW w:w="120" w:type="dxa"/>
            <w:vAlign w:val="bottom"/>
          </w:tcPr>
          <w:p>
            <w:pPr>
              <w:spacing w:after="0"/>
              <w:rPr>
                <w:sz w:val="16"/>
                <w:szCs w:val="16"/>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r>
      <w:tr>
        <w:trPr>
          <w:trHeight w:val="191"/>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other comprehensive loss attributable to noncontrolling interests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32"/>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1"/>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(19,623)</w:t>
            </w:r>
          </w:p>
        </w:tc>
      </w:tr>
      <w:tr>
        <w:trPr>
          <w:trHeight w:val="32"/>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(16,704)</w:t>
            </w: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Changes in Equity (Deficit)</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 except share information)</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16"/>
          </w:tcPr>
          <w:p>
            <w:pPr>
              <w:spacing w:after="0"/>
              <w:rPr>
                <w:sz w:val="20"/>
                <w:szCs w:val="20"/>
                <w:color w:val="auto"/>
              </w:rPr>
            </w:pPr>
            <w:r>
              <w:rPr>
                <w:rFonts w:ascii="Times New Roman" w:cs="Times New Roman" w:eastAsia="Times New Roman" w:hAnsi="Times New Roman"/>
                <w:sz w:val="13"/>
                <w:szCs w:val="13"/>
                <w:b w:val="1"/>
                <w:bCs w:val="1"/>
                <w:color w:val="auto"/>
              </w:rPr>
              <w:t>Three Months Ended December 28, 2024</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Class A Common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V-1 Common</w:t>
            </w:r>
          </w:p>
        </w:tc>
        <w:tc>
          <w:tcPr>
            <w:tcW w:w="60" w:type="dxa"/>
            <w:vAlign w:val="bottom"/>
          </w:tcPr>
          <w:p>
            <w:pPr>
              <w:spacing w:after="0"/>
              <w:rPr>
                <w:sz w:val="13"/>
                <w:szCs w:val="13"/>
                <w:color w:val="auto"/>
              </w:rPr>
            </w:pPr>
          </w:p>
        </w:tc>
        <w:tc>
          <w:tcPr>
            <w:tcW w:w="1260" w:type="dxa"/>
            <w:vAlign w:val="bottom"/>
            <w:gridSpan w:val="10"/>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Class V-3 Common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9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7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64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6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104,689,377</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76,965,386</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404,309,196</w:t>
            </w:r>
          </w:p>
        </w:tc>
        <w:tc>
          <w:tcPr>
            <w:tcW w:w="1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1,523,692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(1,323,925)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192,897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390,130</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(18,520)</w:t>
            </w:r>
          </w:p>
        </w:tc>
        <w:tc>
          <w:tcPr>
            <w:tcW w:w="0" w:type="dxa"/>
            <w:vAlign w:val="bottom"/>
          </w:tcPr>
          <w:p>
            <w:pPr>
              <w:spacing w:after="0"/>
              <w:rPr>
                <w:sz w:val="1"/>
                <w:szCs w:val="1"/>
                <w:color w:val="auto"/>
              </w:rPr>
            </w:pPr>
          </w:p>
        </w:tc>
      </w:tr>
      <w:tr>
        <w:trPr>
          <w:trHeight w:val="26"/>
        </w:trPr>
        <w:tc>
          <w:tcPr>
            <w:tcW w:w="3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 net of shares</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withheld for employee taxes</w:t>
            </w:r>
          </w:p>
        </w:tc>
        <w:tc>
          <w:tcPr>
            <w:tcW w:w="6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1,652,671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Class V-1 common stock</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179,867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(179,867)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Cancellation of Class V-1 common stock</w:t>
            </w: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(196,901)</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26,740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Distribution to Symbotic Holdings LLC partners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28, 2024</w:t>
            </w: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106,521,915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76,588,618</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404,309,196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1,526,573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(1,327,401)</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197,389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393,925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17"/>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December 30, 2023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520" w:type="dxa"/>
            <w:vAlign w:val="bottom"/>
          </w:tcPr>
          <w:p>
            <w:pPr>
              <w:spacing w:after="0"/>
              <w:rPr>
                <w:sz w:val="13"/>
                <w:szCs w:val="13"/>
                <w:color w:val="auto"/>
              </w:rPr>
            </w:pPr>
          </w:p>
        </w:tc>
        <w:tc>
          <w:tcPr>
            <w:tcW w:w="11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Class A Common</w:t>
            </w:r>
          </w:p>
        </w:tc>
        <w:tc>
          <w:tcPr>
            <w:tcW w:w="60" w:type="dxa"/>
            <w:vAlign w:val="bottom"/>
          </w:tcPr>
          <w:p>
            <w:pPr>
              <w:spacing w:after="0"/>
              <w:rPr>
                <w:sz w:val="13"/>
                <w:szCs w:val="13"/>
                <w:color w:val="auto"/>
              </w:rPr>
            </w:pPr>
          </w:p>
        </w:tc>
        <w:tc>
          <w:tcPr>
            <w:tcW w:w="1240" w:type="dxa"/>
            <w:vAlign w:val="bottom"/>
            <w:gridSpan w:val="10"/>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Class V-1 Common</w:t>
            </w:r>
          </w:p>
        </w:tc>
        <w:tc>
          <w:tcPr>
            <w:tcW w:w="12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V-3 Common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7"/>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10"/>
            <w:vMerge w:val="continue"/>
          </w:tcPr>
          <w:p>
            <w:pPr>
              <w:spacing w:after="0"/>
              <w:rPr>
                <w:sz w:val="9"/>
                <w:szCs w:val="9"/>
                <w:color w:val="auto"/>
              </w:rPr>
            </w:pPr>
          </w:p>
        </w:tc>
        <w:tc>
          <w:tcPr>
            <w:tcW w:w="120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7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5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7"/>
            <w:vMerge w:val="restart"/>
          </w:tcPr>
          <w:p>
            <w:pPr>
              <w:jc w:val="center"/>
              <w:ind w:right="60"/>
              <w:spacing w:after="0" w:line="140" w:lineRule="exact"/>
              <w:rPr>
                <w:sz w:val="20"/>
                <w:szCs w:val="20"/>
                <w:color w:val="auto"/>
              </w:rPr>
            </w:pPr>
            <w:r>
              <w:rPr>
                <w:rFonts w:ascii="Times New Roman" w:cs="Times New Roman" w:eastAsia="Times New Roman" w:hAnsi="Times New Roman"/>
                <w:sz w:val="13"/>
                <w:szCs w:val="13"/>
                <w:b w:val="1"/>
                <w:bCs w:val="1"/>
                <w:color w:val="auto"/>
                <w:w w:val="98"/>
              </w:rPr>
              <w:t>Capital -</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center"/>
              <w:ind w:right="140"/>
              <w:spacing w:after="0" w:line="140"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9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2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72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700" w:type="dxa"/>
            <w:vAlign w:val="bottom"/>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6"/>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4"/>
                <w:szCs w:val="14"/>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26"/>
        </w:trPr>
        <w:tc>
          <w:tcPr>
            <w:tcW w:w="2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82,112,881</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66,931,097</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407,528,941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Borders>
              <w:bottom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58,126</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1,254,022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(1,310,435)</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(2,716)</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(19,072)</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665,842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of shares withheld for employee taxes</w:t>
            </w:r>
          </w:p>
        </w:tc>
        <w:tc>
          <w:tcPr>
            <w:tcW w:w="6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Class V-1 and V-3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2,327,865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(1,311,865)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(1,016,000)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29,462</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warrants</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15,870,411</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216,828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158,705</w:t>
            </w: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30, 2023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85,106,588</w:t>
            </w:r>
          </w:p>
        </w:tc>
        <w:tc>
          <w:tcPr>
            <w:tcW w:w="60" w:type="dxa"/>
            <w:vAlign w:val="bottom"/>
          </w:tcPr>
          <w:p>
            <w:pPr>
              <w:spacing w:after="0"/>
              <w:rPr>
                <w:sz w:val="14"/>
                <w:szCs w:val="14"/>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Pr>
          <w:p>
            <w:pPr>
              <w:spacing w:after="0"/>
              <w:rPr>
                <w:sz w:val="14"/>
                <w:szCs w:val="14"/>
                <w:color w:val="auto"/>
              </w:rPr>
            </w:pPr>
          </w:p>
        </w:tc>
        <w:tc>
          <w:tcPr>
            <w:tcW w:w="6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81,489,643</w:t>
            </w: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4"/>
                <w:szCs w:val="14"/>
                <w:color w:val="auto"/>
              </w:rPr>
            </w:pPr>
          </w:p>
        </w:tc>
        <w:tc>
          <w:tcPr>
            <w:tcW w:w="6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w w:val="98"/>
              </w:rPr>
              <w:t>406,512,941</w:t>
            </w: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1,257,853</w:t>
            </w:r>
          </w:p>
        </w:tc>
        <w:tc>
          <w:tcPr>
            <w:tcW w:w="60" w:type="dxa"/>
            <w:vAlign w:val="bottom"/>
          </w:tcPr>
          <w:p>
            <w:pPr>
              <w:spacing w:after="0"/>
              <w:rPr>
                <w:sz w:val="14"/>
                <w:szCs w:val="14"/>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(1,770)</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(1,313,271)</w:t>
            </w:r>
          </w:p>
        </w:tc>
        <w:tc>
          <w:tcPr>
            <w:tcW w:w="6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222,899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165,770</w:t>
            </w:r>
          </w:p>
        </w:tc>
        <w:tc>
          <w:tcPr>
            <w:tcW w:w="0" w:type="dxa"/>
            <w:vAlign w:val="bottom"/>
          </w:tcPr>
          <w:p>
            <w:pPr>
              <w:spacing w:after="0"/>
              <w:rPr>
                <w:sz w:val="1"/>
                <w:szCs w:val="1"/>
                <w:color w:val="auto"/>
              </w:rPr>
            </w:pPr>
          </w:p>
        </w:tc>
      </w:tr>
      <w:tr>
        <w:trPr>
          <w:trHeight w:val="26"/>
        </w:trPr>
        <w:tc>
          <w:tcPr>
            <w:tcW w:w="2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Symbotic Inc.</w:t>
      </w:r>
    </w:p>
    <w:p>
      <w:pPr>
        <w:spacing w:after="0" w:line="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spacing w:after="0" w:line="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(gains) losses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(32,653)</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expenses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58,336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69,966</w:t>
            </w:r>
          </w:p>
        </w:tc>
      </w:tr>
      <w:tr>
        <w:trPr>
          <w:trHeight w:val="19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(30,150)</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Capitalization of internal use software development costs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(48,317)</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Acquisitions of strategic investments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3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98,690</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for taxes related to net share settlement of stock-based compensation awards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158,702</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or on behalf of Symbotic Holdings LLC partners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158,646</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175,732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227,184</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730,354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260,918</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activities:</w:t>
            </w:r>
          </w:p>
        </w:tc>
        <w:tc>
          <w:tcPr>
            <w:tcW w:w="2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91"/>
        </w:trPr>
        <w:tc>
          <w:tcPr>
            <w:tcW w:w="6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liabilities</w:t>
            </w:r>
          </w:p>
        </w:tc>
        <w:tc>
          <w:tcPr>
            <w:tcW w:w="22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7,988</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5,818</w:t>
            </w:r>
          </w:p>
        </w:tc>
      </w:tr>
      <w:tr>
        <w:trPr>
          <w:trHeight w:val="32"/>
        </w:trPr>
        <w:tc>
          <w:tcPr>
            <w:tcW w:w="6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1"/>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 of equipment from inventories to property and equipment</w:t>
            </w:r>
          </w:p>
        </w:tc>
        <w:tc>
          <w:tcPr>
            <w:tcW w:w="22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7,982</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6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Symbotic Inc.</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Unaudited Condensed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5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spacing w:after="0" w:line="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16"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comprehensive technology solutions that dramatically improve supply chain operations. The Company currently automates the processing of pallets and cases in large warehouses for some of the largest retail companies in the world. Its systems enhance operations at the front end of the supply chain, and therefore benefit all supply partners further down the chain, irrespective of fulfillment strategy.</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headquarters are located in Wilmington, Massachusetts, and its Canadian headquarters are located in Montreal, Quebec.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 and Consolidation</w:t>
      </w:r>
    </w:p>
    <w:p>
      <w:pPr>
        <w:spacing w:after="0" w:line="5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28, 2024, which are included within the Company’s Annual Report on Form 10-K filed with the SEC on December 4, 2024. The September 28, 2024 consolidated balance sheet included herein is derived from the Company’s audited consolidated financial statements.</w:t>
      </w:r>
    </w:p>
    <w:p>
      <w:pPr>
        <w:spacing w:after="0" w:line="1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6"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53"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51" w:lineRule="exact"/>
        <w:rPr>
          <w:sz w:val="20"/>
          <w:szCs w:val="20"/>
          <w:color w:val="auto"/>
        </w:rPr>
      </w:pPr>
    </w:p>
    <w:p>
      <w:pPr>
        <w:ind w:right="12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audited consolidated financial statements and related notes thereto as of and for the year ended September 28, 2024. There have been no material changes to the significant accounting policies during the three month period ended December 28, 2024.</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Presentation of Restricted Cash</w:t>
      </w:r>
    </w:p>
    <w:p>
      <w:pPr>
        <w:spacing w:after="0" w:line="53" w:lineRule="exact"/>
        <w:rPr>
          <w:sz w:val="20"/>
          <w:szCs w:val="20"/>
          <w:color w:val="auto"/>
        </w:rPr>
      </w:pPr>
    </w:p>
    <w:p>
      <w:pPr>
        <w:jc w:val="both"/>
        <w:ind w:right="20" w:firstLine="255"/>
        <w:spacing w:after="0" w:line="264" w:lineRule="auto"/>
        <w:rPr>
          <w:sz w:val="20"/>
          <w:szCs w:val="20"/>
          <w:color w:val="auto"/>
        </w:rPr>
      </w:pPr>
      <w:r>
        <w:rPr>
          <w:rFonts w:ascii="Times New Roman" w:cs="Times New Roman" w:eastAsia="Times New Roman" w:hAnsi="Times New Roman"/>
          <w:sz w:val="14"/>
          <w:szCs w:val="14"/>
          <w:color w:val="auto"/>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 The following table summarizes the end-of-period cash and cash equivalents from the Company’s Consolidated Balance Sheets and the total cash, cash equivalents, and restricted cash as presented on the accompanying Consolidated Statements of Cash Flows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903,034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485,952</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classified in:</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488,102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Volume of Business</w:t>
      </w:r>
    </w:p>
    <w:p>
      <w:pPr>
        <w:spacing w:after="0" w:line="53"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Company has concentration in the volume of purchases it conducts with its suppliers. For the three months ended December 28, 2024, there were two suppliers that accounted for greater than 10% of total purchases, and the aggregate purchases amounted to $87.1 million. For the three months ended December 30, 2023, there was one supplier that accounted for greater than 10% of total purchases, and the aggregate purchases amounted to $40.0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53"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 “Segment Reporting (Topic 280): Improvements to Reportable Segment Disclosures” (“ASU 2023-07”). ASU 2023-07 enhances segment reporting under Topic 280 by expanding the breadth and frequency of segment disclosures. ASU 2023-07 requires disclosure of significant expenses that are regularly provided to an entity’s chief operating decision maker (“CODM”) and included in the reported measure(s) of a segment’s profit or loss. When applying this disclosure requirement, an entity identifies the segment expenses that are regularly provided to the CODM or easily computable from information that is regularly provided to the CODM. Entities are also required to disclose other segment items, i.e., the difference between reported segment revenue less the significant segment expenses and the reported measure(s) of a segment’s profit or loss. ASU 2023-07 also clarifies that single reportable segment entities are subject to Topic 280 in its entirety. ASU 2023-07 is effective for public entities for fiscal years beginning after December 15, 2023, and interim periods in fiscal years beginning after December 15, 2024. The amendments in ASU 2023-07 should be adopted retrospectively unless impracticable. Early adoption is permitted. The disclosures required by ASU 2023-07 are not expected to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firstLine="255"/>
        <w:spacing w:after="0" w:line="257"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is currently evaluating the impact that ASU 2023-09 will have on its consolidated financial statements.</w:t>
      </w:r>
    </w:p>
    <w:p>
      <w:pPr>
        <w:spacing w:after="0" w:line="2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spacing w:after="0" w:line="13"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Noncontrolling Interests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Noncontrolling interests represent the portion of net assets in consolidated entities that are not owned by the Company.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ownership of Symbotic stock for the three months ended December 28,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Class V-1 and Class V-3</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Class V-1 and Class V-3</w:t>
            </w:r>
          </w:p>
        </w:tc>
        <w:tc>
          <w:tcPr>
            <w:tcW w:w="1280" w:type="dxa"/>
            <w:vAlign w:val="bottom"/>
          </w:tcPr>
          <w:p>
            <w:pPr>
              <w:spacing w:after="0"/>
              <w:rPr>
                <w:sz w:val="13"/>
                <w:szCs w:val="13"/>
                <w:color w:val="auto"/>
              </w:rPr>
            </w:pPr>
          </w:p>
        </w:tc>
      </w:tr>
      <w:tr>
        <w:trPr>
          <w:trHeight w:val="167"/>
        </w:trPr>
        <w:tc>
          <w:tcPr>
            <w:tcW w:w="22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80" w:type="dxa"/>
            <w:vAlign w:val="bottom"/>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22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28, 2024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104,689,377</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481,274,582</w:t>
            </w:r>
          </w:p>
        </w:tc>
        <w:tc>
          <w:tcPr>
            <w:tcW w:w="8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585,963,959</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1"/>
        </w:trPr>
        <w:tc>
          <w:tcPr>
            <w:tcW w:w="2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1,652,671</w:t>
            </w:r>
          </w:p>
        </w:tc>
        <w:tc>
          <w:tcPr>
            <w:tcW w:w="8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1,652,671</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2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179,867</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(179,867)</w:t>
            </w:r>
          </w:p>
        </w:tc>
        <w:tc>
          <w:tcPr>
            <w:tcW w:w="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1"/>
        </w:trPr>
        <w:tc>
          <w:tcPr>
            <w:tcW w:w="2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Cancellations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(196,901)</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(196,901)</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
        </w:trPr>
        <w:tc>
          <w:tcPr>
            <w:tcW w:w="22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3"/>
        </w:trPr>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28,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106,521,915</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480,897,814</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587,419,729</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81.9 %</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w:t>
      </w:r>
    </w:p>
    <w:p>
      <w:pPr>
        <w:spacing w:after="0" w:line="53"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spacing w:after="0" w:line="19"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4"/>
          <w:szCs w:val="14"/>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53"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about accounts receivable, unbilled accounts receivable, and contract liabilities from contracts with customers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26"/>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201,548</w:t>
            </w: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223,349</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218,233</w:t>
            </w:r>
          </w:p>
        </w:tc>
      </w:tr>
      <w:tr>
        <w:trPr>
          <w:trHeight w:val="32"/>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863,886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805,547</w:t>
            </w:r>
          </w:p>
        </w:tc>
      </w:tr>
      <w:tr>
        <w:trPr>
          <w:trHeight w:val="32"/>
        </w:trPr>
        <w:tc>
          <w:tcPr>
            <w:tcW w:w="7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The change in the opening and closing balances of the Company’s accounts receivable primarily results from the increase in customer System implementations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three months ended December 28, 2024, the Company recognized $101.1 million of the contract liability balance at September 28, 2024, as revenue upon transfer of the products or services to customers. During the three months ended December 30, 2023, the Company recognized $249.7 million of the contract liability balance at September 30, 2023, as revenue upon transfer of the products or services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6" w:name="page17"/>
    <w:bookmarkEnd w:id="1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53"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as well as operation services contracts. For contracts with a duration of greater than one year, the transaction price allocated to performance obligations that are unsatisfied as of December 28, 2024 was $22.4 billion, which is primarily comprised of undelivered or partially undelivered Systems under contract, and which a substantial majority relates to undelivered or partially undelivered Systems in connection with the Master Automation Agreement (“MAA”) with Walmart Inc. (“Walmart”) to implement Systems in all of Walmart’s 42 regional distribution centers, and in connection with the Commercial Agreement with GreenBox (as defined below) under which Symbotic will implement its System into GreenBox distribution center locations. As the Company accounts for GreenBox as an equity method investment, the remaining performance obligation includes the Company’s proportionate share of unconsolidated variable interest entity contracts. The Company expects to recognize approximately 11% of its remaining performance obligations as revenue in the next 12 months, approximately 57% of its remaining performance obligations as revenue within the next 13 to 60 months, and the remaining thereafter, which is dependent on the timing of System installation timelines. The Company does not disclose the value of remaining performance obligations for contracts with an original expected duration of one year or less.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53"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For the three months ended December 28, 2024 and December 30, 2023, there was one customer, including all affiliates, subsidiaries, and consolidated entities, that individually accounted for 10% or more of total revenue. The following table represents this customer’s aggregate percent of total revenue.</w:t>
      </w:r>
    </w:p>
    <w:p>
      <w:pPr>
        <w:spacing w:after="0" w:line="4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4443095</wp:posOffset>
            </wp:positionH>
            <wp:positionV relativeFrom="paragraph">
              <wp:posOffset>27940</wp:posOffset>
            </wp:positionV>
            <wp:extent cx="27216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21610" cy="698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16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7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1"/>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86.1 %</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82.0 %</w:t>
            </w:r>
          </w:p>
        </w:tc>
      </w:tr>
      <w:tr>
        <w:trPr>
          <w:trHeight w:val="32"/>
        </w:trPr>
        <w:tc>
          <w:tcPr>
            <w:tcW w:w="70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335"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At December 28, 2024 and September 28, 2024, there was one customer that accounted for over 10% of the Company’s accounts receivable balance. The following table represents this customer’s aggregate percent of total accounts receivable.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16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26"/>
        </w:trPr>
        <w:tc>
          <w:tcPr>
            <w:tcW w:w="7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81"/>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89.5 %</w:t>
            </w: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92.8 %</w:t>
            </w:r>
          </w:p>
        </w:tc>
      </w:tr>
      <w:tr>
        <w:trPr>
          <w:trHeight w:val="32"/>
        </w:trPr>
        <w:tc>
          <w:tcPr>
            <w:tcW w:w="70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91" w:lineRule="exact"/>
        <w:rPr>
          <w:sz w:val="20"/>
          <w:szCs w:val="20"/>
          <w:color w:val="auto"/>
        </w:rPr>
      </w:pPr>
    </w:p>
    <w:p>
      <w:pPr>
        <w:ind w:right="420" w:firstLine="255"/>
        <w:spacing w:after="0" w:line="270" w:lineRule="auto"/>
        <w:rPr>
          <w:sz w:val="20"/>
          <w:szCs w:val="20"/>
          <w:color w:val="auto"/>
        </w:rPr>
      </w:pPr>
      <w:r>
        <w:rPr>
          <w:rFonts w:ascii="Times New Roman" w:cs="Times New Roman" w:eastAsia="Times New Roman" w:hAnsi="Times New Roman"/>
          <w:sz w:val="14"/>
          <w:szCs w:val="14"/>
          <w:color w:val="auto"/>
        </w:rPr>
        <w:t>The concentration in the volume of business transacted with this customer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Leases</w:t>
      </w:r>
    </w:p>
    <w:p>
      <w:pPr>
        <w:spacing w:after="0" w:line="53"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Company leases office space in Wilmington, MA, Montreal, QC, Plant City, FL, and Milpitas, CA through operating lease arrangements. The Company has no finance lease agreements. The operating lease arrangements expire at various dates through December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balance sheet location of the Company’s operating leases for each of the periods presented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6"/>
        </w:trPr>
        <w:tc>
          <w:tcPr>
            <w:tcW w:w="7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ROU assets:</w:t>
            </w:r>
          </w:p>
        </w:tc>
        <w:tc>
          <w:tcPr>
            <w:tcW w:w="15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r>
      <w:tr>
        <w:trPr>
          <w:trHeight w:val="191"/>
        </w:trPr>
        <w:tc>
          <w:tcPr>
            <w:tcW w:w="7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assets</w:t>
            </w:r>
          </w:p>
        </w:tc>
        <w:tc>
          <w:tcPr>
            <w:tcW w:w="1560" w:type="dxa"/>
            <w:vAlign w:val="bottom"/>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21,925</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w:t>
            </w:r>
          </w:p>
        </w:tc>
      </w:tr>
      <w:tr>
        <w:trPr>
          <w:trHeight w:val="32"/>
        </w:trPr>
        <w:tc>
          <w:tcPr>
            <w:tcW w:w="7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2"/>
        </w:trPr>
        <w:tc>
          <w:tcPr>
            <w:tcW w:w="7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32"/>
        </w:trPr>
        <w:tc>
          <w:tcPr>
            <w:tcW w:w="7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3"/>
        </w:trPr>
        <w:tc>
          <w:tcPr>
            <w:tcW w:w="7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560" w:type="dxa"/>
            <w:vAlign w:val="bottom"/>
            <w:tcBorders>
              <w:bottom w:val="single" w:sz="8" w:color="CCEEFF"/>
            </w:tcBorders>
            <w:shd w:val="clear" w:color="auto" w:fill="CCEEFF"/>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r>
      <w:tr>
        <w:trPr>
          <w:trHeight w:val="191"/>
        </w:trPr>
        <w:tc>
          <w:tcPr>
            <w:tcW w:w="7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5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22,515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16,076</w:t>
            </w:r>
          </w:p>
        </w:tc>
      </w:tr>
      <w:tr>
        <w:trPr>
          <w:trHeight w:val="32"/>
        </w:trPr>
        <w:tc>
          <w:tcPr>
            <w:tcW w:w="7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3"/>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1560" w:type="dxa"/>
            <w:vAlign w:val="bottom"/>
            <w:tcBorders>
              <w:bottom w:val="single" w:sz="8" w:color="auto"/>
            </w:tcBorders>
            <w:shd w:val="clear" w:color="auto" w:fill="CCEEFF"/>
          </w:tcPr>
          <w:p>
            <w:pPr>
              <w:jc w:val="right"/>
              <w:ind w:right="13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24,759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maturities of the Company’s operating lease liabilities as of December 28, 2024, presented under ASC Topic 842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December 28, 2024</w:t>
            </w:r>
          </w:p>
        </w:tc>
      </w:tr>
      <w:tr>
        <w:trPr>
          <w:trHeight w:val="26"/>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Remaining fiscal year 2025</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2026</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2027</w:t>
            </w:r>
          </w:p>
        </w:tc>
        <w:tc>
          <w:tcPr>
            <w:tcW w:w="3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2028</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5,299</w:t>
            </w:r>
          </w:p>
        </w:tc>
      </w:tr>
      <w:tr>
        <w:trPr>
          <w:trHeight w:val="32"/>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2029</w:t>
            </w:r>
          </w:p>
        </w:tc>
        <w:tc>
          <w:tcPr>
            <w:tcW w:w="3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5,473</w:t>
            </w:r>
          </w:p>
        </w:tc>
      </w:tr>
      <w:tr>
        <w:trPr>
          <w:trHeight w:val="191"/>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7,099</w:t>
            </w:r>
          </w:p>
        </w:tc>
      </w:tr>
      <w:tr>
        <w:trPr>
          <w:trHeight w:val="32"/>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3"/>
        </w:trPr>
        <w:tc>
          <w:tcPr>
            <w:tcW w:w="9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future minimum payments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31,143</w:t>
            </w:r>
          </w:p>
        </w:tc>
      </w:tr>
      <w:tr>
        <w:trPr>
          <w:trHeight w:val="191"/>
        </w:trPr>
        <w:tc>
          <w:tcPr>
            <w:tcW w:w="9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Implied interest</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(6,384)</w:t>
            </w:r>
          </w:p>
        </w:tc>
      </w:tr>
      <w:tr>
        <w:trPr>
          <w:trHeight w:val="32"/>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December 28, 2024 was 7.6%.</w:t>
      </w:r>
    </w:p>
    <w:p>
      <w:pPr>
        <w:spacing w:after="0" w:line="8"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As of December 28, 2024, the weighted-average remaining lease term of the Company’s operating leases was approximately 5.7 years. Operating cash flows for amounts included in the measurement of the Company’s operating lease liabilities were $0.4 for the three months ended December 28,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Inventories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Inventories at December 28, 2024 and September 28, 2024 consist of the following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26"/>
        </w:trPr>
        <w:tc>
          <w:tcPr>
            <w:tcW w:w="7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 and components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82,022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72,279</w:t>
            </w:r>
          </w:p>
        </w:tc>
      </w:tr>
      <w:tr>
        <w:trPr>
          <w:trHeight w:val="19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w:t>
            </w:r>
          </w:p>
        </w:tc>
      </w:tr>
      <w:tr>
        <w:trPr>
          <w:trHeight w:val="32"/>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29,319</w:t>
            </w:r>
          </w:p>
        </w:tc>
      </w:tr>
      <w:tr>
        <w:trPr>
          <w:trHeight w:val="181"/>
        </w:trPr>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108,691</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106,136</w:t>
            </w:r>
          </w:p>
        </w:tc>
      </w:tr>
      <w:tr>
        <w:trPr>
          <w:trHeight w:val="32"/>
        </w:trPr>
        <w:tc>
          <w:tcPr>
            <w:tcW w:w="7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8" w:name="page19"/>
    <w:bookmarkEnd w:id="1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Property and Equipment</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at December 28, 2024 and September 28, 2024 consists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September 28, 2024</w:t>
            </w:r>
          </w:p>
        </w:tc>
      </w:tr>
      <w:tr>
        <w:trPr>
          <w:trHeight w:val="26"/>
        </w:trPr>
        <w:tc>
          <w:tcPr>
            <w:tcW w:w="7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 furniture and fixtures, and test and other equipment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114,515</w:t>
            </w:r>
          </w:p>
        </w:tc>
      </w:tr>
      <w:tr>
        <w:trPr>
          <w:trHeight w:val="191"/>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Internal use software</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w:t>
            </w:r>
          </w:p>
        </w:tc>
      </w:tr>
      <w:tr>
        <w:trPr>
          <w:trHeight w:val="32"/>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w:t>
            </w:r>
          </w:p>
        </w:tc>
      </w:tr>
      <w:tr>
        <w:trPr>
          <w:trHeight w:val="18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3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144,954</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131,232</w:t>
            </w:r>
          </w:p>
        </w:tc>
      </w:tr>
      <w:tr>
        <w:trPr>
          <w:trHeight w:val="32"/>
        </w:trPr>
        <w:tc>
          <w:tcPr>
            <w:tcW w:w="7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(34,123)</w:t>
            </w:r>
          </w:p>
        </w:tc>
      </w:tr>
      <w:tr>
        <w:trPr>
          <w:trHeight w:val="181"/>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105,079</w:t>
            </w:r>
          </w:p>
        </w:tc>
        <w:tc>
          <w:tcPr>
            <w:tcW w:w="80" w:type="dxa"/>
            <w:vAlign w:val="bottom"/>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97,109</w:t>
            </w:r>
          </w:p>
        </w:tc>
      </w:tr>
      <w:tr>
        <w:trPr>
          <w:trHeight w:val="32"/>
        </w:trPr>
        <w:tc>
          <w:tcPr>
            <w:tcW w:w="7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three months ended December 28, 2024 and December 30, 2023, depreciation expense was $6.2 million and $2.3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Intangible Assets</w:t>
      </w:r>
    </w:p>
    <w:p>
      <w:pPr>
        <w:spacing w:after="0" w:line="53" w:lineRule="exact"/>
        <w:rPr>
          <w:sz w:val="20"/>
          <w:szCs w:val="20"/>
          <w:color w:val="auto"/>
        </w:rPr>
      </w:pPr>
    </w:p>
    <w:p>
      <w:pPr>
        <w:jc w:val="both"/>
        <w:ind w:firstLine="255"/>
        <w:spacing w:after="0" w:line="284" w:lineRule="auto"/>
        <w:rPr>
          <w:sz w:val="20"/>
          <w:szCs w:val="20"/>
          <w:color w:val="auto"/>
        </w:rPr>
      </w:pPr>
      <w:r>
        <w:rPr>
          <w:rFonts w:ascii="Times New Roman" w:cs="Times New Roman" w:eastAsia="Times New Roman" w:hAnsi="Times New Roman"/>
          <w:sz w:val="14"/>
          <w:szCs w:val="14"/>
          <w:color w:val="auto"/>
        </w:rPr>
        <w:t>In connection with asset acquisitions in July and December 2024, the Company acquired developed technology intangible assets of $15.9 million. The developed technology intangible assets will be amortized over a useful life of 3 years on a straight-line basis. The estimated weighted average useful life of the developed technology intangible asset is 3 years.</w:t>
      </w:r>
    </w:p>
    <w:p>
      <w:pPr>
        <w:spacing w:after="0" w:line="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developed technology intangible assets that are subject to amortization as of December 28, 2024 (in thousands). There were no acquired intangible assets that are subject to amortization as of December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Developed Technology</w:t>
            </w:r>
          </w:p>
        </w:tc>
      </w:tr>
      <w:tr>
        <w:trPr>
          <w:trHeight w:val="26"/>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28, 2024, gross</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w:t>
            </w: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32"/>
        </w:trPr>
        <w:tc>
          <w:tcPr>
            <w:tcW w:w="9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28, 2024, net</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Amortization expense was $0.7 million for the three months ended December 28, 2024.</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estimated future annual pre-tax amortization expense of definite-lived intangible assets as of the date indicated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2025</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2026</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w:t>
            </w:r>
          </w:p>
        </w:tc>
      </w:tr>
      <w:tr>
        <w:trPr>
          <w:trHeight w:val="32"/>
        </w:trPr>
        <w:tc>
          <w:tcPr>
            <w:tcW w:w="9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year 2027</w:t>
            </w:r>
          </w:p>
        </w:tc>
        <w:tc>
          <w:tcPr>
            <w:tcW w:w="4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r>
      <w:tr>
        <w:trPr>
          <w:trHeight w:val="19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year 2028</w:t>
            </w:r>
          </w:p>
        </w:tc>
        <w:tc>
          <w:tcPr>
            <w:tcW w:w="4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32"/>
        </w:trPr>
        <w:tc>
          <w:tcPr>
            <w:tcW w:w="92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14,949</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5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is subject to U.S. federal income taxes, in addition to state and local income taxes, with respect to its allocable share of any taxable income or loss of Symbotic Holdings, LLC. The remaining share of Symbotic Holdings income or loss is non-taxable to the Company and is not reflected in current or deferred income taxes. The Company’s foreign subsidiaries are subject to income tax in their local jurisdictions.</w:t>
      </w:r>
    </w:p>
    <w:p>
      <w:pPr>
        <w:spacing w:after="0" w:line="8"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For the three months ended December 28, 2024, the Company recorded a current income tax expense of $0.2 million, and for the three months ended December 30, 2023, the Company recorded a current income tax expense of $0.2 million. The Company incurred a pre-tax loss for the three month period and recorded a full valuation allowance against its domestic deferred tax assets and a partial valuation allowance against its foreign deferred tax assets. The Company incurs state tax expense by Symbotic at the flow-through entity level and foreign tax expense at its foreign subsidiaries. The effective tax rate for the three months ended December 28, 2024 is (0.8)% and differs from the federal statutory income tax rate primarily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flow-through entity level taxes and the effect of the valuation allowance against its net federal, state, and foreign deferred income taxes.</w:t>
      </w:r>
    </w:p>
    <w:p>
      <w:pPr>
        <w:spacing w:after="0" w:line="51"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As of December 28, 2024,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5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As of December 28, 2024 future payments under the Tax Receivable Agreement (“TRA”) with respect to the purchase of Symbotic Holdings units which occurred as part of or subsequent to the Business Combination are expected to be $409.1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consolidated statement of operations in the period in which the change occurs. As of December 28, 2024, no TRA liability was recorded based on current projections of future taxable income taking into consideration the Company’s full valuation allowance against its net deferred tax asset.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Fair Value Measures</w:t>
      </w:r>
    </w:p>
    <w:p>
      <w:pPr>
        <w:spacing w:after="0" w:line="53"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 inputs to the valuation methodology are quoted prices (unadjusted) for an identical asset or liability in an active market</w:t>
      </w:r>
    </w:p>
    <w:p>
      <w:pPr>
        <w:spacing w:after="0" w:line="51"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 inputs to the valuation methodology are unobservable and significant to the fair value measurement of the asset or liability</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Company’s financial assets measured and recorded at fair value on a recurring basis using the above input categories as of December 28, 2024 and September 28,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6"/>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67"/>
        </w:trPr>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19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787,697</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787,697</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712,958</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712,958</w:t>
            </w:r>
          </w:p>
        </w:tc>
      </w:tr>
      <w:tr>
        <w:trPr>
          <w:trHeight w:val="32"/>
        </w:trPr>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fair value</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12,308</w:t>
            </w:r>
          </w:p>
        </w:tc>
      </w:tr>
      <w:tr>
        <w:trPr>
          <w:trHeight w:val="181"/>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787,697</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800,005</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712,958</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725,266</w:t>
            </w:r>
          </w:p>
        </w:tc>
      </w:tr>
      <w:tr>
        <w:trPr>
          <w:trHeight w:val="32"/>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had no liabilities measured and recorded at fair value on a recurring basis as of December 28, 2024 and September 28, 2024.</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28, 2024, the fair value of the warrant issued as described in Note 11,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is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Derivative Instruments</w:t>
      </w:r>
    </w:p>
    <w:p>
      <w:pPr>
        <w:spacing w:after="0" w:line="5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spacing w:after="0" w:line="11"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warrants are accounted for as a derivative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as a result of certain net settlement provisions in the warrant agreements. The Company reports the warrants at their fair values within “other assets” 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December 28, 2024 is $12.3 million. There is no impact recorded to “other income, net” on the Company’s condensed consolidated statements of operations for the period ended December 28, 2024, as there has been no change to the fair value of the warrants since the Company entered into these warrant agreements in the third quarter of fiscal year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51"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color w:val="auto"/>
        </w:rPr>
        <w:t xml:space="preserve">ASC 850, </w:t>
      </w:r>
      <w:r>
        <w:rPr>
          <w:rFonts w:ascii="Times New Roman" w:cs="Times New Roman" w:eastAsia="Times New Roman" w:hAnsi="Times New Roman"/>
          <w:sz w:val="14"/>
          <w:szCs w:val="14"/>
          <w:i w:val="1"/>
          <w:iCs w:val="1"/>
          <w:color w:val="auto"/>
        </w:rPr>
        <w:t>Related Party Disclosures</w:t>
      </w:r>
      <w:r>
        <w:rPr>
          <w:rFonts w:ascii="Times New Roman" w:cs="Times New Roman" w:eastAsia="Times New Roman" w:hAnsi="Times New Roman"/>
          <w:sz w:val="14"/>
          <w:szCs w:val="14"/>
          <w:color w:val="auto"/>
        </w:rPr>
        <w:t xml:space="preserve"> (“ASC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ending December 28, 2024, the Company determined that C&amp;S Wholesale Grocers, Inc. (“C&amp;S”), GreenBox, and certain current holders of Symbotic Holdings were each a related party under ASC 850. The following transactions were related party transactions under ASC 850.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Aircraft Time Sharing Agreement</w:t>
      </w:r>
    </w:p>
    <w:p>
      <w:pPr>
        <w:spacing w:after="0" w:line="5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months ended December 28, 2024 and December 30, 2023, the Company incurred expense of $0.4 million and $0.2 million, respectively, related to these aircraft time-sharing agreements.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Usage of Facility and Employee Services</w:t>
      </w:r>
    </w:p>
    <w:p>
      <w:pPr>
        <w:spacing w:after="0" w:line="53"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months ended December 28, 2024 and December 30, 2023, the Company incurred expense of $0.4 million and $0.7 million, respectively, related to this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21" w:name="page22"/>
    <w:bookmarkEnd w:id="2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Contracts</w:t>
      </w:r>
    </w:p>
    <w:p>
      <w:pPr>
        <w:spacing w:after="0" w:line="5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Company has customer contracts with C&amp;S relating to systems implementation, software maintenance services and the operations of Systems. Revenue of $2.2 million and $12.8 million was recognized for the three months ended December 28, 2024 and December 30, 2023, respectively, relating to these customer contracts. There was $5.2 million unbilled accounts receivable and accounts receivable due from C&amp;S at December 28, 2024, and $18.4 million unbilled accounts receivable and accounts receivable due from C&amp;S at September 28, 2024. There was $2.5 million and $1.8 million of deferred revenue related to contracts with C&amp;S at December 28, 2024 and September 28, 2024, respectively. The transaction price allocated to performance obligations that are unsatisfied as of December 28, 2024 was $4.6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GreenBox</w:t>
      </w:r>
    </w:p>
    <w:p>
      <w:pPr>
        <w:spacing w:after="0" w:line="53"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Company has a customer contract relating to systems implementation and shared services with GreenBox. Revenue of $2.7 million was recognized for the three months ended December 28, 2024 related to this customer contract. There was no unbilled accounts receivable and accounts receivable due from the customer contract and $2.0 million accounts receivable due from the shared service agreement at December 28, 2024. There was $77.1 million and $69.1 million of deferred revenue related to contracts with GreenBox at December 28, 2024 and September 28, 2024, respectively. The transaction price allocated to performance obligations that are unsatisfied as of December 28, 2024 was $11.5 billion. There was no revenue, accounts receivable, or deferred revenue for GreenBox at and for the three months ended December 30, 2023. Funding of $6.8 million was made by the Company to GreenBox in relation to the VIE (as further described in Note 14,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 for the three months ended December 28, 2024. No funding was made for the three months ended December 30, 2023.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Distribution to Symbotic Holdings LLC partners</w:t>
      </w:r>
    </w:p>
    <w:p>
      <w:pPr>
        <w:spacing w:after="0" w:line="53" w:lineRule="exact"/>
        <w:rPr>
          <w:sz w:val="20"/>
          <w:szCs w:val="20"/>
          <w:color w:val="auto"/>
        </w:rPr>
      </w:pPr>
    </w:p>
    <w:p>
      <w:pPr>
        <w:ind w:right="300" w:firstLine="255"/>
        <w:spacing w:after="0" w:line="264" w:lineRule="auto"/>
        <w:rPr>
          <w:sz w:val="20"/>
          <w:szCs w:val="20"/>
          <w:color w:val="auto"/>
        </w:rPr>
      </w:pPr>
      <w:r>
        <w:rPr>
          <w:rFonts w:ascii="Times New Roman" w:cs="Times New Roman" w:eastAsia="Times New Roman" w:hAnsi="Times New Roman"/>
          <w:sz w:val="14"/>
          <w:szCs w:val="14"/>
          <w:color w:val="auto"/>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For the three months ended December 28, 2024, the Company distributed a total of $0.9 million of tax distributions to or on behalf of its members, of which $0.8 million was distributed to or on behalf of those who met the definition of a related party in accordance with ASC 850.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Obligations</w:t>
      </w:r>
    </w:p>
    <w:p>
      <w:pPr>
        <w:spacing w:after="0" w:line="53"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 Company has contractual obligations to purchase goods or services, which specify significant terms, including fixed or minimum quantities to be purchased and fixed minimum, or variable price provisions. The majority of the purchase commitments covered by these arrangements are for periods of less than one year and aggregate to approximately $1.3 billion as of December 28,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Commitments</w:t>
      </w:r>
    </w:p>
    <w:p>
      <w:pPr>
        <w:spacing w:after="0" w:line="51" w:lineRule="exact"/>
        <w:rPr>
          <w:sz w:val="20"/>
          <w:szCs w:val="20"/>
          <w:color w:val="auto"/>
        </w:rPr>
      </w:pPr>
    </w:p>
    <w:p>
      <w:pPr>
        <w:ind w:right="1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The Company leases certain of its facilities under operating leases expiring in various years through 2030. Refer to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 schedule of future lease payments under non-cancellable leases as of December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2" w:name="page23"/>
    <w:bookmarkEnd w:id="2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Warranty</w:t>
      </w:r>
    </w:p>
    <w:p>
      <w:pPr>
        <w:spacing w:after="0" w:line="53" w:lineRule="exact"/>
        <w:rPr>
          <w:sz w:val="20"/>
          <w:szCs w:val="20"/>
          <w:color w:val="auto"/>
        </w:rPr>
      </w:pPr>
    </w:p>
    <w:p>
      <w:pPr>
        <w:ind w:right="300" w:firstLine="255"/>
        <w:spacing w:after="0" w:line="284" w:lineRule="auto"/>
        <w:rPr>
          <w:sz w:val="20"/>
          <w:szCs w:val="20"/>
          <w:color w:val="auto"/>
        </w:rPr>
      </w:pPr>
      <w:r>
        <w:rPr>
          <w:rFonts w:ascii="Times New Roman" w:cs="Times New Roman" w:eastAsia="Times New Roman" w:hAnsi="Times New Roman"/>
          <w:sz w:val="14"/>
          <w:szCs w:val="14"/>
          <w:color w:val="auto"/>
        </w:rPr>
        <w:t>The Company provides a limited warranty on its System and has established a reserve for warranty obligations based on estimated warranty costs. The reserve is included as part of “accrued expenses and other current liabilities” and “other liabilities” in the accompanying consolidated balance sheets.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Activity related to the warranty accrual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85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31,935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18,948</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6,195</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usage</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w:t>
            </w:r>
          </w:p>
        </w:tc>
      </w:tr>
      <w:tr>
        <w:trPr>
          <w:trHeight w:val="18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22,323</w:t>
            </w:r>
          </w:p>
        </w:tc>
      </w:tr>
      <w:tr>
        <w:trPr>
          <w:trHeight w:val="32"/>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53"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w:t>
      </w:r>
    </w:p>
    <w:p>
      <w:pPr>
        <w:spacing w:after="0" w:line="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Matters</w:t>
      </w:r>
    </w:p>
    <w:p>
      <w:pPr>
        <w:spacing w:after="0" w:line="53" w:lineRule="exact"/>
        <w:rPr>
          <w:sz w:val="20"/>
          <w:szCs w:val="20"/>
          <w:color w:val="auto"/>
        </w:rPr>
      </w:pPr>
    </w:p>
    <w:p>
      <w:pPr>
        <w:jc w:val="both"/>
        <w:ind w:right="360" w:firstLine="255"/>
        <w:spacing w:after="0" w:line="270" w:lineRule="auto"/>
        <w:rPr>
          <w:sz w:val="20"/>
          <w:szCs w:val="20"/>
          <w:color w:val="auto"/>
        </w:rPr>
      </w:pPr>
      <w:r>
        <w:rPr>
          <w:rFonts w:ascii="Times New Roman" w:cs="Times New Roman" w:eastAsia="Times New Roman" w:hAnsi="Times New Roman"/>
          <w:sz w:val="14"/>
          <w:szCs w:val="14"/>
          <w:color w:val="auto"/>
        </w:rPr>
        <w:t>The Company has been responding to requests for information from the SEC relating to an investigation by the SEC of alleged violations by the Company of Rule 21F-17, which prohibits actions to impede communications directly with the SEC staff about a possible securities law violation. The Company intends to continue to defend this matter vigorously and cannot predict the outcome of this investigation.</w:t>
      </w:r>
    </w:p>
    <w:p>
      <w:pPr>
        <w:spacing w:after="0" w:line="8"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Company has received a subpoena from the SEC relating to its November 2024 restatement of revenues for the year ended September 28, 2024 and certain other matters. The Company is cooperating with the SEC with respect to this matter.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5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On August 14, 2024, a putative class action captioned Fox v. Symbotic Inc. et al., Case No. 24-cv-12090 was filed in the United States District Court for the District of Massachusetts by an alleged holder of the Company’s common stock. The complaint asserts claims for violations of federal securities laws against the Company and two of its officers on the grounds that, among other things, the Company made false and/or misleading statements related to its expected earnings for the third quarter of fiscal year 2024. Based on these allegations, the plaintiff brings claims seeking unspecified damages, attorneys’ fees, expert fees, and other costs and relief on behalf of herself and a putative class of persons who purchased the Company’s stock between May 6, 2024 and July 29, 2024. On September 11, 2024, the court entered a stipulation staying the Company’s deadline to respond to the complaint until after a lead plaintiff has been appointed pursuant to the Private Securities Litigation Reform Act. As of February 3, 2025, a lead plaintiff has not been appointed. On December 20, 2024, the plaintiff filed a motion to consolidate this matter with another putative class action captioned Decker v. Symbotic Inc. et al. (further described below). As of February 3, 2025, the court has not yet ruled on the pending motion to consolidate.</w:t>
      </w:r>
    </w:p>
    <w:p>
      <w:pPr>
        <w:spacing w:after="0" w:line="19"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On December 3, 2024, a putative class action captioned Decker v. Symbotic Inc. et al., Case No. 24-cv-12976 was filed in the United States District Court for the District of Massachusetts by an alleged purchaser of the Company’s common stock. The complaint asserts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brings claims seeking unspecified damages, attorneys’ fees, expert fees, and other costs and relief on behalf of himself and a putative class of persons who purchased the Company’s stock between February 8, 2024 and November 26, 2024. The parties have filed a stipulation staying the Company’s deadline to respond to the complaint until after a pending motion to consolidate is resolved and a lead plaintiff has been appointed pursuant to the Private Securities Litigation Reform Act.</w:t>
      </w:r>
    </w:p>
    <w:p>
      <w:pPr>
        <w:spacing w:after="0" w:line="19"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The Company intends to vigorously defend these cases. If a court ultimately determines that the Company is liable in either or both of these cases, the Company may be subject to substantial damages. The Company cannot predict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degree of certainty the outcome of these matters or determine the extent of any potential liabilities. The Company also cannot provide an estimate of the possible loss or range of loss. Any adverse outcome in these matters could expose the Company to substantial damages that may have a material adverse impact on its operations and cash flows. Despite the potential for significant damages, the Company does not believe, based on currently available information, that the outcome of these proceedings will have a material adverse effect on its financial condition, although the outcome could be material to its operating results for any particular period, depending, in part, upon the operating results for such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5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Fox v. Symbotic securities class action lawsuit remain pending.</w:t>
      </w:r>
    </w:p>
    <w:p>
      <w:pPr>
        <w:spacing w:after="0" w:line="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53"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December 28, 2024, the Company had made appropriate provisions related to such matters and does not believe that such matters will have a material adverse effect on the Company’s consolidated operations, financial position, or liquidity.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Indemnifications</w:t>
      </w:r>
    </w:p>
    <w:p>
      <w:pPr>
        <w:spacing w:after="0" w:line="5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not material. Accordingly, the Company has no liabilities recorded for these obligations as of December 28, 2024 and September 28,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Variable Interest Entities (“VIE”)</w:t>
      </w:r>
    </w:p>
    <w:p>
      <w:pPr>
        <w:spacing w:after="0" w:line="53" w:lineRule="exact"/>
        <w:rPr>
          <w:sz w:val="20"/>
          <w:szCs w:val="20"/>
          <w:color w:val="auto"/>
        </w:rPr>
      </w:pPr>
    </w:p>
    <w:p>
      <w:pPr>
        <w:ind w:right="360" w:firstLine="255"/>
        <w:spacing w:after="0" w:line="284" w:lineRule="auto"/>
        <w:rPr>
          <w:sz w:val="20"/>
          <w:szCs w:val="20"/>
          <w:color w:val="auto"/>
        </w:rPr>
      </w:pPr>
      <w:r>
        <w:rPr>
          <w:rFonts w:ascii="Times New Roman" w:cs="Times New Roman" w:eastAsia="Times New Roman" w:hAnsi="Times New Roman"/>
          <w:sz w:val="14"/>
          <w:szCs w:val="14"/>
          <w:color w:val="auto"/>
        </w:rPr>
        <w:t>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w:t>
      </w:r>
    </w:p>
    <w:p>
      <w:pPr>
        <w:spacing w:after="0" w:line="1"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w:t>
      </w:r>
    </w:p>
    <w:p>
      <w:pPr>
        <w:spacing w:after="0" w:line="8"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Sunlight, “SoftBank”), and GreenBox Systems LLC, a Delaware limited liability company (“GreenBox”), related to, among other things, the formation of GreenBox as a venture between the Symbotic Group and SoftBank and a warrant to purchase Class A Common Stock of Symbotic (the “GreenBox Warrant”). On July 23, 2023, GreenBox also entered into a Master Services, License and Equipment Agreement with Symbotic LLC with respect to the purchase of Systems (“GreenBox Commercial Agreement”).</w:t>
      </w:r>
    </w:p>
    <w:p>
      <w:pPr>
        <w:spacing w:after="0" w:line="8"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 xml:space="preserve">GreenBox was established on July 21, 2023, to build and automate supply chain networks globally by operating and financing the Company’s advanced artificial intelligence and automation technology for the warehouse. Symbotic Holdings and Sunlight own 35% and 65% of GreenBox, respectively. The Company evaluated for VIEs upon the formation of GreenBox in accordance with ASC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recorded investments in the unconsolidated VIE and related estimated maximum exposure to loss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60" w:type="dxa"/>
            <w:vAlign w:val="bottom"/>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340" w:type="dxa"/>
            <w:vAlign w:val="bottom"/>
          </w:tcPr>
          <w:p>
            <w:pPr>
              <w:spacing w:after="0"/>
              <w:rPr>
                <w:sz w:val="14"/>
                <w:szCs w:val="14"/>
                <w:color w:val="auto"/>
              </w:rPr>
            </w:pPr>
          </w:p>
        </w:tc>
      </w:tr>
      <w:tr>
        <w:trPr>
          <w:trHeight w:val="26"/>
        </w:trPr>
        <w:tc>
          <w:tcPr>
            <w:tcW w:w="7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r>
      <w:tr>
        <w:trPr>
          <w:trHeight w:val="158"/>
        </w:trPr>
        <w:tc>
          <w:tcPr>
            <w:tcW w:w="7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Symbotic's Maximum Exposure to</w:t>
            </w:r>
          </w:p>
        </w:tc>
      </w:tr>
      <w:tr>
        <w:trPr>
          <w:trHeight w:val="167"/>
        </w:trPr>
        <w:tc>
          <w:tcPr>
            <w:tcW w:w="716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Unconsolidated VIE</w:t>
            </w:r>
          </w:p>
        </w:tc>
        <w:tc>
          <w:tcPr>
            <w:tcW w:w="680" w:type="dxa"/>
            <w:vAlign w:val="bottom"/>
          </w:tcPr>
          <w:p>
            <w:pPr>
              <w:spacing w:after="0"/>
              <w:rPr>
                <w:sz w:val="14"/>
                <w:szCs w:val="14"/>
                <w:color w:val="auto"/>
              </w:rPr>
            </w:pPr>
          </w:p>
        </w:tc>
        <w:tc>
          <w:tcPr>
            <w:tcW w:w="1340" w:type="dxa"/>
            <w:vAlign w:val="bottom"/>
          </w:tcPr>
          <w:p>
            <w:pPr>
              <w:jc w:val="center"/>
              <w:ind w:right="593"/>
              <w:spacing w:after="0"/>
              <w:rPr>
                <w:sz w:val="20"/>
                <w:szCs w:val="20"/>
                <w:color w:val="auto"/>
              </w:rPr>
            </w:pPr>
            <w:r>
              <w:rPr>
                <w:rFonts w:ascii="Times New Roman" w:cs="Times New Roman" w:eastAsia="Times New Roman" w:hAnsi="Times New Roman"/>
                <w:sz w:val="13"/>
                <w:szCs w:val="13"/>
                <w:b w:val="1"/>
                <w:bCs w:val="1"/>
                <w:color w:val="auto"/>
                <w:w w:val="94"/>
              </w:rPr>
              <w:t>Loss</w:t>
            </w:r>
          </w:p>
        </w:tc>
      </w:tr>
      <w:tr>
        <w:trPr>
          <w:trHeight w:val="26"/>
        </w:trPr>
        <w:tc>
          <w:tcPr>
            <w:tcW w:w="7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GreenBox Systems LLC</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85,946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1,635,200</w:t>
            </w:r>
          </w:p>
        </w:tc>
      </w:tr>
      <w:tr>
        <w:trPr>
          <w:trHeight w:val="32"/>
        </w:trPr>
        <w:tc>
          <w:tcPr>
            <w:tcW w:w="7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0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Company calculated its maximum exposure to loss while considering its equity investment in the VIE, any amounts owed to the Company for services which may have been provided, and future funding commitments of $1,633.2 million. As of December 28, 2024, there is a $85.9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GreenBox Commercial Agreement to reimburse the Company in the event of a termination. If the VIE’s commitment under the GreenBox Commercial Agreement was taken into consideration, there would be no maximum exposure to loss presented as the VIE’s commitment under the GreenBox Commercial Agreement exceeds the Company’s future funding commitments.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Net Loss per Share</w:t>
      </w:r>
    </w:p>
    <w:p>
      <w:pPr>
        <w:spacing w:after="0" w:line="5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reconciliations of the numerators and denominators used to compute basic and diluted earnings per share of Class A common stock (in thousands, except per share information):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4"/>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67"/>
        </w:trPr>
        <w:tc>
          <w:tcPr>
            <w:tcW w:w="8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20" w:type="dxa"/>
            <w:vAlign w:val="bottom"/>
          </w:tcPr>
          <w:p>
            <w:pPr>
              <w:spacing w:after="0"/>
              <w:rPr>
                <w:sz w:val="14"/>
                <w:szCs w:val="14"/>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r>
      <w:tr>
        <w:trPr>
          <w:trHeight w:val="26"/>
        </w:trPr>
        <w:tc>
          <w:tcPr>
            <w:tcW w:w="8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 - basic and diluted</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1"/>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32"/>
        </w:trPr>
        <w:tc>
          <w:tcPr>
            <w:tcW w:w="8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3"/>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Net loss attributable to the noncontrolling interest</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(16,236)</w:t>
            </w:r>
          </w:p>
        </w:tc>
      </w:tr>
      <w:tr>
        <w:trPr>
          <w:trHeight w:val="181"/>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w:t>
            </w:r>
          </w:p>
        </w:tc>
      </w:tr>
      <w:tr>
        <w:trPr>
          <w:trHeight w:val="32"/>
        </w:trPr>
        <w:tc>
          <w:tcPr>
            <w:tcW w:w="8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191"/>
        </w:trPr>
        <w:tc>
          <w:tcPr>
            <w:tcW w:w="8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Weighted-average shares of Class A common shares outstanding</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106,098,566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83,320,943</w:t>
            </w:r>
          </w:p>
        </w:tc>
      </w:tr>
      <w:tr>
        <w:trPr>
          <w:trHeight w:val="32"/>
        </w:trPr>
        <w:tc>
          <w:tcPr>
            <w:tcW w:w="8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per share of Class A common stock -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0"/>
        </w:trPr>
        <w:tc>
          <w:tcPr>
            <w:tcW w:w="8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02" w:lineRule="exact"/>
        <w:rPr>
          <w:sz w:val="20"/>
          <w:szCs w:val="20"/>
          <w:color w:val="auto"/>
        </w:rPr>
      </w:pPr>
    </w:p>
    <w:p>
      <w:pPr>
        <w:ind w:right="420" w:firstLine="255"/>
        <w:spacing w:after="0" w:line="284" w:lineRule="auto"/>
        <w:rPr>
          <w:sz w:val="20"/>
          <w:szCs w:val="20"/>
          <w:color w:val="auto"/>
        </w:rPr>
      </w:pPr>
      <w:r>
        <w:rPr>
          <w:rFonts w:ascii="Times New Roman" w:cs="Times New Roman" w:eastAsia="Times New Roman" w:hAnsi="Times New Roman"/>
          <w:sz w:val="14"/>
          <w:szCs w:val="14"/>
          <w:color w:val="auto"/>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spacing w:after="0" w:line="1"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Company uses the treasury stock method and the average market price per share during the period for calculating any potential dilutive effect of its equity instruments. The average stock price for the three months ended December 28, 2024 was $28.49. For the three months ended December 28, 2024, there were 4.0 million potentially dilutive common stock equivalents related to the RSUs which would have been included in the diluted EPS calculation, and 5.4 million anti-dilutive common stock equivalents related to the unvested GreenBox Warrant that could potentially dilute EPS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Stock-Based Compensation and Warrants</w:t>
      </w:r>
    </w:p>
    <w:p>
      <w:pPr>
        <w:spacing w:after="0" w:line="53"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The following two tables show stock-based compensation expense by award type and where the stock-based compensation expense is recorded in the Company’s consolidated statements of operations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4"/>
          </w:tcPr>
          <w:p>
            <w:pPr>
              <w:jc w:val="right"/>
              <w:ind w:right="107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0" w:type="dxa"/>
            <w:vAlign w:val="bottom"/>
          </w:tcPr>
          <w:p>
            <w:pPr>
              <w:spacing w:after="0"/>
              <w:rPr>
                <w:sz w:val="1"/>
                <w:szCs w:val="1"/>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(service-based and performance-based)</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32"/>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Effect of stock-based compensation expense on income by line item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4"/>
          </w:tcPr>
          <w:p>
            <w:pPr>
              <w:jc w:val="right"/>
              <w:ind w:right="107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26"/>
        </w:trPr>
        <w:tc>
          <w:tcPr>
            <w:tcW w:w="7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46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0" w:type="dxa"/>
            <w:vAlign w:val="bottom"/>
          </w:tcPr>
          <w:p>
            <w:pPr>
              <w:spacing w:after="0"/>
              <w:rPr>
                <w:sz w:val="1"/>
                <w:szCs w:val="1"/>
                <w:color w:val="auto"/>
              </w:rPr>
            </w:pPr>
          </w:p>
        </w:tc>
      </w:tr>
      <w:tr>
        <w:trPr>
          <w:trHeight w:val="26"/>
        </w:trPr>
        <w:tc>
          <w:tcPr>
            <w:tcW w:w="7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Systems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Software maintenance and support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32"/>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Operation services</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91"/>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12,297</w:t>
            </w:r>
          </w:p>
        </w:tc>
        <w:tc>
          <w:tcPr>
            <w:tcW w:w="0" w:type="dxa"/>
            <w:vAlign w:val="bottom"/>
          </w:tcPr>
          <w:p>
            <w:pPr>
              <w:spacing w:after="0"/>
              <w:rPr>
                <w:sz w:val="1"/>
                <w:szCs w:val="1"/>
                <w:color w:val="auto"/>
              </w:rPr>
            </w:pPr>
          </w:p>
        </w:tc>
      </w:tr>
      <w:tr>
        <w:trPr>
          <w:trHeight w:val="32"/>
        </w:trPr>
        <w:tc>
          <w:tcPr>
            <w:tcW w:w="7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0" w:type="dxa"/>
            <w:vAlign w:val="bottom"/>
          </w:tcPr>
          <w:p>
            <w:pPr>
              <w:spacing w:after="0"/>
              <w:rPr>
                <w:sz w:val="1"/>
                <w:szCs w:val="1"/>
                <w:color w:val="auto"/>
              </w:rPr>
            </w:pPr>
          </w:p>
        </w:tc>
      </w:tr>
      <w:tr>
        <w:trPr>
          <w:trHeight w:val="208"/>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29,462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GreenBox Warrant</w:t>
      </w:r>
    </w:p>
    <w:p>
      <w:pPr>
        <w:spacing w:after="0" w:line="53" w:lineRule="exact"/>
        <w:rPr>
          <w:sz w:val="20"/>
          <w:szCs w:val="20"/>
          <w:color w:val="auto"/>
        </w:rPr>
      </w:pPr>
    </w:p>
    <w:p>
      <w:pPr>
        <w:ind w:right="240" w:firstLine="255"/>
        <w:spacing w:after="0" w:line="264" w:lineRule="auto"/>
        <w:rPr>
          <w:sz w:val="20"/>
          <w:szCs w:val="20"/>
          <w:color w:val="auto"/>
        </w:rPr>
      </w:pPr>
      <w:r>
        <w:rPr>
          <w:rFonts w:ascii="Times New Roman" w:cs="Times New Roman" w:eastAsia="Times New Roman" w:hAnsi="Times New Roman"/>
          <w:sz w:val="14"/>
          <w:szCs w:val="14"/>
          <w:color w:val="auto"/>
        </w:rPr>
        <w:t>On July 23, 2023, the Company issued the GreenBox Warrant, which allows Sunlight to acquire up to an aggregate of 11,434,360 shares of the Company’s Class A Common Stock, subject to certain vesting conditions. The GreenBox Warrant had a grant date fair value of $19.90 per share. The GreenBox Warrant may vest in connection with conditions defined by the terms of the GreenBox Warrant, as GreenBox makes additional expenditures to the Company in connection with the Framework Agreement. There are up to eight tranches in the GreenBox Warrant based on increments of expenditures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approximately 1,429,295 additional shares may vest per tranche, subject to certain conditions defined by the terms of the GreenBox Warrant. Upon vesting, warrant shares may be acquired at an exercise price of $41.9719. The warrant contains customary anti-dilution, down-round, and change-in-control provisions. The right to purchase shares in connection with the GreenBox Warrant expires 36 months following the end of the initial term of the Framework Agreement which is July 23, 2027, or if applicable, the extension term of the Framework Agreement, which is July 23, 2029. As of December 28, 2024, none of the GreenBox Warrant shares had vested.</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Walmart Warrant</w:t>
      </w:r>
    </w:p>
    <w:p>
      <w:pPr>
        <w:spacing w:after="0" w:line="5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On May 20, 2022, in connection with its entry into the 2nd Amended and Restated MAA, the Company issued Walmart a warrant to acquire up to an aggregate of 258,972 Legacy Warehouse Class A Units (“May 2022 Warrant”), subject to certain vesting conditions. The May 2022 Warrant had a grant date fair value of $224.45. In connection with the closing of the Company’s initial public offering in June 2022, the May 2022 Warrant was converted into a new warrant to acquire up to an aggregate of 15,870,411 common units of Symbotic Holdings (“June 2022 Warrant” and, the common units of Symbotic Holdings issuable thereunder, the “Warrant Units”). The June 2022 Warrant vested in the second quarter of fiscal year 2023, as the installation commencement date for certain Systems which the Company is installing in Walmart’s 42 regional distribution centers had occurred. In December 2023, Walmart elected to gross exercise the vested warrants for $158.7 million. As a result of this gross exercise, 15,870,411 shares of Class V-1 Common Stock were issued to Walmart.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Segment and Geographic Information</w:t>
      </w:r>
    </w:p>
    <w:p>
      <w:pPr>
        <w:spacing w:after="0" w:line="53" w:lineRule="exact"/>
        <w:rPr>
          <w:sz w:val="20"/>
          <w:szCs w:val="20"/>
          <w:color w:val="auto"/>
        </w:rPr>
      </w:pPr>
    </w:p>
    <w:p>
      <w:pPr>
        <w:ind w:right="40" w:firstLine="255"/>
        <w:spacing w:after="0" w:line="284" w:lineRule="auto"/>
        <w:rPr>
          <w:sz w:val="20"/>
          <w:szCs w:val="20"/>
          <w:color w:val="auto"/>
        </w:rPr>
      </w:pPr>
      <w:r>
        <w:rPr>
          <w:rFonts w:ascii="Times New Roman" w:cs="Times New Roman" w:eastAsia="Times New Roman" w:hAnsi="Times New Roman"/>
          <w:sz w:val="14"/>
          <w:szCs w:val="14"/>
          <w:color w:val="auto"/>
        </w:rPr>
        <w:t>The Company operates as one operating segment. Revenue and property and equipment, net by geographic region, based on physical location of the operations recording the sale or the assets are as follows: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Revenue by geographical region for the three months ended December 28, 2024 and December 30, 2023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20" w:type="dxa"/>
            <w:vAlign w:val="bottom"/>
            <w:gridSpan w:val="4"/>
          </w:tcPr>
          <w:p>
            <w:pPr>
              <w:jc w:val="right"/>
              <w:ind w:right="141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0" w:type="dxa"/>
            <w:vAlign w:val="bottom"/>
          </w:tcPr>
          <w:p>
            <w:pPr>
              <w:spacing w:after="0"/>
              <w:rPr>
                <w:sz w:val="1"/>
                <w:szCs w:val="1"/>
                <w:color w:val="auto"/>
              </w:rPr>
            </w:pPr>
          </w:p>
        </w:tc>
      </w:tr>
      <w:tr>
        <w:trPr>
          <w:trHeight w:val="26"/>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300" w:type="dxa"/>
            <w:vAlign w:val="bottom"/>
          </w:tcPr>
          <w:p>
            <w:pPr>
              <w:spacing w:after="0"/>
              <w:rPr>
                <w:sz w:val="14"/>
                <w:szCs w:val="14"/>
                <w:color w:val="auto"/>
              </w:rPr>
            </w:pPr>
          </w:p>
        </w:tc>
        <w:tc>
          <w:tcPr>
            <w:tcW w:w="1720" w:type="dxa"/>
            <w:vAlign w:val="bottom"/>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0" w:type="dxa"/>
            <w:vAlign w:val="bottom"/>
          </w:tcPr>
          <w:p>
            <w:pPr>
              <w:spacing w:after="0"/>
              <w:rPr>
                <w:sz w:val="1"/>
                <w:szCs w:val="1"/>
                <w:color w:val="auto"/>
              </w:rPr>
            </w:pPr>
          </w:p>
        </w:tc>
      </w:tr>
      <w:tr>
        <w:trPr>
          <w:trHeight w:val="26"/>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486,184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358,886</w:t>
            </w:r>
          </w:p>
        </w:tc>
        <w:tc>
          <w:tcPr>
            <w:tcW w:w="0" w:type="dxa"/>
            <w:vAlign w:val="bottom"/>
          </w:tcPr>
          <w:p>
            <w:pPr>
              <w:spacing w:after="0"/>
              <w:rPr>
                <w:sz w:val="1"/>
                <w:szCs w:val="1"/>
                <w:color w:val="auto"/>
              </w:rPr>
            </w:pPr>
          </w:p>
        </w:tc>
      </w:tr>
      <w:tr>
        <w:trPr>
          <w:trHeight w:val="19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c>
          <w:tcPr>
            <w:tcW w:w="0" w:type="dxa"/>
            <w:vAlign w:val="bottom"/>
          </w:tcPr>
          <w:p>
            <w:pPr>
              <w:spacing w:after="0"/>
              <w:rPr>
                <w:sz w:val="1"/>
                <w:szCs w:val="1"/>
                <w:color w:val="auto"/>
              </w:rPr>
            </w:pP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359,943</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Percentage of revenue generated outside of the United States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2"/>
          </w:tcPr>
          <w:p>
            <w:pPr>
              <w:ind w:left="1560"/>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300" w:type="dxa"/>
            <w:vAlign w:val="bottom"/>
          </w:tcPr>
          <w:p>
            <w:pPr>
              <w:spacing w:after="0"/>
              <w:rPr>
                <w:sz w:val="13"/>
                <w:szCs w:val="13"/>
                <w:color w:val="auto"/>
              </w:rPr>
            </w:pPr>
          </w:p>
        </w:tc>
        <w:tc>
          <w:tcPr>
            <w:tcW w:w="1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property and equipment, net by geographical region at December 28, 2024 and at September 28, 2024 are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80" w:type="dxa"/>
            <w:vAlign w:val="bottom"/>
          </w:tcPr>
          <w:p>
            <w:pPr>
              <w:spacing w:after="0"/>
              <w:rPr>
                <w:sz w:val="14"/>
                <w:szCs w:val="14"/>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0" w:type="dxa"/>
            <w:vAlign w:val="bottom"/>
          </w:tcPr>
          <w:p>
            <w:pPr>
              <w:spacing w:after="0"/>
              <w:rPr>
                <w:sz w:val="1"/>
                <w:szCs w:val="1"/>
                <w:color w:val="auto"/>
              </w:rPr>
            </w:pPr>
          </w:p>
        </w:tc>
      </w:tr>
      <w:tr>
        <w:trPr>
          <w:trHeight w:val="26"/>
        </w:trPr>
        <w:tc>
          <w:tcPr>
            <w:tcW w:w="71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104,850</w:t>
            </w:r>
          </w:p>
        </w:tc>
        <w:tc>
          <w:tcPr>
            <w:tcW w:w="8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96,802</w:t>
            </w:r>
          </w:p>
        </w:tc>
        <w:tc>
          <w:tcPr>
            <w:tcW w:w="0" w:type="dxa"/>
            <w:vAlign w:val="bottom"/>
          </w:tcPr>
          <w:p>
            <w:pPr>
              <w:spacing w:after="0"/>
              <w:rPr>
                <w:sz w:val="1"/>
                <w:szCs w:val="1"/>
                <w:color w:val="auto"/>
              </w:rPr>
            </w:pPr>
          </w:p>
        </w:tc>
      </w:tr>
      <w:tr>
        <w:trPr>
          <w:trHeight w:val="191"/>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32"/>
        </w:trPr>
        <w:tc>
          <w:tcPr>
            <w:tcW w:w="714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4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105,079</w:t>
            </w:r>
          </w:p>
        </w:tc>
        <w:tc>
          <w:tcPr>
            <w:tcW w:w="8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CCECFF"/>
            </w:tcBorders>
            <w:shd w:val="clear" w:color="auto" w:fill="CCEC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97,109</w:t>
            </w:r>
          </w:p>
        </w:tc>
        <w:tc>
          <w:tcPr>
            <w:tcW w:w="0" w:type="dxa"/>
            <w:vAlign w:val="bottom"/>
          </w:tcPr>
          <w:p>
            <w:pPr>
              <w:spacing w:after="0"/>
              <w:rPr>
                <w:sz w:val="1"/>
                <w:szCs w:val="1"/>
                <w:color w:val="auto"/>
              </w:rPr>
            </w:pPr>
          </w:p>
        </w:tc>
      </w:tr>
      <w:tr>
        <w:trPr>
          <w:trHeight w:val="20"/>
        </w:trPr>
        <w:tc>
          <w:tcPr>
            <w:tcW w:w="7140" w:type="dxa"/>
            <w:vAlign w:val="bottom"/>
            <w:tcBorders>
              <w:top w:val="single" w:sz="8" w:color="CCECFF"/>
              <w:bottom w:val="single" w:sz="8" w:color="CCECFF"/>
            </w:tcBorders>
            <w:vMerge w:val="restart"/>
          </w:tcPr>
          <w:p>
            <w:pPr>
              <w:spacing w:after="0"/>
              <w:rPr>
                <w:sz w:val="20"/>
                <w:szCs w:val="20"/>
                <w:color w:val="auto"/>
              </w:rPr>
            </w:pPr>
            <w:r>
              <w:rPr>
                <w:rFonts w:ascii="Times New Roman" w:cs="Times New Roman" w:eastAsia="Times New Roman" w:hAnsi="Times New Roman"/>
                <w:sz w:val="14"/>
                <w:szCs w:val="14"/>
                <w:color w:val="auto"/>
              </w:rPr>
              <w:t>Percentage of property and equipment, net held outside of the United States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gridSpan w:val="2"/>
          </w:tcPr>
          <w:p>
            <w:pPr>
              <w:ind w:left="1560"/>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280" w:type="dxa"/>
            <w:vAlign w:val="bottom"/>
          </w:tcPr>
          <w:p>
            <w:pPr>
              <w:spacing w:after="0"/>
              <w:rPr>
                <w:sz w:val="13"/>
                <w:szCs w:val="13"/>
                <w:color w:val="auto"/>
              </w:rPr>
            </w:pPr>
          </w:p>
        </w:tc>
        <w:tc>
          <w:tcPr>
            <w:tcW w:w="1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nil</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53"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 evaluated subsequent events and transactions that occurred after the balance sheet date up to the date that the unaudited condensed consolidated financial statements were issued. Other than as described in these unaudited condensed consolidated financial statements and below, the Company did not identify any subsequent events that would have required adjustment or disclosure in the unaudited condensed consolidated financial statements.</w:t>
      </w:r>
    </w:p>
    <w:p>
      <w:pPr>
        <w:spacing w:after="0" w:line="8" w:lineRule="exact"/>
        <w:rPr>
          <w:sz w:val="20"/>
          <w:szCs w:val="20"/>
          <w:color w:val="auto"/>
        </w:rPr>
      </w:pPr>
    </w:p>
    <w:p>
      <w:pPr>
        <w:ind w:right="100" w:firstLine="255"/>
        <w:spacing w:after="0" w:line="284" w:lineRule="auto"/>
        <w:rPr>
          <w:sz w:val="20"/>
          <w:szCs w:val="20"/>
          <w:color w:val="auto"/>
        </w:rPr>
      </w:pPr>
      <w:r>
        <w:rPr>
          <w:rFonts w:ascii="Times New Roman" w:cs="Times New Roman" w:eastAsia="Times New Roman" w:hAnsi="Times New Roman"/>
          <w:sz w:val="14"/>
          <w:szCs w:val="14"/>
          <w:color w:val="auto"/>
        </w:rPr>
        <w:t>On January 15, 2025, the Company entered into a Purchase and Sale Agreement (the “Purchase Agreement”) with Walmart, pursuant to which, among other things, the Company agreed to acquire from Walmart all of the issued and outstanding equity interests in Walmart Advanced Systems &amp; Robotics Inc. (“WASR”), a Delaware corporation and wholly owned subsidiary of Walmart.</w:t>
      </w:r>
    </w:p>
    <w:p>
      <w:pPr>
        <w:spacing w:after="0" w:line="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Purchase Agreement provides that, subject to the terms and conditions set forth therein, Symbotic will pay to Walmart, (a) upon the closing (the “Closing”) of the transactions contemplated by the Purchase Agreement, $200 million in cash, subject to customary adjustments for cash, indebtedness and transaction expenses (the “Base Consideration”),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7" w:name="page28"/>
    <w:bookmarkEnd w:id="2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deferred cash consideration following the Closing of (i) $175 million, payable only upon acceptance of the first APD (as defined below) under the terms of the Walmart Commercial Agreement (as defined below) by Walmart, and (ii) $175 million, payable only upon Walmart’s exercise of the Additional APD Option (as defined below). As stated below, the acquisition closed on January 27, 2025, and the Company paid Walmart $200 million in cash.</w:t>
      </w:r>
    </w:p>
    <w:p>
      <w:pPr>
        <w:spacing w:after="0" w:line="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Purchase Agreement also contemplates that, immediately prior to or at the Closing, the Company and Walmart (or their respective affiliates) will enter into a number of ancillary agreements, including (a) a transition services agreement, pursuant to which Walmart and its affiliates will provide certain transition services to Symbotic LLC and affiliates thereof for a period following the Closing, subject to the terms and conditions set forth therein, and (b) an intellectual property agreement, pursuant to which Walmart and its affiliates will grant to the Company and its affiliates certain licenses concerning intellectual property assets relating to the operation of the Business (as defined in the Purchase Agreement), subject to the terms and conditions set forth therein.</w:t>
      </w:r>
    </w:p>
    <w:p>
      <w:pPr>
        <w:spacing w:after="0" w:line="13"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Contemporaneously with the Closing, Symbotic LLC and Walmart entered into a Master Automation Agreement (the “Walmart Commercial Agreement”), which sets forth the terms and conditions governing the development, manufacture and installation of accelerated pickup and delivery systems (“APDs”) by Symbotic LLC for Walmart. The Walmart Commercial Agreement provides for a commitment, subject to the satisfaction of defined system performance metrics of the APDs, from Walmart to purchase 400 APDs, with an option for Walmart to purchase an additional 200 APDs (the “Additional APD Option”), exercisable by Walmart within 30 days following acceptance of the 220th APD under the terms of the Walmart Commercial Agreement. For each APD, Walmart will pay Symbotic LLC: (a) the cost of implementation, including the cost of material and labor, plus a specified net profit amount; (b) for software maintenance and support; and (c) for spare parts and other miscellaneous expenses. Pursuant to the terms and conditions of the Walmart Commercial Agreement, Walmart will also pay Symbotic LLC a total of $520 million of research and development fees relating to the generation of prototypes and other research and development, with $230 million payable at Closing, $165 million payable one year after Closing and $125 million payable two years after Closing, and under certain specified circumstances if Symbotic LLC commercializes substantially similar APDs (or the software used within such APDs) with third parties, Walmart may be entitled to a royalty fee paid by Symbotic LLC.</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completed the acquisition of WASR on January 27, 2025, with a preliminary purchase price of up to $200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47" w:lineRule="exact"/>
        <w:rPr>
          <w:sz w:val="20"/>
          <w:szCs w:val="20"/>
          <w:color w:val="auto"/>
        </w:rPr>
      </w:pPr>
    </w:p>
    <w:p>
      <w:pPr>
        <w:ind w:right="180" w:firstLine="36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28, 2024, as included within our Annual Report on Form 10-K, as filed with the Securities and Exchange Commission on December 4, 2024.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6"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vision is to make the supply chain work better for everyone. We do this by developing, commercializing, and deploying innovative, comprehensive technology solutions that dramatically improve supply chain operations. We currently automate the processing of pallets and cases in large warehouses for some of the largest retail companies in the world. Our System enhances operations at the front end of the supply chain, and therefore benefit all supply partners further down the chain, irrespective of fulfillment strategy.</w:t>
      </w:r>
    </w:p>
    <w:p>
      <w:pPr>
        <w:spacing w:after="0" w:line="8"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Our System is based on a unique approach to connecting producers of goods to end users, in a way that resolves the mismatches of quantity, timing and location that arise between the two, while reducing costs. The underlying architecture of our System is what differentiates our solution from anything else in the marketplace. It utilizes fully autonomous robots, collectively controlled by our artificial intelligence enabled system software to achieve at scale, real world supply chain improvements that are so compelling that we believe our approach can become the de facto standard approach for how warehouses operate.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5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promises in the contract.</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identified the following distinct performance obligations in our contracts with customers:</w:t>
      </w:r>
    </w:p>
    <w:p>
      <w:pPr>
        <w:spacing w:after="0" w:line="5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spacing w:after="0" w:line="16"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spacing w:after="0" w:line="8"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“Operation Services” is defined as assistance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cost of revenue is composed of the following for each of our distinct performance obligations:</w:t>
      </w:r>
    </w:p>
    <w:p>
      <w:pPr>
        <w:spacing w:after="0" w:line="51"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u w:val="single" w:color="auto"/>
          <w:color w:val="auto"/>
        </w:rPr>
        <w:t>Systems</w:t>
      </w:r>
      <w:r>
        <w:rPr>
          <w:rFonts w:ascii="Times New Roman" w:cs="Times New Roman" w:eastAsia="Times New Roman" w:hAnsi="Times New Roman"/>
          <w:sz w:val="14"/>
          <w:szCs w:val="14"/>
          <w:color w:val="auto"/>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spacing w:after="0" w:line="13" w:lineRule="exact"/>
        <w:rPr>
          <w:sz w:val="20"/>
          <w:szCs w:val="20"/>
          <w:color w:val="auto"/>
        </w:rPr>
      </w:pPr>
    </w:p>
    <w:p>
      <w:pPr>
        <w:ind w:right="440" w:firstLine="255"/>
        <w:spacing w:after="0" w:line="284" w:lineRule="auto"/>
        <w:rPr>
          <w:sz w:val="20"/>
          <w:szCs w:val="20"/>
          <w:color w:val="auto"/>
        </w:rPr>
      </w:pPr>
      <w:r>
        <w:rPr>
          <w:rFonts w:ascii="Times New Roman" w:cs="Times New Roman" w:eastAsia="Times New Roman" w:hAnsi="Times New Roman"/>
          <w:sz w:val="14"/>
          <w:szCs w:val="14"/>
          <w:u w:val="single" w:color="auto"/>
          <w:color w:val="auto"/>
        </w:rPr>
        <w:t>Software Maintenance and Support</w:t>
      </w:r>
      <w:r>
        <w:rPr>
          <w:rFonts w:ascii="Times New Roman" w:cs="Times New Roman" w:eastAsia="Times New Roman" w:hAnsi="Times New Roman"/>
          <w:sz w:val="14"/>
          <w:szCs w:val="14"/>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1" w:lineRule="exact"/>
        <w:rPr>
          <w:sz w:val="20"/>
          <w:szCs w:val="20"/>
          <w:color w:val="auto"/>
        </w:rPr>
      </w:pPr>
    </w:p>
    <w:p>
      <w:pPr>
        <w:jc w:val="both"/>
        <w:ind w:right="480" w:firstLine="255"/>
        <w:spacing w:after="0" w:line="270" w:lineRule="auto"/>
        <w:rPr>
          <w:sz w:val="20"/>
          <w:szCs w:val="20"/>
          <w:color w:val="auto"/>
        </w:rPr>
      </w:pPr>
      <w:r>
        <w:rPr>
          <w:rFonts w:ascii="Times New Roman" w:cs="Times New Roman" w:eastAsia="Times New Roman" w:hAnsi="Times New Roman"/>
          <w:sz w:val="14"/>
          <w:szCs w:val="14"/>
          <w:u w:val="single" w:color="auto"/>
          <w:color w:val="auto"/>
        </w:rPr>
        <w:t>Operation Services</w:t>
      </w:r>
      <w:r>
        <w:rPr>
          <w:rFonts w:ascii="Times New Roman" w:cs="Times New Roman" w:eastAsia="Times New Roman" w:hAnsi="Times New Roman"/>
          <w:sz w:val="14"/>
          <w:szCs w:val="14"/>
          <w:color w:val="auto"/>
        </w:rPr>
        <w:t>: Operation Services cost of revenue consists primarily of labor cost for our operations team who is providing services to our customers to run their System within their warehouse. Operation Services cost of revenue also includes the cost of spare parts sold to our customers as needed to service their System. Operation Services cost of revenue is expensed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53"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5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53"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53"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We are subject to U.S. federal income taxes, in addition to state and local income taxes, with respect to our allocable share of any taxable income or loss of Symbotic Holdings. We also have foreign subsidiaries which are subject to income tax in their local jurisdictions.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December 28, 2024 and December 30, 2023</w:t>
      </w:r>
    </w:p>
    <w:p>
      <w:pPr>
        <w:spacing w:after="0" w:line="9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8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167"/>
        </w:trPr>
        <w:tc>
          <w:tcPr>
            <w:tcW w:w="8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4"/>
          </w:tcPr>
          <w:p>
            <w:pPr>
              <w:jc w:val="right"/>
              <w:ind w:right="1070"/>
              <w:spacing w:after="0"/>
              <w:rPr>
                <w:sz w:val="20"/>
                <w:szCs w:val="20"/>
                <w:color w:val="auto"/>
              </w:rPr>
            </w:pPr>
            <w:r>
              <w:rPr>
                <w:rFonts w:ascii="Times New Roman" w:cs="Times New Roman" w:eastAsia="Times New Roman" w:hAnsi="Times New Roman"/>
                <w:sz w:val="13"/>
                <w:szCs w:val="13"/>
                <w:color w:val="auto"/>
              </w:rPr>
              <w:t>(in thousands)</w:t>
            </w:r>
          </w:p>
        </w:tc>
      </w:tr>
      <w:tr>
        <w:trPr>
          <w:trHeight w:val="26"/>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464,059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347,705</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10,069</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359,943</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283,946</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w:t>
            </w:r>
          </w:p>
        </w:tc>
      </w:tr>
      <w:tr>
        <w:trPr>
          <w:trHeight w:val="181"/>
        </w:trPr>
        <w:tc>
          <w:tcPr>
            <w:tcW w:w="8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cost of revenue</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406,654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295,886</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64,057</w:t>
            </w: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42,144</w:t>
            </w:r>
          </w:p>
        </w:tc>
      </w:tr>
      <w:tr>
        <w:trPr>
          <w:trHeight w:val="19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47,012</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83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89,156</w:t>
            </w:r>
          </w:p>
        </w:tc>
      </w:tr>
      <w:tr>
        <w:trPr>
          <w:trHeight w:val="18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(24,629)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(25,099)</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6,199</w:t>
            </w:r>
          </w:p>
        </w:tc>
      </w:tr>
      <w:tr>
        <w:trPr>
          <w:trHeight w:val="181"/>
        </w:trPr>
        <w:tc>
          <w:tcPr>
            <w:tcW w:w="8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before income tax and equity method investment</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(18,900)</w:t>
            </w:r>
          </w:p>
        </w:tc>
      </w:tr>
      <w:tr>
        <w:trPr>
          <w:trHeight w:val="32"/>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3200" w:type="dxa"/>
            <w:vAlign w:val="bottom"/>
            <w:gridSpan w:val="3"/>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r>
      <w:tr>
        <w:trPr>
          <w:trHeight w:val="26"/>
        </w:trPr>
        <w:tc>
          <w:tcPr>
            <w:tcW w:w="80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8080" w:type="dxa"/>
            <w:vAlign w:val="bottom"/>
          </w:tcPr>
          <w:p>
            <w:pPr>
              <w:spacing w:after="0"/>
              <w:rPr>
                <w:sz w:val="14"/>
                <w:szCs w:val="14"/>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w:t>
            </w: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8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revenue</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100</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Cost of revenue: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Systems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79</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Operation services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80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cost of revenue</w:t>
            </w: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5"/>
                <w:szCs w:val="15"/>
                <w:color w:val="auto"/>
              </w:rPr>
            </w:pPr>
          </w:p>
        </w:tc>
        <w:tc>
          <w:tcPr>
            <w:tcW w:w="15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82</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profit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3"/>
        </w:trPr>
        <w:tc>
          <w:tcPr>
            <w:tcW w:w="8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15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5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(7)</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before income tax and equity method investment</w:t>
            </w:r>
          </w:p>
        </w:tc>
        <w:tc>
          <w:tcPr>
            <w:tcW w:w="15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5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(5)</w:t>
            </w:r>
          </w:p>
        </w:tc>
      </w:tr>
      <w:tr>
        <w:trPr>
          <w:trHeight w:val="32"/>
        </w:trPr>
        <w:tc>
          <w:tcPr>
            <w:tcW w:w="8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equity method investment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3"/>
        </w:trPr>
        <w:tc>
          <w:tcPr>
            <w:tcW w:w="8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15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w w:val="99"/>
              </w:rPr>
              <w:t>(4)%</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w w:val="99"/>
              </w:rPr>
              <w:t>(5)%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*Percentages are based on actual values. Totals may not sum due to rounding.</w:t>
      </w:r>
    </w:p>
    <w:p>
      <w:pPr>
        <w:spacing w:after="0" w:line="152" w:lineRule="exact"/>
        <w:rPr>
          <w:sz w:val="20"/>
          <w:szCs w:val="20"/>
          <w:color w:val="auto"/>
        </w:rPr>
      </w:pPr>
    </w:p>
    <w:p>
      <w:pPr>
        <w:ind w:right="5260"/>
        <w:spacing w:after="0" w:line="382" w:lineRule="auto"/>
        <w:rPr>
          <w:sz w:val="20"/>
          <w:szCs w:val="20"/>
          <w:color w:val="auto"/>
        </w:rPr>
      </w:pPr>
      <w:r>
        <w:rPr>
          <w:rFonts w:ascii="Times New Roman" w:cs="Times New Roman" w:eastAsia="Times New Roman" w:hAnsi="Times New Roman"/>
          <w:sz w:val="14"/>
          <w:szCs w:val="14"/>
          <w:b w:val="1"/>
          <w:bCs w:val="1"/>
          <w:color w:val="auto"/>
        </w:rPr>
        <w:t xml:space="preserve">Three Months Ended December 28, 2024 Compared to the Three Months Ended December 30, 2023 </w:t>
      </w:r>
      <w:r>
        <w:rPr>
          <w:rFonts w:ascii="Times New Roman" w:cs="Times New Roman" w:eastAsia="Times New Roman" w:hAnsi="Times New Roman"/>
          <w:sz w:val="14"/>
          <w:szCs w:val="14"/>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280" w:type="dxa"/>
            <w:vAlign w:val="bottom"/>
          </w:tcPr>
          <w:p>
            <w:pPr>
              <w:spacing w:after="0"/>
              <w:rPr>
                <w:sz w:val="14"/>
                <w:szCs w:val="14"/>
                <w:color w:val="auto"/>
              </w:rPr>
            </w:pPr>
          </w:p>
        </w:tc>
        <w:tc>
          <w:tcPr>
            <w:tcW w:w="1720" w:type="dxa"/>
            <w:vAlign w:val="bottom"/>
            <w:gridSpan w:val="2"/>
          </w:tcPr>
          <w:p>
            <w:pPr>
              <w:ind w:left="10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8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tcPr>
          <w:p>
            <w:pPr>
              <w:jc w:val="right"/>
              <w:ind w:right="651"/>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ind w:left="840"/>
              <w:spacing w:after="0"/>
              <w:rPr>
                <w:sz w:val="20"/>
                <w:szCs w:val="20"/>
                <w:color w:val="auto"/>
              </w:rPr>
            </w:pPr>
            <w:r>
              <w:rPr>
                <w:rFonts w:ascii="Times New Roman" w:cs="Times New Roman" w:eastAsia="Times New Roman" w:hAnsi="Times New Roman"/>
                <w:sz w:val="13"/>
                <w:szCs w:val="13"/>
                <w:color w:val="auto"/>
              </w:rPr>
              <w:t>(dollars in thousands)</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464,059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347,705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116,354</w:t>
            </w:r>
          </w:p>
        </w:tc>
        <w:tc>
          <w:tcPr>
            <w:tcW w:w="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r>
      <w:tr>
        <w:trPr>
          <w:trHeight w:val="32"/>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r>
      <w:tr>
        <w:trPr>
          <w:trHeight w:val="208"/>
        </w:trPr>
        <w:tc>
          <w:tcPr>
            <w:tcW w:w="5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486,693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359,943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126,750</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9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Systems revenue increased during the three months ended December 28, 2024 as compared to the three months ended December 30, 2023 due to there being 44 Systems in Deployment during the fiscal quarter ending December 28, 2024 as compared to 37 Systems in Deployment during the same quarter of fiscal 2024. The increase in Deployments is primarily due to the continued build out of our Systems included in the Walmart MAA. Pursuant to the MAA, we are installing and implementing our System within all of Walmart’s 42 regional distribution centers. We expect the MAA to continue to generate Systems revenue as we install and implement the Systems at the remaining regional distribution centers through fiscal year 2029.</w:t>
      </w:r>
    </w:p>
    <w:p>
      <w:pPr>
        <w:spacing w:after="0" w:line="13" w:lineRule="exact"/>
        <w:rPr>
          <w:sz w:val="20"/>
          <w:szCs w:val="20"/>
          <w:color w:val="auto"/>
        </w:rPr>
      </w:pPr>
    </w:p>
    <w:p>
      <w:pPr>
        <w:ind w:right="660" w:firstLine="255"/>
        <w:spacing w:after="0" w:line="287" w:lineRule="auto"/>
        <w:rPr>
          <w:sz w:val="20"/>
          <w:szCs w:val="20"/>
          <w:color w:val="auto"/>
        </w:rPr>
      </w:pPr>
      <w:r>
        <w:rPr>
          <w:rFonts w:ascii="Times New Roman" w:cs="Times New Roman" w:eastAsia="Times New Roman" w:hAnsi="Times New Roman"/>
          <w:sz w:val="14"/>
          <w:szCs w:val="14"/>
          <w:color w:val="auto"/>
        </w:rPr>
        <w:t>The increase in Software Maintenance and Support revenue is due to 29 Operational Systems which are under Software Maintenance and Support contracts for the three months ended December 28, 2024, as compared to 15 Operational Systems which are under Software Maintenance and Support contracts for the three months ended December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2" w:name="page33"/>
    <w:bookmarkEnd w:id="3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increase in Operation Services revenue is attributable to an increase in Operational Systems where we are performing Operations Services for the three months ended December 28, 2024, as compared to the three months ended December 30, 2023. As we continue to increase the number of Operational Systems, an increase in the number of Operation Services contracts is expected.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Gross Profit</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gross profit for the three months ended December 28, 2024 and December 30,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300" w:type="dxa"/>
            <w:vAlign w:val="bottom"/>
          </w:tcPr>
          <w:p>
            <w:pPr>
              <w:spacing w:after="0"/>
              <w:rPr>
                <w:sz w:val="14"/>
                <w:szCs w:val="14"/>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6"/>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30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26"/>
        </w:trPr>
        <w:tc>
          <w:tcPr>
            <w:tcW w:w="6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 thousands)</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6"/>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Systems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18,481</w:t>
            </w:r>
          </w:p>
        </w:tc>
      </w:tr>
      <w:tr>
        <w:trPr>
          <w:trHeight w:val="19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 maintenance and support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r>
      <w:tr>
        <w:trPr>
          <w:trHeight w:val="32"/>
        </w:trPr>
        <w:tc>
          <w:tcPr>
            <w:tcW w:w="6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 services</w:t>
            </w: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w:t>
            </w:r>
          </w:p>
        </w:tc>
      </w:tr>
      <w:tr>
        <w:trPr>
          <w:trHeight w:val="208"/>
        </w:trPr>
        <w:tc>
          <w:tcPr>
            <w:tcW w:w="6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64,057</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15,982</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20" w:firstLine="255"/>
        <w:spacing w:after="0" w:line="284" w:lineRule="auto"/>
        <w:rPr>
          <w:sz w:val="20"/>
          <w:szCs w:val="20"/>
          <w:color w:val="auto"/>
        </w:rPr>
      </w:pPr>
      <w:r>
        <w:rPr>
          <w:rFonts w:ascii="Times New Roman" w:cs="Times New Roman" w:eastAsia="Times New Roman" w:hAnsi="Times New Roman"/>
          <w:sz w:val="14"/>
          <w:szCs w:val="14"/>
          <w:color w:val="auto"/>
        </w:rPr>
        <w:t>Systems gross profit increased $18.5 million for the three months ended December 28, 2024, as compared to the three months ended December 30, 2023. The increase in Systems gross profit is primarily driven by 44 Systems in Deployment during the fiscal quarter ended December 28, 2024, as compared to 37 Systems in Deployment during the fiscal quarter ended December 30, 2023.</w:t>
      </w:r>
    </w:p>
    <w:p>
      <w:pPr>
        <w:spacing w:after="0" w:line="1" w:lineRule="exact"/>
        <w:rPr>
          <w:sz w:val="20"/>
          <w:szCs w:val="20"/>
          <w:color w:val="auto"/>
        </w:rPr>
      </w:pPr>
    </w:p>
    <w:p>
      <w:pPr>
        <w:ind w:right="200" w:firstLine="255"/>
        <w:spacing w:after="0" w:line="284" w:lineRule="auto"/>
        <w:rPr>
          <w:sz w:val="20"/>
          <w:szCs w:val="20"/>
          <w:color w:val="auto"/>
        </w:rPr>
      </w:pPr>
      <w:r>
        <w:rPr>
          <w:rFonts w:ascii="Times New Roman" w:cs="Times New Roman" w:eastAsia="Times New Roman" w:hAnsi="Times New Roman"/>
          <w:sz w:val="14"/>
          <w:szCs w:val="14"/>
          <w:color w:val="auto"/>
        </w:rPr>
        <w:t>The increase in Software Maintenance and Support gross profit is driven by the revenue from the additional Operational Systems which are under Software Maintenance and Support contracts for the three months ended December 28, 2024, as compared to the three months ended December 30, 2023, while costs to perform our maintenance and support services remained relatively flat.</w:t>
      </w:r>
    </w:p>
    <w:p>
      <w:pPr>
        <w:spacing w:after="0" w:line="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decrease in Operation Services gross profit for the three months ended December 28, 2024, as compared to the three months ended December 30, 2023, is driven by increased cost due to additional Operation Services costs needed at certain of our customer sites.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color w:val="auto"/>
              </w:rPr>
              <w:t>(dollars in thousands)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43,592</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42,144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1,448</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research and development expenses for the three months ended December 28, 2024, as compared to the three months ended December 30, 2023, is due to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3"/>
                <w:szCs w:val="13"/>
                <w:b w:val="1"/>
                <w:bCs w:val="1"/>
                <w:color w:val="auto"/>
                <w:w w:val="93"/>
              </w:rPr>
              <w:t>Change</w:t>
            </w:r>
          </w:p>
        </w:tc>
      </w:tr>
      <w:tr>
        <w:trPr>
          <w:trHeight w:val="26"/>
        </w:trPr>
        <w:tc>
          <w:tcPr>
            <w:tcW w:w="9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7"/>
        </w:trPr>
        <w:tc>
          <w:tcPr>
            <w:tcW w:w="9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3"/>
                <w:szCs w:val="13"/>
                <w:color w:val="auto"/>
                <w:w w:val="97"/>
              </w:rPr>
              <w:t>(in thousands)</w:t>
            </w:r>
          </w:p>
        </w:tc>
      </w:tr>
      <w:tr>
        <w:trPr>
          <w:trHeight w:val="26"/>
        </w:trPr>
        <w:tc>
          <w:tcPr>
            <w:tcW w:w="9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center"/>
              <w:ind w:left="752"/>
              <w:spacing w:after="0"/>
              <w:rPr>
                <w:sz w:val="20"/>
                <w:szCs w:val="20"/>
                <w:color w:val="auto"/>
              </w:rPr>
            </w:pPr>
            <w:r>
              <w:rPr>
                <w:rFonts w:ascii="Times New Roman" w:cs="Times New Roman" w:eastAsia="Times New Roman" w:hAnsi="Times New Roman"/>
                <w:sz w:val="14"/>
                <w:szCs w:val="14"/>
                <w:color w:val="auto"/>
              </w:rPr>
              <w:t>(2,616)</w:t>
            </w:r>
          </w:p>
        </w:tc>
      </w:tr>
      <w:tr>
        <w:trPr>
          <w:trHeight w:val="191"/>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Prototype-related costs, allocated overhead expenses, and other</w:t>
            </w:r>
          </w:p>
        </w:tc>
        <w:tc>
          <w:tcPr>
            <w:tcW w:w="240" w:type="dxa"/>
            <w:vAlign w:val="bottom"/>
          </w:tcPr>
          <w:p>
            <w:pPr>
              <w:spacing w:after="0"/>
              <w:rPr>
                <w:sz w:val="16"/>
                <w:szCs w:val="16"/>
                <w:color w:val="auto"/>
              </w:rPr>
            </w:pPr>
          </w:p>
        </w:tc>
        <w:tc>
          <w:tcPr>
            <w:tcW w:w="1280" w:type="dxa"/>
            <w:vAlign w:val="bottom"/>
          </w:tcPr>
          <w:p>
            <w:pPr>
              <w:jc w:val="center"/>
              <w:ind w:left="772"/>
              <w:spacing w:after="0"/>
              <w:rPr>
                <w:sz w:val="20"/>
                <w:szCs w:val="20"/>
                <w:color w:val="auto"/>
              </w:rPr>
            </w:pPr>
            <w:r>
              <w:rPr>
                <w:rFonts w:ascii="Times New Roman" w:cs="Times New Roman" w:eastAsia="Times New Roman" w:hAnsi="Times New Roman"/>
                <w:sz w:val="14"/>
                <w:szCs w:val="14"/>
                <w:color w:val="auto"/>
              </w:rPr>
              <w:t>4,064</w:t>
            </w:r>
          </w:p>
        </w:tc>
      </w:tr>
      <w:tr>
        <w:trPr>
          <w:trHeight w:val="32"/>
        </w:trPr>
        <w:tc>
          <w:tcPr>
            <w:tcW w:w="9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9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center"/>
              <w:ind w:left="772"/>
              <w:spacing w:after="0"/>
              <w:rPr>
                <w:sz w:val="20"/>
                <w:szCs w:val="20"/>
                <w:color w:val="auto"/>
              </w:rPr>
            </w:pPr>
            <w:r>
              <w:rPr>
                <w:rFonts w:ascii="Times New Roman" w:cs="Times New Roman" w:eastAsia="Times New Roman" w:hAnsi="Times New Roman"/>
                <w:sz w:val="14"/>
                <w:szCs w:val="14"/>
                <w:color w:val="auto"/>
              </w:rPr>
              <w:t>1,448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80" w:firstLine="255"/>
        <w:spacing w:after="0" w:line="284" w:lineRule="auto"/>
        <w:rPr>
          <w:sz w:val="20"/>
          <w:szCs w:val="20"/>
          <w:color w:val="auto"/>
        </w:rPr>
      </w:pPr>
      <w:r>
        <w:rPr>
          <w:rFonts w:ascii="Times New Roman" w:cs="Times New Roman" w:eastAsia="Times New Roman" w:hAnsi="Times New Roman"/>
          <w:sz w:val="14"/>
          <w:szCs w:val="14"/>
          <w:color w:val="auto"/>
        </w:rPr>
        <w:t>Employee-related costs decreased primarily as a result of a decrease in our stock-based compensation expense for the three months ended December 28, 2024, as compared to the three months ended December 30, 2023.</w:t>
      </w:r>
    </w:p>
    <w:p>
      <w:pPr>
        <w:spacing w:after="0" w:line="1"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increase in prototype-related costs, allocated overhead expenses, and other during the three months ended December 28, 2024, as compared to the three months ended December 30, 2023, is primarily due to an increase in prototype expenses as we implement efforts to expand on our current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3" w:name="page34"/>
    <w:bookmarkEnd w:id="33"/>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960" w:type="dxa"/>
            <w:vAlign w:val="bottom"/>
          </w:tcPr>
          <w:p>
            <w:pPr>
              <w:spacing w:after="0"/>
              <w:rPr>
                <w:sz w:val="14"/>
                <w:szCs w:val="14"/>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3"/>
          </w:tcPr>
          <w:p>
            <w:pPr>
              <w:jc w:val="right"/>
              <w:ind w:right="433"/>
              <w:spacing w:after="0"/>
              <w:rPr>
                <w:sz w:val="20"/>
                <w:szCs w:val="20"/>
                <w:color w:val="auto"/>
              </w:rPr>
            </w:pPr>
            <w:r>
              <w:rPr>
                <w:rFonts w:ascii="Times New Roman" w:cs="Times New Roman" w:eastAsia="Times New Roman" w:hAnsi="Times New Roman"/>
                <w:sz w:val="13"/>
                <w:szCs w:val="13"/>
                <w:color w:val="auto"/>
              </w:rPr>
              <w:t>(dollars in thousands)</w:t>
            </w: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61,076</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47,012</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14,064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selling, general, and administrative expenses for the three months ended December 28, 2024, as compared to the three months ended December 30, 2023, is due to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26"/>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7"/>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352"/>
              <w:spacing w:after="0"/>
              <w:rPr>
                <w:sz w:val="20"/>
                <w:szCs w:val="20"/>
                <w:color w:val="auto"/>
              </w:rPr>
            </w:pPr>
            <w:r>
              <w:rPr>
                <w:rFonts w:ascii="Times New Roman" w:cs="Times New Roman" w:eastAsia="Times New Roman" w:hAnsi="Times New Roman"/>
                <w:sz w:val="13"/>
                <w:szCs w:val="13"/>
                <w:color w:val="auto"/>
              </w:rPr>
              <w:t>(in thousands)</w:t>
            </w:r>
          </w:p>
        </w:tc>
      </w:tr>
      <w:tr>
        <w:trPr>
          <w:trHeight w:val="26"/>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Employee-related costs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5,469</w:t>
            </w:r>
          </w:p>
        </w:tc>
      </w:tr>
      <w:tr>
        <w:trPr>
          <w:trHeight w:val="191"/>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Allocated overhead expenses and other</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r>
      <w:tr>
        <w:trPr>
          <w:trHeight w:val="32"/>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Employee-related costs increased primarily as a result of our full-time and contracted employee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spacing w:after="0" w:line="8" w:lineRule="exact"/>
        <w:rPr>
          <w:sz w:val="20"/>
          <w:szCs w:val="20"/>
          <w:color w:val="auto"/>
        </w:rPr>
      </w:pPr>
    </w:p>
    <w:p>
      <w:pPr>
        <w:jc w:val="both"/>
        <w:ind w:right="20" w:firstLine="255"/>
        <w:spacing w:after="0" w:line="264" w:lineRule="auto"/>
        <w:rPr>
          <w:sz w:val="20"/>
          <w:szCs w:val="20"/>
          <w:color w:val="auto"/>
        </w:rPr>
      </w:pPr>
      <w:r>
        <w:rPr>
          <w:rFonts w:ascii="Times New Roman" w:cs="Times New Roman" w:eastAsia="Times New Roman" w:hAnsi="Times New Roman"/>
          <w:sz w:val="14"/>
          <w:szCs w:val="14"/>
          <w:color w:val="auto"/>
        </w:rPr>
        <w:t>Allocated overhead and other expenses increased primarily due to an increase in information technology related costs to support growth within our employee base and infrastructure, as well as an increase in audit, tax, and legal expenses as compared to the prior year. The increase in audit, tax, and legal expenses for the three months ended December 28, 2024, as compared to the three months ended December 30, 2023, is primarily attributable to increased professional services fees related to strategic acquisitions as well as increased professional services fees related to our internal controls remediation.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00" w:type="dxa"/>
            <w:vAlign w:val="bottom"/>
          </w:tcPr>
          <w:p>
            <w:pPr>
              <w:spacing w:after="0"/>
              <w:rPr>
                <w:sz w:val="14"/>
                <w:szCs w:val="14"/>
                <w:color w:val="auto"/>
              </w:rPr>
            </w:pPr>
          </w:p>
        </w:tc>
        <w:tc>
          <w:tcPr>
            <w:tcW w:w="9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spacing w:after="0"/>
              <w:rPr>
                <w:sz w:val="14"/>
                <w:szCs w:val="1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473"/>
              <w:spacing w:after="0"/>
              <w:rPr>
                <w:sz w:val="20"/>
                <w:szCs w:val="20"/>
                <w:color w:val="auto"/>
              </w:rPr>
            </w:pPr>
            <w:r>
              <w:rPr>
                <w:rFonts w:ascii="Times New Roman" w:cs="Times New Roman" w:eastAsia="Times New Roman" w:hAnsi="Times New Roman"/>
                <w:sz w:val="13"/>
                <w:szCs w:val="13"/>
                <w:color w:val="auto"/>
              </w:rPr>
              <w:t>(dollars in thousands)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6"/>
        </w:trPr>
        <w:tc>
          <w:tcPr>
            <w:tcW w:w="5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4"/>
                <w:szCs w:val="14"/>
                <w:color w:val="auto"/>
              </w:rPr>
              <w:t>7,823</w:t>
            </w:r>
          </w:p>
        </w:tc>
        <w:tc>
          <w:tcPr>
            <w:tcW w:w="2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6,199</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4"/>
                <w:szCs w:val="14"/>
                <w:color w:val="auto"/>
              </w:rPr>
              <w:t>1,624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9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34"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The increase in other income, net for the three months ended December 28, 2024, as compared to the three months ended December 30, 2023, is due to higher interest earned on invested cash balances as a result of increased interest rates.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1060" w:type="dxa"/>
            <w:vAlign w:val="bottom"/>
          </w:tcPr>
          <w:p>
            <w:pPr>
              <w:spacing w:after="0"/>
              <w:rPr>
                <w:sz w:val="14"/>
                <w:szCs w:val="14"/>
                <w:color w:val="auto"/>
              </w:rPr>
            </w:pPr>
          </w:p>
        </w:tc>
        <w:tc>
          <w:tcPr>
            <w:tcW w:w="94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spacing w:after="0"/>
              <w:rPr>
                <w:sz w:val="14"/>
                <w:szCs w:val="14"/>
                <w:color w:val="auto"/>
              </w:rPr>
            </w:pPr>
          </w:p>
        </w:tc>
        <w:tc>
          <w:tcPr>
            <w:tcW w:w="1080" w:type="dxa"/>
            <w:vAlign w:val="bottom"/>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6"/>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7"/>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433"/>
              <w:spacing w:after="0"/>
              <w:rPr>
                <w:sz w:val="20"/>
                <w:szCs w:val="20"/>
                <w:color w:val="auto"/>
              </w:rPr>
            </w:pPr>
            <w:r>
              <w:rPr>
                <w:rFonts w:ascii="Times New Roman" w:cs="Times New Roman" w:eastAsia="Times New Roman" w:hAnsi="Times New Roman"/>
                <w:sz w:val="13"/>
                <w:szCs w:val="13"/>
                <w:color w:val="auto"/>
              </w:rPr>
              <w:t>(dollars in thousands)</w:t>
            </w: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4"/>
                <w:szCs w:val="14"/>
                <w:color w:val="auto"/>
              </w:rPr>
              <w:t>(22)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total revenue</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nil</w:t>
            </w:r>
          </w:p>
        </w:tc>
        <w:tc>
          <w:tcPr>
            <w:tcW w:w="200" w:type="dxa"/>
            <w:vAlign w:val="bottom"/>
          </w:tcPr>
          <w:p>
            <w:pPr>
              <w:spacing w:after="0"/>
              <w:rPr>
                <w:sz w:val="16"/>
                <w:szCs w:val="16"/>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nil</w:t>
            </w: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3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decrease in income tax expense for the three months ended December 28, 2024, as compared to the three months ended December 30, 2023, is attributable to a decrease in our international tax pretax book profit and corresponding impacts on our international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and free cash flow, as discussed below.</w:t>
      </w:r>
    </w:p>
    <w:p>
      <w:pPr>
        <w:spacing w:after="0" w:line="13"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3" w:lineRule="exact"/>
        <w:rPr>
          <w:sz w:val="20"/>
          <w:szCs w:val="20"/>
          <w:color w:val="auto"/>
        </w:rPr>
      </w:pPr>
    </w:p>
    <w:p>
      <w:pPr>
        <w:ind w:right="400" w:firstLine="255"/>
        <w:spacing w:after="0" w:line="284" w:lineRule="auto"/>
        <w:rPr>
          <w:sz w:val="20"/>
          <w:szCs w:val="20"/>
          <w:color w:val="auto"/>
        </w:rPr>
      </w:pPr>
      <w:r>
        <w:rPr>
          <w:rFonts w:ascii="Times New Roman" w:cs="Times New Roman" w:eastAsia="Times New Roman" w:hAnsi="Times New Roman"/>
          <w:sz w:val="14"/>
          <w:szCs w:val="14"/>
          <w:color w:val="auto"/>
        </w:rPr>
        <w:t>The non-GAAP financial measures do not replace the presentation of our GAAP financial measures and should only be used as a supplement to, not as a substitute for, our financial results presented in accordance with GAAP.</w:t>
      </w:r>
    </w:p>
    <w:p>
      <w:pPr>
        <w:spacing w:after="0" w:line="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joint venture formation fees; business combination transaction expenses; internal control remediation; equity method investment; and other infrequent items that may arise from time to time.</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non-GAAP adjustments, and our basis for excluding them from our non-GAAP financial measures, are outlined below:</w:t>
      </w:r>
    </w:p>
    <w:p>
      <w:pPr>
        <w:spacing w:after="0" w:line="49" w:lineRule="exact"/>
        <w:rPr>
          <w:sz w:val="20"/>
          <w:szCs w:val="20"/>
          <w:color w:val="auto"/>
        </w:rPr>
      </w:pPr>
    </w:p>
    <w:p>
      <w:pPr>
        <w:ind w:left="260" w:right="140" w:hanging="255"/>
        <w:spacing w:after="0" w:line="265"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Stock-based compensation </w:t>
      </w:r>
      <w:r>
        <w:rPr>
          <w:rFonts w:ascii="Times New Roman" w:cs="Times New Roman" w:eastAsia="Times New Roman" w:hAnsi="Times New Roman"/>
          <w:sz w:val="14"/>
          <w:szCs w:val="14"/>
          <w:color w:val="auto"/>
        </w:rPr>
        <w:t>– Although stock-based compensation is an important aspect of the compensation paid to our employees, the grant date fair value varies based on the derived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w:t>
      </w:r>
    </w:p>
    <w:p>
      <w:pPr>
        <w:spacing w:after="0" w:line="10" w:lineRule="exact"/>
        <w:rPr>
          <w:rFonts w:ascii="Times New Roman" w:cs="Times New Roman" w:eastAsia="Times New Roman" w:hAnsi="Times New Roman"/>
          <w:sz w:val="14"/>
          <w:szCs w:val="14"/>
          <w:color w:val="auto"/>
        </w:rPr>
      </w:pPr>
    </w:p>
    <w:p>
      <w:pPr>
        <w:ind w:left="260" w:right="60" w:hanging="255"/>
        <w:spacing w:after="0" w:line="262" w:lineRule="auto"/>
        <w:tabs>
          <w:tab w:leader="none" w:pos="25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Business combination transaction expenses </w:t>
      </w:r>
      <w:r>
        <w:rPr>
          <w:rFonts w:ascii="Times New Roman" w:cs="Times New Roman" w:eastAsia="Times New Roman" w:hAnsi="Times New Roman"/>
          <w:sz w:val="14"/>
          <w:szCs w:val="14"/>
          <w:color w:val="auto"/>
        </w:rPr>
        <w:t>– Business combination transaction expenses represent the expenses incurred related to strategic acquisition opportunities. It primarily includes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to prior periods and to peer companies because such amounts vary significantly based on the magnitude of the transaction and do not reflect our core operations.</w:t>
      </w:r>
    </w:p>
    <w:p>
      <w:pPr>
        <w:spacing w:after="0" w:line="12" w:lineRule="exact"/>
        <w:rPr>
          <w:rFonts w:ascii="Times New Roman" w:cs="Times New Roman" w:eastAsia="Times New Roman" w:hAnsi="Times New Roman"/>
          <w:sz w:val="14"/>
          <w:szCs w:val="14"/>
          <w:b w:val="1"/>
          <w:bCs w:val="1"/>
          <w:color w:val="auto"/>
        </w:rPr>
      </w:pPr>
    </w:p>
    <w:p>
      <w:pPr>
        <w:ind w:left="260" w:right="180" w:hanging="255"/>
        <w:spacing w:after="0" w:line="271" w:lineRule="auto"/>
        <w:tabs>
          <w:tab w:leader="none" w:pos="25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Equity method investment </w:t>
      </w:r>
      <w:r>
        <w:rPr>
          <w:rFonts w:ascii="Times New Roman" w:cs="Times New Roman" w:eastAsia="Times New Roman" w:hAnsi="Times New Roman"/>
          <w:sz w:val="14"/>
          <w:szCs w:val="14"/>
          <w:color w:val="auto"/>
        </w:rPr>
        <w:t>– Equity method investment represents our proportionate share of income or loss of unconsolidated variable interest entities. We exclude this from our non-GAAP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measures to provide a useful comparison of our operating results to prior periods and to our peer companies because such amounts are not representative of our normal operating activities.</w:t>
      </w:r>
    </w:p>
    <w:p>
      <w:pPr>
        <w:spacing w:after="0" w:line="6" w:lineRule="exact"/>
        <w:rPr>
          <w:rFonts w:ascii="Times New Roman" w:cs="Times New Roman" w:eastAsia="Times New Roman" w:hAnsi="Times New Roman"/>
          <w:sz w:val="14"/>
          <w:szCs w:val="14"/>
          <w:b w:val="1"/>
          <w:bCs w:val="1"/>
          <w:color w:val="auto"/>
        </w:rPr>
      </w:pPr>
    </w:p>
    <w:p>
      <w:pPr>
        <w:jc w:val="both"/>
        <w:ind w:left="260" w:right="260" w:hanging="255"/>
        <w:spacing w:after="0" w:line="271" w:lineRule="auto"/>
        <w:tabs>
          <w:tab w:leader="none" w:pos="2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Internal control remediation </w:t>
      </w:r>
      <w:r>
        <w:rPr>
          <w:rFonts w:ascii="Times New Roman" w:cs="Times New Roman" w:eastAsia="Times New Roman" w:hAnsi="Times New Roman"/>
          <w:sz w:val="14"/>
          <w:szCs w:val="14"/>
          <w:color w:val="auto"/>
        </w:rPr>
        <w:t>– Internal control remediation costs represent professional services fees related to the Company’s efforts to remediate internal control material weaknesses.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excluded these fees from our non-GAAP financial measures to provide a useful comparison of our operating results to prior periods and to our peer companies because such amounts are not representative of our normal operating activities.</w:t>
      </w:r>
    </w:p>
    <w:p>
      <w:pPr>
        <w:spacing w:after="0" w:line="6" w:lineRule="exact"/>
        <w:rPr>
          <w:rFonts w:ascii="Times New Roman" w:cs="Times New Roman" w:eastAsia="Times New Roman" w:hAnsi="Times New Roman"/>
          <w:sz w:val="14"/>
          <w:szCs w:val="14"/>
          <w:color w:val="auto"/>
        </w:rPr>
      </w:pPr>
    </w:p>
    <w:p>
      <w:pPr>
        <w:ind w:left="260" w:hanging="255"/>
        <w:spacing w:after="0" w:line="265" w:lineRule="auto"/>
        <w:tabs>
          <w:tab w:leader="none" w:pos="25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Joint venture formation fees </w:t>
      </w:r>
      <w:r>
        <w:rPr>
          <w:rFonts w:ascii="Times New Roman" w:cs="Times New Roman" w:eastAsia="Times New Roman" w:hAnsi="Times New Roman"/>
          <w:sz w:val="14"/>
          <w:szCs w:val="14"/>
          <w:color w:val="auto"/>
        </w:rPr>
        <w:t>– Joint venture formation fees represent the charges incurred associated with the formation of GreenBox, which was established on July 21, 2023. It primarily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GAAP net loss to Adjusted EBITDA for the three months ended December 28, 2024 and December 30, 2023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20" w:type="dxa"/>
            <w:vAlign w:val="bottom"/>
            <w:gridSpan w:val="4"/>
          </w:tcPr>
          <w:p>
            <w:pPr>
              <w:jc w:val="right"/>
              <w:ind w:right="117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7"/>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(19,072)</w:t>
            </w:r>
          </w:p>
        </w:tc>
      </w:tr>
      <w:tr>
        <w:trPr>
          <w:trHeight w:val="191"/>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r>
      <w:tr>
        <w:trPr>
          <w:trHeight w:val="32"/>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r>
      <w:tr>
        <w:trPr>
          <w:trHeight w:val="191"/>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r>
      <w:tr>
        <w:trPr>
          <w:trHeight w:val="32"/>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29,462</w:t>
            </w:r>
          </w:p>
        </w:tc>
      </w:tr>
      <w:tr>
        <w:trPr>
          <w:trHeight w:val="191"/>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 combination transaction expenses</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3"/>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method investment</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Internal control remediation</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7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Joint venture formation fees</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r>
      <w:tr>
        <w:trPr>
          <w:trHeight w:val="208"/>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8,067</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and stock-based compensation expense.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4"/>
          </w:tcPr>
          <w:p>
            <w:pPr>
              <w:jc w:val="right"/>
              <w:ind w:right="1190"/>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7"/>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20" w:type="dxa"/>
            <w:vAlign w:val="bottom"/>
          </w:tcPr>
          <w:p>
            <w:pPr>
              <w:spacing w:after="0"/>
              <w:rPr>
                <w:sz w:val="14"/>
                <w:szCs w:val="14"/>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80,039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64,057</w:t>
            </w:r>
          </w:p>
        </w:tc>
      </w:tr>
      <w:tr>
        <w:trPr>
          <w:trHeight w:val="191"/>
        </w:trPr>
        <w:tc>
          <w:tcPr>
            <w:tcW w:w="7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32"/>
        </w:trPr>
        <w:tc>
          <w:tcPr>
            <w:tcW w:w="7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7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r>
      <w:tr>
        <w:trPr>
          <w:trHeight w:val="208"/>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profit</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86,217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67,581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5"/>
        </w:trPr>
        <w:tc>
          <w:tcPr>
            <w:tcW w:w="7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0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margin</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16.4 %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17.8 %</w:t>
            </w:r>
          </w:p>
        </w:tc>
      </w:tr>
      <w:tr>
        <w:trPr>
          <w:trHeight w:val="191"/>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gross profit margin</w:t>
            </w:r>
          </w:p>
        </w:tc>
        <w:tc>
          <w:tcPr>
            <w:tcW w:w="220" w:type="dxa"/>
            <w:vAlign w:val="bottom"/>
          </w:tcPr>
          <w:p>
            <w:pPr>
              <w:spacing w:after="0"/>
              <w:rPr>
                <w:sz w:val="16"/>
                <w:szCs w:val="16"/>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18.8 %</w:t>
            </w:r>
          </w:p>
        </w:tc>
      </w:tr>
    </w:tbl>
    <w:p>
      <w:pPr>
        <w:spacing w:after="0" w:line="134"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4"/>
          </w:tcPr>
          <w:p>
            <w:pPr>
              <w:jc w:val="right"/>
              <w:ind w:right="121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7"/>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240" w:type="dxa"/>
            <w:vAlign w:val="bottom"/>
          </w:tcPr>
          <w:p>
            <w:pPr>
              <w:spacing w:after="0"/>
              <w:rPr>
                <w:sz w:val="14"/>
                <w:szCs w:val="14"/>
                <w:color w:val="auto"/>
              </w:rPr>
            </w:pPr>
          </w:p>
        </w:tc>
        <w:tc>
          <w:tcPr>
            <w:tcW w:w="158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December 30, 2023</w:t>
            </w:r>
          </w:p>
        </w:tc>
      </w:tr>
      <w:tr>
        <w:trPr>
          <w:trHeight w:val="26"/>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3"/>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(30,150)</w:t>
            </w:r>
          </w:p>
        </w:tc>
      </w:tr>
      <w:tr>
        <w:trPr>
          <w:trHeight w:val="191"/>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w:t>
            </w:r>
          </w:p>
        </w:tc>
      </w:tr>
      <w:tr>
        <w:trPr>
          <w:trHeight w:val="32"/>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Capitalization of internal use software development costs</w:t>
            </w:r>
          </w:p>
        </w:tc>
        <w:tc>
          <w:tcPr>
            <w:tcW w:w="2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197,670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(33,143)</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28, 2024, our principal sources of liquidity were cash received from customers upon the inception and continuation of contracts to install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shows net cash provided by (used in) operating activities, net cash provided by (used in) investing activities, and net cash provided by (used in) financing activities for the three months ended December 28, 2024 and December 30, 2023:</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3"/>
          </w:tcPr>
          <w:p>
            <w:pPr>
              <w:jc w:val="right"/>
              <w:ind w:right="1211"/>
              <w:spacing w:after="0"/>
              <w:rPr>
                <w:sz w:val="20"/>
                <w:szCs w:val="20"/>
                <w:color w:val="auto"/>
              </w:rPr>
            </w:pPr>
            <w:r>
              <w:rPr>
                <w:rFonts w:ascii="Times New Roman" w:cs="Times New Roman" w:eastAsia="Times New Roman" w:hAnsi="Times New Roman"/>
                <w:sz w:val="13"/>
                <w:szCs w:val="13"/>
                <w:b w:val="1"/>
                <w:bCs w:val="1"/>
                <w:color w:val="auto"/>
              </w:rPr>
              <w:t>Three Months Ended</w:t>
            </w:r>
          </w:p>
        </w:tc>
      </w:tr>
      <w:tr>
        <w:trPr>
          <w:trHeight w:val="26"/>
        </w:trPr>
        <w:tc>
          <w:tcPr>
            <w:tcW w:w="7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28, 2024</w:t>
            </w:r>
          </w:p>
        </w:tc>
        <w:tc>
          <w:tcPr>
            <w:tcW w:w="420" w:type="dxa"/>
            <w:vAlign w:val="bottom"/>
          </w:tcPr>
          <w:p>
            <w:pPr>
              <w:spacing w:after="0"/>
              <w:rPr>
                <w:sz w:val="14"/>
                <w:szCs w:val="14"/>
                <w:color w:val="auto"/>
              </w:rPr>
            </w:pPr>
          </w:p>
        </w:tc>
        <w:tc>
          <w:tcPr>
            <w:tcW w:w="146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r>
      <w:tr>
        <w:trPr>
          <w:trHeight w:val="26"/>
        </w:trPr>
        <w:tc>
          <w:tcPr>
            <w:tcW w:w="7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67"/>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(in thousands)</w:t>
            </w:r>
          </w:p>
        </w:tc>
        <w:tc>
          <w:tcPr>
            <w:tcW w:w="1460" w:type="dxa"/>
            <w:vAlign w:val="bottom"/>
          </w:tcPr>
          <w:p>
            <w:pPr>
              <w:spacing w:after="0"/>
              <w:rPr>
                <w:sz w:val="14"/>
                <w:szCs w:val="14"/>
                <w:color w:val="auto"/>
              </w:rPr>
            </w:pPr>
          </w:p>
        </w:tc>
      </w:tr>
      <w:tr>
        <w:trPr>
          <w:trHeight w:val="26"/>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24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1"/>
        </w:trPr>
        <w:tc>
          <w:tcPr>
            <w:tcW w:w="7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205,027</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(30,150)</w:t>
            </w:r>
          </w:p>
        </w:tc>
      </w:tr>
      <w:tr>
        <w:trPr>
          <w:trHeight w:val="32"/>
        </w:trPr>
        <w:tc>
          <w:tcPr>
            <w:tcW w:w="7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7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Investing activities</w:t>
            </w: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(25,349)</w:t>
            </w:r>
          </w:p>
        </w:tc>
        <w:tc>
          <w:tcPr>
            <w:tcW w:w="42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98,690</w:t>
            </w:r>
          </w:p>
        </w:tc>
      </w:tr>
      <w:tr>
        <w:trPr>
          <w:trHeight w:val="191"/>
        </w:trPr>
        <w:tc>
          <w:tcPr>
            <w:tcW w:w="7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Financing activities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158,646</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5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net cash provided by (used in)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cash provided by operating activities was $205.0 million during the three months ended December 28, 2024. Net cash provided by operating activities was primarily due to our net loss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$18.5 million adjusted for non-cash items of $35.3 million, primarily consisting of $7.6 million depreciation and amortization and $26.8 million stock-based compensation, offset by cash provided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assets and liabilities of $188.3 million. Cash provided by operating assets and liabilities of $188.3 million was primarily driven by net working capital changes, including timing of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to vendors and cash receipts from customers, an increase in inventory purchases to meet our installation timeline for our customers’ upcoming System installations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Walmart MAA and other customer contracts, as well as an increase in deferred revenue resulting from an increase in the number of active System Deployments.</w:t>
      </w:r>
    </w:p>
    <w:p>
      <w:pPr>
        <w:spacing w:after="0" w:line="37"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Net cash used in operating activities was $30.2 million during the three months ended December 30, 2023. Net cash used in operating activities was primarily due to our net loss of $19.1 million adjusted for non-cash items of $32.8 million, primarily consisting of $3.2 million depreciation and amortization and $29.5 million stock-based compensation, in addition to cash used in operating assets and liabilities of $43.8 million. Cash used in operating assets and liabilities of $43.8 million was primarily driven by net working capital changes, including the timing of cash payments to vendors and cash receipts from customers.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53" w:lineRule="exact"/>
        <w:rPr>
          <w:sz w:val="20"/>
          <w:szCs w:val="20"/>
          <w:color w:val="auto"/>
        </w:rPr>
      </w:pPr>
    </w:p>
    <w:p>
      <w:pPr>
        <w:ind w:right="20" w:firstLine="255"/>
        <w:spacing w:after="0" w:line="284" w:lineRule="auto"/>
        <w:rPr>
          <w:sz w:val="20"/>
          <w:szCs w:val="20"/>
          <w:color w:val="auto"/>
        </w:rPr>
      </w:pPr>
      <w:r>
        <w:rPr>
          <w:rFonts w:ascii="Times New Roman" w:cs="Times New Roman" w:eastAsia="Times New Roman" w:hAnsi="Times New Roman"/>
          <w:sz w:val="14"/>
          <w:szCs w:val="14"/>
          <w:color w:val="auto"/>
        </w:rPr>
        <w:t>Our investing activities have consisted primarily of property and equipment purchases, capitalization of internal use software development costs, purchases of marketable securities, and proceeds from maturities of marketable securities.</w:t>
      </w:r>
    </w:p>
    <w:p>
      <w:pPr>
        <w:spacing w:after="0" w:line="1" w:lineRule="exact"/>
        <w:rPr>
          <w:sz w:val="20"/>
          <w:szCs w:val="20"/>
          <w:color w:val="auto"/>
        </w:rPr>
      </w:pPr>
    </w:p>
    <w:p>
      <w:pPr>
        <w:ind w:right="240" w:firstLine="255"/>
        <w:spacing w:after="0" w:line="284" w:lineRule="auto"/>
        <w:rPr>
          <w:sz w:val="20"/>
          <w:szCs w:val="20"/>
          <w:color w:val="auto"/>
        </w:rPr>
      </w:pPr>
      <w:r>
        <w:rPr>
          <w:rFonts w:ascii="Times New Roman" w:cs="Times New Roman" w:eastAsia="Times New Roman" w:hAnsi="Times New Roman"/>
          <w:sz w:val="14"/>
          <w:szCs w:val="14"/>
          <w:color w:val="auto"/>
        </w:rPr>
        <w:t>Net cash and cash equivalents used in investing activities during the three months ended December 28, 2024 consisted of $7.4 million of purchased property and equipment and $18.0 million related to acquisitions of strategic investments, which includes our investment in GreenBox.</w:t>
      </w:r>
    </w:p>
    <w:p>
      <w:pPr>
        <w:spacing w:after="0" w:line="1"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Net cash and cash equivalents provided by investing activities during the three months ended December 30, 2023 is primarily driven by $150.0 million in proceeds upon the maturity of certain U.S. Treasury securities, offset by purchases of U.S. Treasury securities of $48.3 million and purchases of property and equipment of $2.2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53" w:lineRule="exact"/>
        <w:rPr>
          <w:sz w:val="20"/>
          <w:szCs w:val="20"/>
          <w:color w:val="auto"/>
        </w:rPr>
      </w:pPr>
    </w:p>
    <w:p>
      <w:pPr>
        <w:ind w:right="400" w:firstLine="255"/>
        <w:spacing w:after="0" w:line="284" w:lineRule="auto"/>
        <w:rPr>
          <w:sz w:val="20"/>
          <w:szCs w:val="20"/>
          <w:color w:val="auto"/>
        </w:rPr>
      </w:pPr>
      <w:r>
        <w:rPr>
          <w:rFonts w:ascii="Times New Roman" w:cs="Times New Roman" w:eastAsia="Times New Roman" w:hAnsi="Times New Roman"/>
          <w:sz w:val="14"/>
          <w:szCs w:val="14"/>
          <w:color w:val="auto"/>
        </w:rPr>
        <w:t>Our financing activities typically consist of payments and proceeds related to our equity incentive plans for both RSUs and ESPP, and also include proceeds from the exercise of the vested warrants issued to Walmart.</w:t>
      </w:r>
    </w:p>
    <w:p>
      <w:pPr>
        <w:spacing w:after="0" w:line="1"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28, 2024, we paid taxes of $3.0 million related to net share settlement of RSUs and we also paid $0.9 million in distributions to or on behalf of Symbotic Holdings partners to fund all or part of their tax obligations with respect to the taxable income of Symbotic Holdings that is allocated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30, 2023, we received cash of $158.7 million upon the gross exercise of Walmart’s vested warrant, which occurred in December 2023. No other significant financing activities occurred during the three months ended December 30,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Obligations and Commitments and Liquidity Outlook</w:t>
      </w:r>
    </w:p>
    <w:p>
      <w:pPr>
        <w:spacing w:after="0" w:line="53"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Our cash flows from operations along with equity infusions have historically been sufficient to fund our operating activities and other cash requirements. As of December 28, 2024, we have a cash and cash equivalents balance of $903.0 million. Our cash requirements for the three months ended December 28, 2024 were primarily related to inventory purchases in order to deliver our Systems to our customers in an orderly manner in line with our installation timeline, and acquisitions of strategic investments to expand our investment profile.</w:t>
      </w:r>
    </w:p>
    <w:p>
      <w:pPr>
        <w:spacing w:after="0" w:line="8"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and minimum contractual obligations. Contractual obligations are cash that we are obligated to pay as part of certain contracts that we have entered into during our course of business. Our contractual obligations consist of operating lease liabilities that are included in our consolidated balance sheet and vendor commitments associated with agreements that are legally binding. Our operating lease cash requirements have not changed materially since September 28, 2024, and are disclosed within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included elsewhere in this Quarterly Report on Form 10-Q.</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current and long-term material cash requirements as of December 28, 2024 for our vendor commitments: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Payments due in:</w:t>
            </w:r>
          </w:p>
        </w:tc>
        <w:tc>
          <w:tcPr>
            <w:tcW w:w="1500" w:type="dxa"/>
            <w:vAlign w:val="bottom"/>
          </w:tcPr>
          <w:p>
            <w:pPr>
              <w:spacing w:after="0"/>
              <w:rPr>
                <w:sz w:val="14"/>
                <w:szCs w:val="14"/>
                <w:color w:val="auto"/>
              </w:rPr>
            </w:pPr>
          </w:p>
        </w:tc>
      </w:tr>
      <w:tr>
        <w:trPr>
          <w:trHeight w:val="26"/>
        </w:trPr>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7"/>
        </w:trPr>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40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320" w:type="dxa"/>
            <w:vAlign w:val="bottom"/>
          </w:tcPr>
          <w:p>
            <w:pPr>
              <w:spacing w:after="0"/>
              <w:rPr>
                <w:sz w:val="14"/>
                <w:szCs w:val="14"/>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32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5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More than 5 Years</w:t>
            </w:r>
          </w:p>
        </w:tc>
      </w:tr>
      <w:tr>
        <w:trPr>
          <w:trHeight w:val="26"/>
        </w:trPr>
        <w:tc>
          <w:tcPr>
            <w:tcW w:w="3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7"/>
        </w:trPr>
        <w:tc>
          <w:tcPr>
            <w:tcW w:w="3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 thousands)</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6"/>
        </w:trPr>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Vendor commitments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1,265,047</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1,255,380</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9,667</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3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There have been no significant changes in our critical accounting policies and estimates during the three months ended December 28, 2024 as compared to the critical accounting policies and estimates disclosed in the audited consolidated financial statements and related notes thereto as of and for the year ended September 28, 2024, which are included within the Annual Report on Form 10-K filed with the SEC on December 4, 2024.</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28, 2024, we had no off-balance sheet arrangements as defined in Instruction 8 to Item 303(b) of Regulation 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ind w:right="480" w:firstLine="255"/>
        <w:spacing w:after="0" w:line="283" w:lineRule="auto"/>
        <w:rPr>
          <w:sz w:val="20"/>
          <w:szCs w:val="20"/>
          <w:color w:val="auto"/>
        </w:rPr>
      </w:pPr>
      <w:r>
        <w:rPr>
          <w:rFonts w:ascii="Times New Roman" w:cs="Times New Roman" w:eastAsia="Times New Roman" w:hAnsi="Times New Roman"/>
          <w:sz w:val="14"/>
          <w:szCs w:val="14"/>
          <w:color w:val="auto"/>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6"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our assessment of our sensitivity to market risk since our presentation set forth in Item 7A, “Quantitative and Qualitative Disclosures About Market Risk” in the Annual Report on Form 10-K filed with the SEC on December 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53"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 w:lineRule="exact"/>
        <w:rPr>
          <w:sz w:val="20"/>
          <w:szCs w:val="20"/>
          <w:color w:val="auto"/>
        </w:rPr>
      </w:pPr>
    </w:p>
    <w:p>
      <w:pPr>
        <w:ind w:right="60" w:firstLine="255"/>
        <w:spacing w:after="0" w:line="267" w:lineRule="auto"/>
        <w:rPr>
          <w:sz w:val="20"/>
          <w:szCs w:val="20"/>
          <w:color w:val="auto"/>
        </w:rPr>
      </w:pPr>
      <w:r>
        <w:rPr>
          <w:rFonts w:ascii="Times New Roman" w:cs="Times New Roman" w:eastAsia="Times New Roman" w:hAnsi="Times New Roman"/>
          <w:sz w:val="14"/>
          <w:szCs w:val="14"/>
          <w:color w:val="auto"/>
        </w:rPr>
        <w:t>Based on such evaluation, our Chief Executive Officer and Chief Financial Officer have concluded that as of December 28, 2024, our disclosure controls and procedures were not effective at the reasonable assurance level because of the existence of the material weaknesses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184"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As of December 28, 2024, the Company did not effectively design procedures and controls over the timing of cost of revenue recognition. This resulted in the acceleration of the recognition of cost of revenue. Given that we recognize revenue on a percentage of completion basis, this resulted in the acceleration of recognition of revenue. Additionally, the Company did not effectively design and execute controls over revenue recognition related to cost overruns on certain deployments that will not be billable. These deficiencies in internal control over financial reporting constituted material weaknesses as of December 28, 2024.</w:t>
      </w:r>
    </w:p>
    <w:p>
      <w:pPr>
        <w:spacing w:after="0" w:line="13"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these material weaknesses will not result in a misstatement to the annual or interim consolidated financial statements for future periods that would not be prevented or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53"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Subject to the steps taken in connection with the remediation plan noted below, there have been no changes in our internal control over financial reporting for the three months ended December 28, 2024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Material Weakness Remediation Plan</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Management has developed a remediation plan, which it began implementing as of the end of fiscal year 2024, that includes the following elements:</w:t>
      </w:r>
    </w:p>
    <w:p>
      <w:pPr>
        <w:spacing w:after="0" w:line="5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Augmented compensating controls over the receipt of goods and services, with a focus on milestone related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ERP system enhancements for goods and services receipts and enhanced documentation requirements for milestone related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Training of the employees and redesign of the structure of the organization receiving goods and services;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compensating controls over revenue recognition for non-billable cost overruns.</w:t>
      </w:r>
    </w:p>
    <w:p>
      <w:pPr>
        <w:spacing w:after="0" w:line="5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Management is committed to the completion of the remediation of these material weaknesses, and, as of February 5, 2025, had implemented all of the controls described above. These controls were tested in connection with management’s evaluation of the effectiveness of our disclosure controls and procedures as of December 28, 2024. No deficiencies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noted as part of that testing. We will continue to test these controls, including in connection with management’s evaluation of the effectiveness of our internal control over financial reporting as of the end of our current fiscal year.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determined to be remediated until the remediated controls operate for a sufficient period of time and management has concluded, through further testing, that these controls are operating effectively.</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 Matters</w:t>
      </w:r>
    </w:p>
    <w:p>
      <w:pPr>
        <w:spacing w:after="0" w:line="53" w:lineRule="exact"/>
        <w:rPr>
          <w:sz w:val="20"/>
          <w:szCs w:val="20"/>
          <w:color w:val="auto"/>
        </w:rPr>
      </w:pPr>
    </w:p>
    <w:p>
      <w:pPr>
        <w:ind w:right="340" w:firstLine="255"/>
        <w:spacing w:after="0" w:line="284" w:lineRule="auto"/>
        <w:rPr>
          <w:sz w:val="20"/>
          <w:szCs w:val="20"/>
          <w:color w:val="auto"/>
        </w:rPr>
      </w:pPr>
      <w:r>
        <w:rPr>
          <w:rFonts w:ascii="Times New Roman" w:cs="Times New Roman" w:eastAsia="Times New Roman" w:hAnsi="Times New Roman"/>
          <w:sz w:val="14"/>
          <w:szCs w:val="14"/>
          <w:color w:val="auto"/>
        </w:rPr>
        <w:t>We have been responding to requests for information from the SEC relating to an investigation by the SEC of alleged violations by us of Rule 21F-17, which prohibits actions to impede communications directly with the SEC staff about a possible securities law violation. We intend to continue to defend this matter vigorously and cannot predict the outcome of this investigation.</w:t>
      </w:r>
    </w:p>
    <w:p>
      <w:pPr>
        <w:spacing w:after="0" w:line="1"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We have received a subpoena from the SEC relating to our November 2024 restatement of revenues for the year ended September 28, 2024 and certain other matters. We are cooperating with the SEC with respect to this matter.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w:t>
      </w:r>
    </w:p>
    <w:p>
      <w:pPr>
        <w:spacing w:after="0" w:line="5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On August 14, 2024, a putative class action captioned Fox v. Symbotic Inc. et al., Case No. 24-cv-12090 was filed in the United States District Court for the District of Massachusetts by an alleged holder of our common stock. The complaint asserts claims for violations of federal securities laws against us and two of our officers on the grounds that, among other things, we made false and/or misleading statements related to our expected earnings for the third quarter of fiscal year 2024. Based on these allegations, the plaintiff brings claims seeking unspecified damages, attorneys’ fees, expert fees, and other costs and relief on behalf of herself and a putative class of persons who purchased our stock between May 6, 2024 and July 29, 2024. On September 11, 2024, the court entered a stipulation staying the Company’s deadline to respond to the complaint until after a lead plaintiff has been appointed pursuant to the Private Securities Litigation Reform Act. As of February 3, 2025, a lead plaintiff has not been appointed. On December 20, 2024, the plaintiff filed a motion to consolidate this matter with another putative class action captioned Decker v. Symbotic Inc. et al. (further described below). As of February 3, 2025, the court has not yet ruled on the pending motion to consolidate.</w:t>
      </w:r>
    </w:p>
    <w:p>
      <w:pPr>
        <w:spacing w:after="0" w:line="19"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On December 3, 2024, a putative class action captioned Decker v. Symbotic Inc. et al., Case No. 24-cv-12976 was filed in the United States District Court for the District of Massachusetts by an alleged purchaser of our common stock. The complaint asserts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brings claims seeking unspecified damages, attorneys’ fees, expert fees, and other costs and relief on behalf of himself and a putative class of persons who purchased our stock between February 8, 2024 and November 26, 2024. The parties have filed a stipulation staying the Company’s deadline to respond to the complaint until after the pending motion to consolidate is resolved and a lead plaintiff has been appointed pursuant to the Private Securities Litigation Reform Act.</w:t>
      </w:r>
    </w:p>
    <w:p>
      <w:pPr>
        <w:spacing w:after="0" w:line="19" w:lineRule="exact"/>
        <w:rPr>
          <w:sz w:val="20"/>
          <w:szCs w:val="20"/>
          <w:color w:val="auto"/>
        </w:rPr>
      </w:pPr>
    </w:p>
    <w:p>
      <w:pPr>
        <w:jc w:val="both"/>
        <w:ind w:right="80" w:firstLine="255"/>
        <w:spacing w:after="0" w:line="270" w:lineRule="auto"/>
        <w:rPr>
          <w:sz w:val="20"/>
          <w:szCs w:val="20"/>
          <w:color w:val="auto"/>
        </w:rPr>
      </w:pPr>
      <w:r>
        <w:rPr>
          <w:rFonts w:ascii="Times New Roman" w:cs="Times New Roman" w:eastAsia="Times New Roman" w:hAnsi="Times New Roman"/>
          <w:sz w:val="14"/>
          <w:szCs w:val="14"/>
          <w:color w:val="auto"/>
        </w:rPr>
        <w:t>We intend to vigorously defend these cases. If a court ultimately determines that we are liable in either or both of these cases, we may be subject to substantial damages. We cannot predict with any degree of certainty the outcome of these matters or determine the extent of any potential liabilities. We also cannot provide an estimate of the possible loss or range of loss. Any adverse outcome in these matters could expose us to substantial damages that may have a material adverse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40" w:name="page41"/>
    <w:bookmarkEnd w:id="40"/>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340"/>
        <w:spacing w:after="0" w:line="287" w:lineRule="auto"/>
        <w:rPr>
          <w:sz w:val="20"/>
          <w:szCs w:val="20"/>
          <w:color w:val="auto"/>
        </w:rPr>
      </w:pPr>
      <w:r>
        <w:rPr>
          <w:rFonts w:ascii="Times New Roman" w:cs="Times New Roman" w:eastAsia="Times New Roman" w:hAnsi="Times New Roman"/>
          <w:sz w:val="14"/>
          <w:szCs w:val="14"/>
          <w:color w:val="auto"/>
        </w:rPr>
        <w:t>operations and cash flows. Despite the potential for significant damages, we do not believe, based on currently available information, that the outcome of these proceedings will have a material adverse effect on our financial condition, although the outcome could be material to our operating results for any particular period, depending, in part, upon the operating results for such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Shareholder Derivative Actions</w:t>
      </w:r>
    </w:p>
    <w:p>
      <w:pPr>
        <w:spacing w:after="0" w:line="5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On October 2, 2024, two putative shareholder derivative actions captioned Austen v. Cohen et al., 24-cv-12522 and Kukreja v. Cohen et al., 24-cv-12523 were filed in the United States District Court for the District of Massachusetts by our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also contend that the defendants wasted corporate assets by exposing us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Fox v. Symbotic securities class action lawsuit remain pending.</w:t>
      </w:r>
    </w:p>
    <w:p>
      <w:pPr>
        <w:spacing w:after="0" w:line="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intend to vigorously defend these cases. If a court ultimately determines that we are liable,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6" w:lineRule="exact"/>
        <w:rPr>
          <w:sz w:val="20"/>
          <w:szCs w:val="20"/>
          <w:color w:val="auto"/>
        </w:rPr>
      </w:pPr>
    </w:p>
    <w:p>
      <w:pPr>
        <w:ind w:right="220" w:firstLine="255"/>
        <w:spacing w:after="0" w:line="283" w:lineRule="auto"/>
        <w:rPr>
          <w:sz w:val="20"/>
          <w:szCs w:val="20"/>
          <w:color w:val="auto"/>
        </w:rPr>
      </w:pPr>
      <w:r>
        <w:rPr>
          <w:rFonts w:ascii="Times New Roman" w:cs="Times New Roman" w:eastAsia="Times New Roman" w:hAnsi="Times New Roman"/>
          <w:sz w:val="14"/>
          <w:szCs w:val="14"/>
          <w:color w:val="auto"/>
        </w:rPr>
        <w:t>We are subject to various risks and uncertainties in the course of our business. For a detailed discussion of these risks, please see the section in our Annual Report on Form 10-K filed with the SEC on December 4, 2024 titled “Risk Factors”. Any of the matters highlighted in those risk factors could adversely affect our business, results of operation and financial condition.</w:t>
      </w: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6" w:lineRule="exact"/>
        <w:rPr>
          <w:sz w:val="20"/>
          <w:szCs w:val="20"/>
          <w:color w:val="auto"/>
        </w:rPr>
      </w:pPr>
    </w:p>
    <w:p>
      <w:pPr>
        <w:ind w:right="160" w:firstLine="255"/>
        <w:spacing w:after="0" w:line="284" w:lineRule="auto"/>
        <w:rPr>
          <w:sz w:val="20"/>
          <w:szCs w:val="20"/>
          <w:color w:val="auto"/>
        </w:rPr>
      </w:pPr>
      <w:r>
        <w:rPr>
          <w:rFonts w:ascii="Times New Roman" w:cs="Times New Roman" w:eastAsia="Times New Roman" w:hAnsi="Times New Roman"/>
          <w:sz w:val="14"/>
          <w:szCs w:val="14"/>
          <w:color w:val="auto"/>
        </w:rPr>
        <w:t>During the fiscal quarter ended December 28, 2024, no director or officer, as defined in Rule 16a-1(f) under the Exchange Act, adopted or terminated a “Rule 10b5-1 trading arrangement” or a “non-Rule 10b5-1 trading arrangement,” as defined in Regulation S-K Item 408:</w:t>
      </w:r>
    </w:p>
    <w:p>
      <w:pPr>
        <w:spacing w:after="0" w:line="1" w:lineRule="exact"/>
        <w:rPr>
          <w:sz w:val="20"/>
          <w:szCs w:val="20"/>
          <w:color w:val="auto"/>
        </w:rPr>
      </w:pPr>
    </w:p>
    <w:p>
      <w:pPr>
        <w:ind w:right="160" w:firstLine="255"/>
        <w:spacing w:after="0" w:line="264" w:lineRule="auto"/>
        <w:rPr>
          <w:sz w:val="20"/>
          <w:szCs w:val="20"/>
          <w:color w:val="auto"/>
        </w:rPr>
      </w:pPr>
      <w:r>
        <w:rPr>
          <w:rFonts w:ascii="Times New Roman" w:cs="Times New Roman" w:eastAsia="Times New Roman" w:hAnsi="Times New Roman"/>
          <w:sz w:val="14"/>
          <w:szCs w:val="14"/>
          <w:color w:val="auto"/>
        </w:rPr>
        <w:t>Certain of our directors or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7" w:right="339" w:bottom="1440" w:gutter="0" w:footer="0" w:header="0"/>
        </w:sectPr>
      </w:pPr>
    </w:p>
    <w:bookmarkStart w:id="41" w:name="page42"/>
    <w:bookmarkEnd w:id="41"/>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Item 6. Exhibits</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5"/>
        </w:trPr>
        <w:tc>
          <w:tcPr>
            <w:tcW w:w="260" w:type="dxa"/>
            <w:vAlign w:val="bottom"/>
          </w:tcPr>
          <w:p>
            <w:pPr>
              <w:spacing w:after="0"/>
              <w:rPr>
                <w:sz w:val="22"/>
                <w:szCs w:val="22"/>
                <w:color w:val="auto"/>
              </w:rPr>
            </w:pPr>
          </w:p>
        </w:tc>
        <w:tc>
          <w:tcPr>
            <w:tcW w:w="794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The exhibits listed below are filed or incorporated by reference into this Report.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320" w:type="dxa"/>
            <w:vAlign w:val="bottom"/>
            <w:gridSpan w:val="5"/>
          </w:tcPr>
          <w:p>
            <w:pPr>
              <w:jc w:val="right"/>
              <w:ind w:right="649"/>
              <w:spacing w:after="0"/>
              <w:rPr>
                <w:sz w:val="20"/>
                <w:szCs w:val="20"/>
                <w:color w:val="auto"/>
              </w:rPr>
            </w:pPr>
            <w:r>
              <w:rPr>
                <w:rFonts w:ascii="Times New Roman" w:cs="Times New Roman" w:eastAsia="Times New Roman" w:hAnsi="Times New Roman"/>
                <w:sz w:val="14"/>
                <w:szCs w:val="14"/>
                <w:color w:val="auto"/>
              </w:rPr>
              <w:t>Incorporated by Reference</w:t>
            </w:r>
          </w:p>
        </w:tc>
      </w:tr>
      <w:tr>
        <w:trPr>
          <w:trHeight w:val="32"/>
        </w:trPr>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26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Exhibit</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180" w:type="dxa"/>
            <w:vAlign w:val="bottom"/>
            <w:gridSpan w:val="11"/>
          </w:tcPr>
          <w:p>
            <w:pPr>
              <w:ind w:left="1380"/>
              <w:spacing w:after="0"/>
              <w:rPr>
                <w:sz w:val="20"/>
                <w:szCs w:val="20"/>
                <w:color w:val="auto"/>
              </w:rPr>
            </w:pPr>
            <w:r>
              <w:rPr>
                <w:rFonts w:ascii="Times New Roman" w:cs="Times New Roman" w:eastAsia="Times New Roman" w:hAnsi="Times New Roman"/>
                <w:sz w:val="14"/>
                <w:szCs w:val="14"/>
                <w:color w:val="auto"/>
              </w:rPr>
              <w:t>Description</w:t>
            </w:r>
          </w:p>
        </w:tc>
        <w:tc>
          <w:tcPr>
            <w:tcW w:w="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Form</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Exhibit</w:t>
            </w:r>
          </w:p>
        </w:tc>
        <w:tc>
          <w:tcPr>
            <w:tcW w:w="11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Filing Date</w:t>
            </w:r>
          </w:p>
        </w:tc>
      </w:tr>
      <w:tr>
        <w:trPr>
          <w:trHeight w:val="32"/>
        </w:trPr>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0"/>
        </w:trPr>
        <w:tc>
          <w:tcPr>
            <w:tcW w:w="1240" w:type="dxa"/>
            <w:vAlign w:val="bottom"/>
            <w:gridSpan w:val="2"/>
          </w:tcPr>
          <w:p>
            <w:pPr>
              <w:ind w:left="28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3"/>
                <w:szCs w:val="13"/>
                <w:color w:val="auto"/>
              </w:rPr>
            </w:pPr>
          </w:p>
        </w:tc>
        <w:tc>
          <w:tcPr>
            <w:tcW w:w="6860" w:type="dxa"/>
            <w:vAlign w:val="bottom"/>
            <w:gridSpan w:val="14"/>
          </w:tcPr>
          <w:p>
            <w:pPr>
              <w:spacing w:after="0" w:line="150" w:lineRule="exact"/>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Purchase and Sale Agreement, by and between Walmart Inc. and Symbotic Inc., dated as of January 15, 2025</w:t>
              </w:r>
            </w:hyperlink>
          </w:p>
        </w:tc>
        <w:tc>
          <w:tcPr>
            <w:tcW w:w="62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0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116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color w:val="auto"/>
                <w:w w:val="98"/>
              </w:rPr>
              <w:t>1/16/2025</w:t>
            </w: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6860" w:type="dxa"/>
            <w:vAlign w:val="bottom"/>
            <w:gridSpan w:val="14"/>
          </w:tcPr>
          <w:p>
            <w:pPr>
              <w:spacing w:after="0"/>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Master Automation Agreement, by and between Walmart Inc. and Symbotic LLC, dated as of January 27, 2025.</w:t>
              </w:r>
            </w:hyperlink>
          </w:p>
        </w:tc>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8"/>
              </w:rPr>
              <w:t>1/28/2025</w:t>
            </w: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5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Consulting Agreement, dated October 31, 2024, between George Dramalis and Symbotic LLC</w:t>
            </w:r>
          </w:p>
        </w:tc>
        <w:tc>
          <w:tcPr>
            <w:tcW w:w="980" w:type="dxa"/>
            <w:vAlign w:val="bottom"/>
            <w:tcBorders>
              <w:top w:val="single" w:sz="8" w:color="0000FF"/>
            </w:tcBorders>
            <w:gridSpan w:val="3"/>
          </w:tcPr>
          <w:p>
            <w:pPr>
              <w:spacing w:after="0"/>
              <w:rPr>
                <w:sz w:val="17"/>
                <w:szCs w:val="17"/>
                <w:color w:val="auto"/>
              </w:rPr>
            </w:pPr>
          </w:p>
        </w:tc>
        <w:tc>
          <w:tcPr>
            <w:tcW w:w="52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67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Form of Restricted Stock Unit Award Agreement under the Symbotic Inc. 2022 Omnibus Incentive Compensation Plan</w:t>
            </w:r>
          </w:p>
        </w:tc>
        <w:tc>
          <w:tcPr>
            <w:tcW w:w="1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Form of Performance-Based Restricted Stock Unit Award Agreement under the Symbotic Inc. 2022 Omnibus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Incentive Compensation Plan</w:t>
            </w:r>
          </w:p>
        </w:tc>
        <w:tc>
          <w:tcPr>
            <w:tcW w:w="4520" w:type="dxa"/>
            <w:vAlign w:val="bottom"/>
            <w:tcBorders>
              <w:top w:val="single" w:sz="8" w:color="0000FF"/>
            </w:tcBorders>
            <w:gridSpan w:val="3"/>
          </w:tcPr>
          <w:p>
            <w:pPr>
              <w:spacing w:after="0"/>
              <w:rPr>
                <w:sz w:val="13"/>
                <w:szCs w:val="13"/>
                <w:color w:val="auto"/>
              </w:rPr>
            </w:pPr>
          </w:p>
        </w:tc>
        <w:tc>
          <w:tcPr>
            <w:tcW w:w="660" w:type="dxa"/>
            <w:vAlign w:val="bottom"/>
            <w:gridSpan w:val="8"/>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Rule 15d-14(a) of the Securities Exchange Act of</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7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1934, as amended</w:t>
            </w:r>
          </w:p>
        </w:tc>
        <w:tc>
          <w:tcPr>
            <w:tcW w:w="16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66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Rule 15d-14(a) of the Securities Exchange Act of</w:t>
            </w:r>
          </w:p>
        </w:tc>
        <w:tc>
          <w:tcPr>
            <w:tcW w:w="20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1934, as amended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6"/>
                <w:szCs w:val="16"/>
                <w:color w:val="auto"/>
              </w:rPr>
            </w:pPr>
          </w:p>
        </w:tc>
        <w:tc>
          <w:tcPr>
            <w:tcW w:w="6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w:t>
            </w:r>
          </w:p>
        </w:tc>
        <w:tc>
          <w:tcPr>
            <w:tcW w:w="14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40" w:type="dxa"/>
            <w:vAlign w:val="bottom"/>
            <w:gridSpan w:val="12"/>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6"/>
                <w:szCs w:val="16"/>
                <w:color w:val="auto"/>
              </w:rPr>
            </w:pPr>
          </w:p>
        </w:tc>
        <w:tc>
          <w:tcPr>
            <w:tcW w:w="6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w:t>
            </w:r>
          </w:p>
        </w:tc>
        <w:tc>
          <w:tcPr>
            <w:tcW w:w="180" w:type="dxa"/>
            <w:vAlign w:val="bottom"/>
            <w:gridSpan w:val="5"/>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0"/>
        </w:trPr>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Sarbanes-Oxley Act of 2002</w:t>
            </w:r>
          </w:p>
        </w:tc>
        <w:tc>
          <w:tcPr>
            <w:tcW w:w="5240" w:type="dxa"/>
            <w:vAlign w:val="bottom"/>
            <w:gridSpan w:val="12"/>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4"/>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686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9" w:lineRule="exact"/>
        <w:rPr>
          <w:sz w:val="20"/>
          <w:szCs w:val="20"/>
          <w:color w:val="auto"/>
        </w:rPr>
      </w:pPr>
    </w:p>
    <w:p>
      <w:pPr>
        <w:ind w:left="1340" w:right="3600" w:hanging="1066"/>
        <w:spacing w:after="0" w:line="303" w:lineRule="auto"/>
        <w:tabs>
          <w:tab w:leader="none" w:pos="134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with applicable taxonomy extension information contained in Exhibits 101.*)</w:t>
      </w:r>
    </w:p>
    <w:p>
      <w:pPr>
        <w:spacing w:after="0" w:line="81" w:lineRule="exact"/>
        <w:rPr>
          <w:rFonts w:ascii="Times New Roman" w:cs="Times New Roman" w:eastAsia="Times New Roman" w:hAnsi="Times New Roman"/>
          <w:sz w:val="14"/>
          <w:szCs w:val="14"/>
          <w:color w:val="auto"/>
        </w:rPr>
      </w:pPr>
    </w:p>
    <w:p>
      <w:pPr>
        <w:ind w:left="540" w:hanging="521"/>
        <w:spacing w:after="0"/>
        <w:tabs>
          <w:tab w:leader="none" w:pos="5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62" w:lineRule="exact"/>
        <w:rPr>
          <w:sz w:val="20"/>
          <w:szCs w:val="20"/>
          <w:color w:val="auto"/>
        </w:rPr>
      </w:pPr>
    </w:p>
    <w:p>
      <w:pPr>
        <w:ind w:left="540" w:right="560" w:hanging="521"/>
        <w:spacing w:after="0" w:line="287"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Item 1.01 of Form 8-K and Item 601(a)(5) of Regulation S-K. The Registrant agrees to furnish a copy of all omitted exhibits and schedules to the SEC upon its request.</w:t>
      </w:r>
    </w:p>
    <w:p>
      <w:pPr>
        <w:spacing w:after="0" w:line="7" w:lineRule="exact"/>
        <w:rPr>
          <w:rFonts w:ascii="Times New Roman" w:cs="Times New Roman" w:eastAsia="Times New Roman" w:hAnsi="Times New Roman"/>
          <w:sz w:val="14"/>
          <w:szCs w:val="14"/>
          <w:color w:val="auto"/>
        </w:rPr>
      </w:pPr>
    </w:p>
    <w:p>
      <w:pPr>
        <w:ind w:left="540" w:right="700" w:hanging="486"/>
        <w:spacing w:after="0" w:line="287" w:lineRule="auto"/>
        <w:tabs>
          <w:tab w:leader="none" w:pos="5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information contained in this document, marked by brackets and asterisks, has been omitted pursuant to Item 1.01 of Form 8-K and Item 601(b)(10)(iv) of Regulation S-K, because Symbotic customarily and actually treats such information as private or confidential and the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67" w:right="45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5, 2025</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Symbotic Inc.</w:t>
            </w:r>
          </w:p>
        </w:tc>
        <w:tc>
          <w:tcPr>
            <w:tcW w:w="5020" w:type="dxa"/>
            <w:vAlign w:val="bottom"/>
          </w:tcPr>
          <w:p>
            <w:pPr>
              <w:spacing w:after="0"/>
              <w:rPr>
                <w:sz w:val="16"/>
                <w:szCs w:val="16"/>
                <w:color w:val="auto"/>
              </w:rPr>
            </w:pPr>
          </w:p>
        </w:tc>
      </w:tr>
      <w:tr>
        <w:trPr>
          <w:trHeight w:val="435"/>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Maria G. Freve</w:t>
            </w:r>
          </w:p>
        </w:tc>
      </w:tr>
      <w:tr>
        <w:trPr>
          <w:trHeight w:val="32"/>
        </w:trPr>
        <w:tc>
          <w:tcPr>
            <w:tcW w:w="13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181"/>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Maria G. Freve</w:t>
            </w:r>
          </w:p>
        </w:tc>
      </w:tr>
      <w:tr>
        <w:trPr>
          <w:trHeight w:val="219"/>
        </w:trPr>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Controller and Chief Accounting Officer</w:t>
            </w:r>
          </w:p>
        </w:tc>
      </w:tr>
      <w:tr>
        <w:trPr>
          <w:trHeight w:val="184"/>
        </w:trPr>
        <w:tc>
          <w:tcPr>
            <w:tcW w:w="138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580"/>
          </w:cols>
          <w:pgMar w:left="300" w:top="167" w:right="1019" w:bottom="1440"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08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0565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02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05650" cy="5702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22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5722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716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5716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880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7023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7023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304800</wp:posOffset>
            </wp:positionV>
            <wp:extent cx="7102475" cy="10299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299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588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558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7102475"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56959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569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B. Cohen,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Quarterly Report on Form 10-Q for the fiscal quarter ended December 28, 2024 of Symbotic Inc.;</w:t>
      </w:r>
    </w:p>
    <w:p>
      <w:pPr>
        <w:spacing w:after="0" w:line="11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8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sz w:val="20"/>
          <w:szCs w:val="20"/>
          <w:color w:val="auto"/>
        </w:rPr>
      </w:pPr>
    </w:p>
    <w:p>
      <w:pPr>
        <w:ind w:left="520" w:right="60" w:hanging="260"/>
        <w:spacing w:after="0" w:line="303" w:lineRule="auto"/>
        <w:tabs>
          <w:tab w:leader="none" w:pos="5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319"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303" w:lineRule="auto"/>
        <w:tabs>
          <w:tab w:leader="none" w:pos="5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300" w:hanging="260"/>
        <w:spacing w:after="0" w:line="303"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520" w:right="360" w:hanging="260"/>
        <w:spacing w:after="0" w:line="303" w:lineRule="auto"/>
        <w:tabs>
          <w:tab w:leader="none" w:pos="5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1"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5, 2025</w:t>
            </w:r>
          </w:p>
        </w:tc>
        <w:tc>
          <w:tcPr>
            <w:tcW w:w="706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7"/>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0"/>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60"/>
          </w:cols>
          <w:pgMar w:left="320" w:top="1175"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Carol Hibbard,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 have reviewed this Quarterly Report on Form 10-Q for the fiscal quarter ended December 28, 2024 of Symbotic Inc.;</w:t>
      </w:r>
    </w:p>
    <w:p>
      <w:pPr>
        <w:spacing w:after="0" w:line="115"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sz w:val="20"/>
          <w:szCs w:val="20"/>
          <w:color w:val="auto"/>
        </w:rPr>
      </w:pPr>
    </w:p>
    <w:p>
      <w:pPr>
        <w:ind w:right="180"/>
        <w:spacing w:after="0" w:line="319" w:lineRule="auto"/>
        <w:rPr>
          <w:sz w:val="20"/>
          <w:szCs w:val="20"/>
          <w:color w:val="auto"/>
        </w:rPr>
      </w:pPr>
      <w:r>
        <w:rPr>
          <w:rFonts w:ascii="Times New Roman" w:cs="Times New Roman" w:eastAsia="Times New Roman" w:hAnsi="Times New Roman"/>
          <w:sz w:val="14"/>
          <w:szCs w:val="14"/>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sz w:val="20"/>
          <w:szCs w:val="20"/>
          <w:color w:val="auto"/>
        </w:rPr>
      </w:pPr>
    </w:p>
    <w:p>
      <w:pPr>
        <w:ind w:right="40"/>
        <w:spacing w:after="0" w:line="303" w:lineRule="auto"/>
        <w:rPr>
          <w:sz w:val="20"/>
          <w:szCs w:val="20"/>
          <w:color w:val="auto"/>
        </w:rPr>
      </w:pPr>
      <w:r>
        <w:rPr>
          <w:rFonts w:ascii="Times New Roman" w:cs="Times New Roman" w:eastAsia="Times New Roman" w:hAnsi="Times New Roman"/>
          <w:sz w:val="14"/>
          <w:szCs w:val="14"/>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sz w:val="20"/>
          <w:szCs w:val="20"/>
          <w:color w:val="auto"/>
        </w:rPr>
      </w:pPr>
    </w:p>
    <w:p>
      <w:pPr>
        <w:ind w:left="520" w:right="80" w:hanging="260"/>
        <w:spacing w:after="0" w:line="303" w:lineRule="auto"/>
        <w:tabs>
          <w:tab w:leader="none" w:pos="5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right="500" w:hanging="260"/>
        <w:spacing w:after="0" w:line="319"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520" w:right="680" w:hanging="260"/>
        <w:spacing w:after="0" w:line="303" w:lineRule="auto"/>
        <w:tabs>
          <w:tab w:leader="none" w:pos="5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520" w:right="320" w:hanging="260"/>
        <w:spacing w:after="0" w:line="303"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4"/>
          <w:szCs w:val="14"/>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520" w:right="360" w:hanging="260"/>
        <w:spacing w:after="0" w:line="303" w:lineRule="auto"/>
        <w:tabs>
          <w:tab w:leader="none" w:pos="5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141"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5, 2025</w:t>
            </w:r>
          </w:p>
        </w:tc>
        <w:tc>
          <w:tcPr>
            <w:tcW w:w="732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 /s/ Carol Hibbard</w:t>
            </w:r>
          </w:p>
        </w:tc>
      </w:tr>
      <w:tr>
        <w:trPr>
          <w:trHeight w:val="167"/>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Carol Hibbard</w:t>
            </w:r>
          </w:p>
        </w:tc>
      </w:tr>
      <w:tr>
        <w:trPr>
          <w:trHeight w:val="180"/>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3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60"/>
          </w:cols>
          <w:pgMar w:left="320" w:top="1175"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In connection with the Quarterly Report on Form 10-Q of Symbotic Inc. (the “Company”) for the fiscal quarter ended December 28, 2024,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5, 2025</w:t>
            </w:r>
          </w:p>
        </w:tc>
        <w:tc>
          <w:tcPr>
            <w:tcW w:w="706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By: /s/ Richard B. Cohen</w:t>
            </w:r>
          </w:p>
        </w:tc>
      </w:tr>
      <w:tr>
        <w:trPr>
          <w:trHeight w:val="167"/>
        </w:trPr>
        <w:tc>
          <w:tcPr>
            <w:tcW w:w="4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Richard B. Cohen</w:t>
            </w:r>
          </w:p>
        </w:tc>
      </w:tr>
      <w:tr>
        <w:trPr>
          <w:trHeight w:val="180"/>
        </w:trPr>
        <w:tc>
          <w:tcPr>
            <w:tcW w:w="4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and Chief Executive Officer</w:t>
            </w:r>
          </w:p>
        </w:tc>
      </w:tr>
      <w:tr>
        <w:trPr>
          <w:trHeight w:val="184"/>
        </w:trPr>
        <w:tc>
          <w:tcPr>
            <w:tcW w:w="42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41"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6"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In connection with the Quarterly Report on Form 10-Q of Symbotic Inc. (the “Company”) for the fiscal quarter ended December 28, 2024,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Report fully complies with the requirements of Section 13(a) or 15(d) of the Securities Exchange Act of 1934; 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5, 2025</w:t>
            </w:r>
          </w:p>
        </w:tc>
        <w:tc>
          <w:tcPr>
            <w:tcW w:w="7320" w:type="dxa"/>
            <w:vAlign w:val="bottom"/>
            <w:gridSpan w:val="2"/>
          </w:tcPr>
          <w:p>
            <w:pPr>
              <w:ind w:left="2640"/>
              <w:spacing w:after="0"/>
              <w:rPr>
                <w:sz w:val="20"/>
                <w:szCs w:val="20"/>
                <w:color w:val="auto"/>
              </w:rPr>
            </w:pPr>
            <w:r>
              <w:rPr>
                <w:rFonts w:ascii="Times New Roman" w:cs="Times New Roman" w:eastAsia="Times New Roman" w:hAnsi="Times New Roman"/>
                <w:sz w:val="14"/>
                <w:szCs w:val="14"/>
                <w:color w:val="auto"/>
              </w:rPr>
              <w:t>By: /s/ Carol Hibbard</w:t>
            </w:r>
          </w:p>
        </w:tc>
      </w:tr>
      <w:tr>
        <w:trPr>
          <w:trHeight w:val="167"/>
        </w:trPr>
        <w:tc>
          <w:tcPr>
            <w:tcW w:w="39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Carol Hibbard</w:t>
            </w:r>
          </w:p>
        </w:tc>
      </w:tr>
      <w:tr>
        <w:trPr>
          <w:trHeight w:val="180"/>
        </w:trPr>
        <w:tc>
          <w:tcPr>
            <w:tcW w:w="39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r>
        <w:trPr>
          <w:trHeight w:val="184"/>
        </w:trPr>
        <w:tc>
          <w:tcPr>
            <w:tcW w:w="3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pn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jpeg"/><Relationship Id="rId95" Type="http://schemas.openxmlformats.org/officeDocument/2006/relationships/image" Target="media/image86.jpeg"/><Relationship Id="rId96" Type="http://schemas.openxmlformats.org/officeDocument/2006/relationships/image" Target="media/image87.png"/><Relationship Id="rId97" Type="http://schemas.openxmlformats.org/officeDocument/2006/relationships/image" Target="media/image88.jpeg"/><Relationship Id="rId98" Type="http://schemas.openxmlformats.org/officeDocument/2006/relationships/image" Target="media/image89.jpe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png"/><Relationship Id="rId57" Type="http://schemas.openxmlformats.org/officeDocument/2006/relationships/hyperlink" Target="https://www.sec.gov/Archives/edgar/data/1837240/000119312525007370/d916752dex21.htm" TargetMode="External"/><Relationship Id="rId58" Type="http://schemas.openxmlformats.org/officeDocument/2006/relationships/hyperlink" Target="https://www.sec.gov/Archives/edgar/data/1837240/000119312525013845/d9054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2025-02-05T15:15:37Z</dcterms:created>
  <dcterms:modified xsi:type="dcterms:W3CDTF">2025-02-05T15:15:37Z</dcterms:modified>
</cp:coreProperties>
</file>