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193675</wp:posOffset>
            </wp:positionH>
            <wp:positionV relativeFrom="page">
              <wp:posOffset>1018540</wp:posOffset>
            </wp:positionV>
            <wp:extent cx="716153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2522855</wp:posOffset>
            </wp:positionH>
            <wp:positionV relativeFrom="paragraph">
              <wp:posOffset>196215</wp:posOffset>
            </wp:positionV>
            <wp:extent cx="212915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29155" cy="6985"/>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2522855</wp:posOffset>
            </wp:positionH>
            <wp:positionV relativeFrom="paragraph">
              <wp:posOffset>43815</wp:posOffset>
            </wp:positionV>
            <wp:extent cx="212915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29155" cy="698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79" w:lineRule="exact"/>
        <w:rPr>
          <w:sz w:val="24"/>
          <w:szCs w:val="24"/>
          <w:color w:val="auto"/>
        </w:rPr>
      </w:pPr>
    </w:p>
    <w:p>
      <w:pPr>
        <w:ind w:left="1000" w:hanging="581"/>
        <w:spacing w:after="0"/>
        <w:tabs>
          <w:tab w:leader="none" w:pos="10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December 27, 2025</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152" w:lineRule="exact"/>
        <w:rPr>
          <w:sz w:val="24"/>
          <w:szCs w:val="24"/>
          <w:color w:val="auto"/>
        </w:rPr>
      </w:pPr>
    </w:p>
    <w:p>
      <w:pPr>
        <w:ind w:left="4420" w:right="3080" w:hanging="4001"/>
        <w:spacing w:after="0" w:line="511" w:lineRule="auto"/>
        <w:tabs>
          <w:tab w:leader="none" w:pos="1002"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______ to</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120" w:type="dxa"/>
            <w:vAlign w:val="bottom"/>
          </w:tcPr>
          <w:p>
            <w:pPr>
              <w:spacing w:after="0"/>
              <w:rPr>
                <w:sz w:val="16"/>
                <w:szCs w:val="16"/>
                <w:color w:val="auto"/>
              </w:rPr>
            </w:pPr>
          </w:p>
        </w:tc>
        <w:tc>
          <w:tcPr>
            <w:tcW w:w="8160" w:type="dxa"/>
            <w:vAlign w:val="bottom"/>
          </w:tcPr>
          <w:p>
            <w:pPr>
              <w:jc w:val="center"/>
              <w:ind w:right="3022"/>
              <w:spacing w:after="0"/>
              <w:rPr>
                <w:sz w:val="20"/>
                <w:szCs w:val="20"/>
                <w:color w:val="auto"/>
              </w:rPr>
            </w:pPr>
            <w:r>
              <w:rPr>
                <w:rFonts w:ascii="Times New Roman" w:cs="Times New Roman" w:eastAsia="Times New Roman" w:hAnsi="Times New Roman"/>
                <w:sz w:val="14"/>
                <w:szCs w:val="14"/>
                <w:b w:val="1"/>
                <w:bCs w:val="1"/>
                <w:color w:val="auto"/>
              </w:rPr>
              <w:t>Commission file number 001-40175</w:t>
            </w:r>
          </w:p>
        </w:tc>
      </w:tr>
      <w:tr>
        <w:trPr>
          <w:trHeight w:val="681"/>
        </w:trPr>
        <w:tc>
          <w:tcPr>
            <w:tcW w:w="3120" w:type="dxa"/>
            <w:vAlign w:val="bottom"/>
          </w:tcPr>
          <w:p>
            <w:pPr>
              <w:spacing w:after="0"/>
              <w:rPr>
                <w:sz w:val="24"/>
                <w:szCs w:val="24"/>
                <w:color w:val="auto"/>
              </w:rPr>
            </w:pPr>
          </w:p>
        </w:tc>
        <w:tc>
          <w:tcPr>
            <w:tcW w:w="8160" w:type="dxa"/>
            <w:vAlign w:val="bottom"/>
          </w:tcPr>
          <w:p>
            <w:pPr>
              <w:jc w:val="center"/>
              <w:ind w:right="3022"/>
              <w:spacing w:after="0"/>
              <w:rPr>
                <w:sz w:val="20"/>
                <w:szCs w:val="20"/>
                <w:color w:val="auto"/>
              </w:rPr>
            </w:pPr>
            <w:r>
              <w:rPr>
                <w:rFonts w:ascii="Times New Roman" w:cs="Times New Roman" w:eastAsia="Times New Roman" w:hAnsi="Times New Roman"/>
                <w:sz w:val="25"/>
                <w:szCs w:val="25"/>
                <w:b w:val="1"/>
                <w:bCs w:val="1"/>
                <w:color w:val="auto"/>
              </w:rPr>
              <w:t>SYMBOTIC INC.</w:t>
            </w:r>
          </w:p>
        </w:tc>
      </w:tr>
      <w:tr>
        <w:trPr>
          <w:trHeight w:val="263"/>
        </w:trPr>
        <w:tc>
          <w:tcPr>
            <w:tcW w:w="3120" w:type="dxa"/>
            <w:vAlign w:val="bottom"/>
          </w:tcPr>
          <w:p>
            <w:pPr>
              <w:spacing w:after="0"/>
              <w:rPr>
                <w:sz w:val="22"/>
                <w:szCs w:val="22"/>
                <w:color w:val="auto"/>
              </w:rPr>
            </w:pPr>
          </w:p>
        </w:tc>
        <w:tc>
          <w:tcPr>
            <w:tcW w:w="8160" w:type="dxa"/>
            <w:vAlign w:val="bottom"/>
          </w:tcPr>
          <w:p>
            <w:pPr>
              <w:jc w:val="center"/>
              <w:ind w:right="3042"/>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280"/>
        </w:trPr>
        <w:tc>
          <w:tcPr>
            <w:tcW w:w="3120" w:type="dxa"/>
            <w:vAlign w:val="bottom"/>
          </w:tcPr>
          <w:p>
            <w:pPr>
              <w:jc w:val="center"/>
              <w:ind w:left="47"/>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8160" w:type="dxa"/>
            <w:vAlign w:val="bottom"/>
          </w:tcPr>
          <w:p>
            <w:pPr>
              <w:jc w:val="right"/>
              <w:ind w:right="1382"/>
              <w:spacing w:after="0"/>
              <w:rPr>
                <w:sz w:val="20"/>
                <w:szCs w:val="20"/>
                <w:color w:val="auto"/>
              </w:rPr>
            </w:pPr>
            <w:r>
              <w:rPr>
                <w:rFonts w:ascii="Times New Roman" w:cs="Times New Roman" w:eastAsia="Times New Roman" w:hAnsi="Times New Roman"/>
                <w:sz w:val="16"/>
                <w:szCs w:val="16"/>
                <w:b w:val="1"/>
                <w:bCs w:val="1"/>
                <w:color w:val="auto"/>
              </w:rPr>
              <w:t>98-1572401</w:t>
            </w:r>
          </w:p>
        </w:tc>
      </w:tr>
      <w:tr>
        <w:trPr>
          <w:trHeight w:val="198"/>
        </w:trPr>
        <w:tc>
          <w:tcPr>
            <w:tcW w:w="3120" w:type="dxa"/>
            <w:vAlign w:val="bottom"/>
          </w:tcPr>
          <w:p>
            <w:pPr>
              <w:jc w:val="center"/>
              <w:ind w:left="47"/>
              <w:spacing w:after="0"/>
              <w:rPr>
                <w:sz w:val="20"/>
                <w:szCs w:val="20"/>
                <w:color w:val="auto"/>
              </w:rPr>
            </w:pPr>
            <w:r>
              <w:rPr>
                <w:rFonts w:ascii="Times New Roman" w:cs="Times New Roman" w:eastAsia="Times New Roman" w:hAnsi="Times New Roman"/>
                <w:sz w:val="14"/>
                <w:szCs w:val="14"/>
                <w:color w:val="auto"/>
              </w:rPr>
              <w:t>(State or other jurisdiction of incorporation or</w:t>
            </w:r>
          </w:p>
        </w:tc>
        <w:tc>
          <w:tcPr>
            <w:tcW w:w="8160" w:type="dxa"/>
            <w:vAlign w:val="bottom"/>
          </w:tcPr>
          <w:p>
            <w:pPr>
              <w:jc w:val="center"/>
              <w:ind w:left="4422"/>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4"/>
        </w:trPr>
        <w:tc>
          <w:tcPr>
            <w:tcW w:w="3120" w:type="dxa"/>
            <w:vAlign w:val="bottom"/>
          </w:tcPr>
          <w:p>
            <w:pPr>
              <w:jc w:val="center"/>
              <w:ind w:left="47"/>
              <w:spacing w:after="0"/>
              <w:rPr>
                <w:sz w:val="20"/>
                <w:szCs w:val="20"/>
                <w:color w:val="auto"/>
              </w:rPr>
            </w:pPr>
            <w:r>
              <w:rPr>
                <w:rFonts w:ascii="Times New Roman" w:cs="Times New Roman" w:eastAsia="Times New Roman" w:hAnsi="Times New Roman"/>
                <w:sz w:val="14"/>
                <w:szCs w:val="14"/>
                <w:color w:val="auto"/>
              </w:rPr>
              <w:t>organization)</w:t>
            </w:r>
          </w:p>
        </w:tc>
        <w:tc>
          <w:tcPr>
            <w:tcW w:w="8160" w:type="dxa"/>
            <w:vAlign w:val="bottom"/>
          </w:tcPr>
          <w:p>
            <w:pPr>
              <w:spacing w:after="0"/>
              <w:rPr>
                <w:sz w:val="16"/>
                <w:szCs w:val="16"/>
                <w:color w:val="auto"/>
              </w:rPr>
            </w:pPr>
          </w:p>
        </w:tc>
      </w:tr>
      <w:tr>
        <w:trPr>
          <w:trHeight w:val="230"/>
        </w:trPr>
        <w:tc>
          <w:tcPr>
            <w:tcW w:w="3120" w:type="dxa"/>
            <w:vAlign w:val="bottom"/>
          </w:tcPr>
          <w:p>
            <w:pPr>
              <w:spacing w:after="0"/>
              <w:rPr>
                <w:sz w:val="20"/>
                <w:szCs w:val="20"/>
                <w:color w:val="auto"/>
              </w:rPr>
            </w:pPr>
          </w:p>
        </w:tc>
        <w:tc>
          <w:tcPr>
            <w:tcW w:w="8160" w:type="dxa"/>
            <w:vAlign w:val="bottom"/>
          </w:tcPr>
          <w:p>
            <w:pPr>
              <w:jc w:val="center"/>
              <w:ind w:right="3022"/>
              <w:spacing w:after="0"/>
              <w:rPr>
                <w:sz w:val="20"/>
                <w:szCs w:val="20"/>
                <w:color w:val="auto"/>
              </w:rPr>
            </w:pPr>
            <w:r>
              <w:rPr>
                <w:rFonts w:ascii="Times New Roman" w:cs="Times New Roman" w:eastAsia="Times New Roman" w:hAnsi="Times New Roman"/>
                <w:sz w:val="16"/>
                <w:szCs w:val="16"/>
                <w:b w:val="1"/>
                <w:bCs w:val="1"/>
                <w:color w:val="auto"/>
                <w:w w:val="97"/>
              </w:rPr>
              <w:t>200 Research Drive</w:t>
            </w:r>
          </w:p>
        </w:tc>
      </w:tr>
      <w:tr>
        <w:trPr>
          <w:trHeight w:val="191"/>
        </w:trPr>
        <w:tc>
          <w:tcPr>
            <w:tcW w:w="3120" w:type="dxa"/>
            <w:vAlign w:val="bottom"/>
          </w:tcPr>
          <w:p>
            <w:pPr>
              <w:spacing w:after="0"/>
              <w:rPr>
                <w:sz w:val="16"/>
                <w:szCs w:val="16"/>
                <w:color w:val="auto"/>
              </w:rPr>
            </w:pPr>
          </w:p>
        </w:tc>
        <w:tc>
          <w:tcPr>
            <w:tcW w:w="8160" w:type="dxa"/>
            <w:vAlign w:val="bottom"/>
          </w:tcPr>
          <w:p>
            <w:pPr>
              <w:jc w:val="center"/>
              <w:ind w:right="3022"/>
              <w:spacing w:after="0"/>
              <w:rPr>
                <w:sz w:val="20"/>
                <w:szCs w:val="20"/>
                <w:color w:val="auto"/>
              </w:rPr>
            </w:pPr>
            <w:r>
              <w:rPr>
                <w:rFonts w:ascii="Times New Roman" w:cs="Times New Roman" w:eastAsia="Times New Roman" w:hAnsi="Times New Roman"/>
                <w:sz w:val="16"/>
                <w:szCs w:val="16"/>
                <w:b w:val="1"/>
                <w:bCs w:val="1"/>
                <w:color w:val="auto"/>
                <w:w w:val="95"/>
              </w:rPr>
              <w:t>Wilmington, MA 01887</w:t>
            </w:r>
          </w:p>
        </w:tc>
      </w:tr>
      <w:tr>
        <w:trPr>
          <w:trHeight w:val="205"/>
        </w:trPr>
        <w:tc>
          <w:tcPr>
            <w:tcW w:w="3120" w:type="dxa"/>
            <w:vAlign w:val="bottom"/>
          </w:tcPr>
          <w:p>
            <w:pPr>
              <w:spacing w:after="0"/>
              <w:rPr>
                <w:sz w:val="17"/>
                <w:szCs w:val="17"/>
                <w:color w:val="auto"/>
              </w:rPr>
            </w:pPr>
          </w:p>
        </w:tc>
        <w:tc>
          <w:tcPr>
            <w:tcW w:w="8160" w:type="dxa"/>
            <w:vAlign w:val="bottom"/>
          </w:tcPr>
          <w:p>
            <w:pPr>
              <w:jc w:val="center"/>
              <w:ind w:right="3022"/>
              <w:spacing w:after="0"/>
              <w:rPr>
                <w:sz w:val="20"/>
                <w:szCs w:val="20"/>
                <w:color w:val="auto"/>
              </w:rPr>
            </w:pPr>
            <w:r>
              <w:rPr>
                <w:rFonts w:ascii="Times New Roman" w:cs="Times New Roman" w:eastAsia="Times New Roman" w:hAnsi="Times New Roman"/>
                <w:sz w:val="16"/>
                <w:szCs w:val="16"/>
                <w:b w:val="1"/>
                <w:bCs w:val="1"/>
                <w:color w:val="auto"/>
                <w:w w:val="97"/>
              </w:rPr>
              <w:t>(978) 284-2800</w:t>
            </w:r>
          </w:p>
        </w:tc>
      </w:tr>
      <w:tr>
        <w:trPr>
          <w:trHeight w:val="205"/>
        </w:trPr>
        <w:tc>
          <w:tcPr>
            <w:tcW w:w="3120" w:type="dxa"/>
            <w:vAlign w:val="bottom"/>
          </w:tcPr>
          <w:p>
            <w:pPr>
              <w:spacing w:after="0"/>
              <w:rPr>
                <w:sz w:val="17"/>
                <w:szCs w:val="17"/>
                <w:color w:val="auto"/>
              </w:rPr>
            </w:pPr>
          </w:p>
        </w:tc>
        <w:tc>
          <w:tcPr>
            <w:tcW w:w="8160" w:type="dxa"/>
            <w:vAlign w:val="bottom"/>
          </w:tcPr>
          <w:p>
            <w:pPr>
              <w:jc w:val="center"/>
              <w:ind w:right="3022"/>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w:t>
            </w:r>
          </w:p>
        </w:tc>
      </w:tr>
      <w:tr>
        <w:trPr>
          <w:trHeight w:val="184"/>
        </w:trPr>
        <w:tc>
          <w:tcPr>
            <w:tcW w:w="3120" w:type="dxa"/>
            <w:vAlign w:val="bottom"/>
          </w:tcPr>
          <w:p>
            <w:pPr>
              <w:spacing w:after="0"/>
              <w:rPr>
                <w:sz w:val="16"/>
                <w:szCs w:val="16"/>
                <w:color w:val="auto"/>
              </w:rPr>
            </w:pPr>
          </w:p>
        </w:tc>
        <w:tc>
          <w:tcPr>
            <w:tcW w:w="8160" w:type="dxa"/>
            <w:vAlign w:val="bottom"/>
          </w:tcPr>
          <w:p>
            <w:pPr>
              <w:jc w:val="center"/>
              <w:ind w:right="3022"/>
              <w:spacing w:after="0"/>
              <w:rPr>
                <w:sz w:val="20"/>
                <w:szCs w:val="20"/>
                <w:color w:val="auto"/>
              </w:rPr>
            </w:pPr>
            <w:r>
              <w:rPr>
                <w:rFonts w:ascii="Times New Roman" w:cs="Times New Roman" w:eastAsia="Times New Roman" w:hAnsi="Times New Roman"/>
                <w:sz w:val="14"/>
                <w:szCs w:val="14"/>
                <w:color w:val="auto"/>
                <w:w w:val="99"/>
              </w:rPr>
              <w:t>Registrant’s Principal Executive Offices)</w:t>
            </w:r>
          </w:p>
        </w:tc>
      </w:tr>
      <w:tr>
        <w:trPr>
          <w:trHeight w:val="442"/>
        </w:trPr>
        <w:tc>
          <w:tcPr>
            <w:tcW w:w="3120" w:type="dxa"/>
            <w:vAlign w:val="bottom"/>
          </w:tcPr>
          <w:p>
            <w:pPr>
              <w:spacing w:after="0"/>
              <w:rPr>
                <w:sz w:val="24"/>
                <w:szCs w:val="24"/>
                <w:color w:val="auto"/>
              </w:rPr>
            </w:pPr>
          </w:p>
        </w:tc>
        <w:tc>
          <w:tcPr>
            <w:tcW w:w="8160" w:type="dxa"/>
            <w:vAlign w:val="bottom"/>
          </w:tcPr>
          <w:p>
            <w:pPr>
              <w:jc w:val="center"/>
              <w:ind w:right="3022"/>
              <w:spacing w:after="0"/>
              <w:rPr>
                <w:sz w:val="20"/>
                <w:szCs w:val="20"/>
                <w:color w:val="auto"/>
              </w:rPr>
            </w:pPr>
            <w:r>
              <w:rPr>
                <w:rFonts w:ascii="Times New Roman" w:cs="Times New Roman" w:eastAsia="Times New Roman" w:hAnsi="Times New Roman"/>
                <w:sz w:val="14"/>
                <w:szCs w:val="14"/>
                <w:b w:val="1"/>
                <w:bCs w:val="1"/>
                <w:color w:val="auto"/>
              </w:rPr>
              <w:t>Not Applicable</w:t>
            </w:r>
          </w:p>
        </w:tc>
      </w:tr>
      <w:tr>
        <w:trPr>
          <w:trHeight w:val="184"/>
        </w:trPr>
        <w:tc>
          <w:tcPr>
            <w:tcW w:w="3120" w:type="dxa"/>
            <w:vAlign w:val="bottom"/>
          </w:tcPr>
          <w:p>
            <w:pPr>
              <w:spacing w:after="0"/>
              <w:rPr>
                <w:sz w:val="16"/>
                <w:szCs w:val="16"/>
                <w:color w:val="auto"/>
              </w:rPr>
            </w:pPr>
          </w:p>
        </w:tc>
        <w:tc>
          <w:tcPr>
            <w:tcW w:w="8160" w:type="dxa"/>
            <w:vAlign w:val="bottom"/>
          </w:tcPr>
          <w:p>
            <w:pPr>
              <w:jc w:val="center"/>
              <w:ind w:right="3042"/>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tc>
      </w:tr>
      <w:tr>
        <w:trPr>
          <w:trHeight w:val="1338"/>
        </w:trPr>
        <w:tc>
          <w:tcPr>
            <w:tcW w:w="3120" w:type="dxa"/>
            <w:vAlign w:val="bottom"/>
            <w:tcBorders>
              <w:bottom w:val="single" w:sz="8" w:color="9A9A9A"/>
            </w:tcBorders>
          </w:tcPr>
          <w:p>
            <w:pPr>
              <w:spacing w:after="0"/>
              <w:rPr>
                <w:sz w:val="24"/>
                <w:szCs w:val="24"/>
                <w:color w:val="auto"/>
              </w:rPr>
            </w:pPr>
          </w:p>
        </w:tc>
        <w:tc>
          <w:tcPr>
            <w:tcW w:w="81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39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900" w:type="dxa"/>
            <w:vAlign w:val="bottom"/>
          </w:tcPr>
          <w:p>
            <w:pPr>
              <w:spacing w:after="0"/>
              <w:rPr>
                <w:sz w:val="16"/>
                <w:szCs w:val="16"/>
                <w:color w:val="auto"/>
              </w:rPr>
            </w:pPr>
          </w:p>
        </w:tc>
      </w:tr>
      <w:tr>
        <w:trPr>
          <w:trHeight w:val="255"/>
        </w:trPr>
        <w:tc>
          <w:tcPr>
            <w:tcW w:w="3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Title of each class</w:t>
            </w:r>
          </w:p>
        </w:tc>
        <w:tc>
          <w:tcPr>
            <w:tcW w:w="2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Trading Symbol(s)</w:t>
            </w:r>
          </w:p>
        </w:tc>
        <w:tc>
          <w:tcPr>
            <w:tcW w:w="4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32"/>
        </w:trPr>
        <w:tc>
          <w:tcPr>
            <w:tcW w:w="3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181"/>
        </w:trPr>
        <w:tc>
          <w:tcPr>
            <w:tcW w:w="3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Class A common stock, par value $0.0001 per share</w:t>
            </w:r>
          </w:p>
        </w:tc>
        <w:tc>
          <w:tcPr>
            <w:tcW w:w="2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SYM</w:t>
            </w:r>
          </w:p>
        </w:tc>
        <w:tc>
          <w:tcPr>
            <w:tcW w:w="4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34" w:lineRule="exact"/>
        <w:rPr>
          <w:sz w:val="20"/>
          <w:szCs w:val="20"/>
          <w:color w:val="auto"/>
        </w:rPr>
      </w:pPr>
    </w:p>
    <w:p>
      <w:pPr>
        <w:ind w:right="12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40" w:lineRule="exact"/>
        <w:rPr>
          <w:sz w:val="20"/>
          <w:szCs w:val="20"/>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4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700" w:type="dxa"/>
            <w:vAlign w:val="bottom"/>
          </w:tcPr>
          <w:p>
            <w:pPr>
              <w:ind w:left="1280"/>
              <w:spacing w:after="0" w:line="141" w:lineRule="exact"/>
              <w:rPr>
                <w:sz w:val="20"/>
                <w:szCs w:val="20"/>
                <w:color w:val="auto"/>
              </w:rPr>
            </w:pPr>
            <w:r>
              <w:rPr>
                <w:rFonts w:ascii="MS PGothic" w:cs="MS PGothic" w:eastAsia="MS PGothic" w:hAnsi="MS PGothic"/>
                <w:sz w:val="14"/>
                <w:szCs w:val="14"/>
                <w:color w:val="auto"/>
              </w:rPr>
              <w:t>☒</w:t>
            </w:r>
          </w:p>
        </w:tc>
        <w:tc>
          <w:tcPr>
            <w:tcW w:w="3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Accelerated filer</w:t>
            </w:r>
          </w:p>
        </w:tc>
        <w:tc>
          <w:tcPr>
            <w:tcW w:w="1480" w:type="dxa"/>
            <w:vAlign w:val="bottom"/>
          </w:tcPr>
          <w:p>
            <w:pPr>
              <w:ind w:left="1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4"/>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700" w:type="dxa"/>
            <w:vAlign w:val="bottom"/>
          </w:tcPr>
          <w:p>
            <w:pPr>
              <w:ind w:left="1280"/>
              <w:spacing w:after="0" w:line="141" w:lineRule="exact"/>
              <w:rPr>
                <w:sz w:val="20"/>
                <w:szCs w:val="20"/>
                <w:color w:val="auto"/>
              </w:rPr>
            </w:pPr>
            <w:r>
              <w:rPr>
                <w:rFonts w:ascii="MS PGothic" w:cs="MS PGothic" w:eastAsia="MS PGothic" w:hAnsi="MS PGothic"/>
                <w:sz w:val="14"/>
                <w:szCs w:val="14"/>
                <w:color w:val="auto"/>
              </w:rPr>
              <w:t>☐</w:t>
            </w:r>
          </w:p>
        </w:tc>
        <w:tc>
          <w:tcPr>
            <w:tcW w:w="3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480" w:type="dxa"/>
            <w:vAlign w:val="bottom"/>
          </w:tcPr>
          <w:p>
            <w:pPr>
              <w:ind w:left="1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4"/>
        </w:trPr>
        <w:tc>
          <w:tcPr>
            <w:tcW w:w="25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Emerging growth company</w:t>
            </w:r>
          </w:p>
        </w:tc>
        <w:tc>
          <w:tcPr>
            <w:tcW w:w="1480" w:type="dxa"/>
            <w:vAlign w:val="bottom"/>
          </w:tcPr>
          <w:p>
            <w:pPr>
              <w:ind w:left="13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82"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210"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February 2, 2026, the following shares of common stock were outstanding:</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125,753,388 shares of Class A common stock, par value $0.0001 per share</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72,859,208 shares of Class V-1 common stock, par value $0.0001 per share</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403,559,196 shares of Class V-3 common stock, par value $0.0001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88900</wp:posOffset>
            </wp:positionV>
            <wp:extent cx="71615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109220</wp:posOffset>
            </wp:positionV>
            <wp:extent cx="71615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180" w:type="dxa"/>
            <w:vAlign w:val="bottom"/>
            <w:gridSpan w:val="10"/>
          </w:tcPr>
          <w:p>
            <w:pPr>
              <w:jc w:val="center"/>
              <w:ind w:right="3520"/>
              <w:spacing w:after="0"/>
              <w:rPr>
                <w:sz w:val="20"/>
                <w:szCs w:val="20"/>
                <w:color w:val="auto"/>
              </w:rPr>
            </w:pPr>
            <w:r>
              <w:rPr>
                <w:rFonts w:ascii="Times New Roman" w:cs="Times New Roman" w:eastAsia="Times New Roman" w:hAnsi="Times New Roman"/>
                <w:sz w:val="14"/>
                <w:szCs w:val="14"/>
                <w:b w:val="1"/>
                <w:bCs w:val="1"/>
                <w:color w:val="auto"/>
                <w:w w:val="99"/>
              </w:rPr>
              <w:t>TABLE OF CONTENTS</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2"/>
        </w:trPr>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0E32E1"/>
            </w:tcBorders>
            <w:gridSpan w:val="6"/>
            <w:shd w:val="clear" w:color="auto" w:fill="CCEEFF"/>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0E32E1"/>
              </w:rPr>
              <w:t>Part I - Financial Information</w:t>
            </w:r>
          </w:p>
        </w:tc>
        <w:tc>
          <w:tcPr>
            <w:tcW w:w="3440" w:type="dxa"/>
            <w:vAlign w:val="bottom"/>
            <w:tcBorders>
              <w:bottom w:val="single" w:sz="8" w:color="CCEEFF"/>
            </w:tcBorders>
            <w:gridSpan w:val="6"/>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00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Item 1.</w:t>
            </w:r>
          </w:p>
        </w:tc>
        <w:tc>
          <w:tcPr>
            <w:tcW w:w="8680" w:type="dxa"/>
            <w:vAlign w:val="bottom"/>
            <w:gridSpan w:val="23"/>
          </w:tcPr>
          <w:p>
            <w:pPr>
              <w:spacing w:after="0" w:line="159" w:lineRule="exact"/>
              <w:rPr>
                <w:sz w:val="20"/>
                <w:szCs w:val="20"/>
                <w:color w:val="auto"/>
              </w:rPr>
            </w:pPr>
            <w:r>
              <w:rPr>
                <w:rFonts w:ascii="Times New Roman" w:cs="Times New Roman" w:eastAsia="Times New Roman" w:hAnsi="Times New Roman"/>
                <w:sz w:val="14"/>
                <w:szCs w:val="14"/>
                <w:color w:val="0000FF"/>
              </w:rPr>
              <w:t>Financial Statements</w:t>
            </w:r>
          </w:p>
        </w:tc>
        <w:tc>
          <w:tcPr>
            <w:tcW w:w="7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44"/>
        </w:trPr>
        <w:tc>
          <w:tcPr>
            <w:tcW w:w="1000" w:type="dxa"/>
            <w:vAlign w:val="bottom"/>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000" w:type="dxa"/>
            <w:vAlign w:val="bottom"/>
            <w:tcBorders>
              <w:bottom w:val="single" w:sz="8" w:color="CCEEFF"/>
            </w:tcBorders>
            <w:shd w:val="clear" w:color="auto" w:fill="CCEEFF"/>
          </w:tcPr>
          <w:p>
            <w:pPr>
              <w:spacing w:after="0"/>
              <w:rPr>
                <w:sz w:val="17"/>
                <w:szCs w:val="17"/>
                <w:color w:val="auto"/>
              </w:rPr>
            </w:pPr>
          </w:p>
        </w:tc>
        <w:tc>
          <w:tcPr>
            <w:tcW w:w="3260" w:type="dxa"/>
            <w:vAlign w:val="bottom"/>
            <w:tcBorders>
              <w:bottom w:val="single" w:sz="8" w:color="0000FF"/>
            </w:tcBorders>
            <w:gridSpan w:val="10"/>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Unaudited Condensed Consolidated Financial Statements</w:t>
            </w:r>
          </w:p>
        </w:tc>
        <w:tc>
          <w:tcPr>
            <w:tcW w:w="5420" w:type="dxa"/>
            <w:vAlign w:val="bottom"/>
            <w:tcBorders>
              <w:bottom w:val="single" w:sz="8" w:color="CCEEFF"/>
            </w:tcBorders>
            <w:gridSpan w:val="13"/>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59"/>
        </w:trPr>
        <w:tc>
          <w:tcPr>
            <w:tcW w:w="1000" w:type="dxa"/>
            <w:vAlign w:val="bottom"/>
          </w:tcPr>
          <w:p>
            <w:pPr>
              <w:spacing w:after="0"/>
              <w:rPr>
                <w:sz w:val="13"/>
                <w:szCs w:val="13"/>
                <w:color w:val="auto"/>
              </w:rPr>
            </w:pPr>
          </w:p>
        </w:tc>
        <w:tc>
          <w:tcPr>
            <w:tcW w:w="8680" w:type="dxa"/>
            <w:vAlign w:val="bottom"/>
            <w:gridSpan w:val="23"/>
          </w:tcPr>
          <w:p>
            <w:pPr>
              <w:spacing w:after="0" w:line="159" w:lineRule="exact"/>
              <w:rPr>
                <w:sz w:val="20"/>
                <w:szCs w:val="20"/>
                <w:color w:val="auto"/>
              </w:rPr>
            </w:pPr>
            <w:r>
              <w:rPr>
                <w:rFonts w:ascii="Times New Roman" w:cs="Times New Roman" w:eastAsia="Times New Roman" w:hAnsi="Times New Roman"/>
                <w:sz w:val="14"/>
                <w:szCs w:val="14"/>
                <w:color w:val="0000FF"/>
              </w:rPr>
              <w:t>Unaudited Condensed Consolidated Balance Sheets as of December 27, 2025 and September 27, 2025</w:t>
            </w:r>
          </w:p>
        </w:tc>
        <w:tc>
          <w:tcPr>
            <w:tcW w:w="7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44"/>
        </w:trPr>
        <w:tc>
          <w:tcPr>
            <w:tcW w:w="1000" w:type="dxa"/>
            <w:vAlign w:val="bottom"/>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144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3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560" w:type="dxa"/>
            <w:vAlign w:val="bottom"/>
            <w:tcBorders>
              <w:top w:val="single" w:sz="8" w:color="0000FF"/>
            </w:tcBorders>
          </w:tcPr>
          <w:p>
            <w:pPr>
              <w:spacing w:after="0"/>
              <w:rPr>
                <w:sz w:val="3"/>
                <w:szCs w:val="3"/>
                <w:color w:val="auto"/>
              </w:rPr>
            </w:pPr>
          </w:p>
        </w:tc>
        <w:tc>
          <w:tcPr>
            <w:tcW w:w="18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000" w:type="dxa"/>
            <w:vAlign w:val="bottom"/>
            <w:tcBorders>
              <w:bottom w:val="single" w:sz="8" w:color="CCEEFF"/>
            </w:tcBorders>
            <w:shd w:val="clear" w:color="auto" w:fill="CCEEFF"/>
          </w:tcPr>
          <w:p>
            <w:pPr>
              <w:spacing w:after="0"/>
              <w:rPr>
                <w:sz w:val="17"/>
                <w:szCs w:val="17"/>
                <w:color w:val="auto"/>
              </w:rPr>
            </w:pPr>
          </w:p>
        </w:tc>
        <w:tc>
          <w:tcPr>
            <w:tcW w:w="7680" w:type="dxa"/>
            <w:vAlign w:val="bottom"/>
            <w:tcBorders>
              <w:bottom w:val="single" w:sz="8" w:color="0000FF"/>
            </w:tcBorders>
            <w:gridSpan w:val="19"/>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Unaudited Condensed Consolidated Statements of Operations for the Three Months Ended December 27, 2025 and December 28, 2024</w:t>
            </w:r>
          </w:p>
        </w:tc>
        <w:tc>
          <w:tcPr>
            <w:tcW w:w="1000" w:type="dxa"/>
            <w:vAlign w:val="bottom"/>
            <w:tcBorders>
              <w:bottom w:val="single" w:sz="8" w:color="CCEEFF"/>
            </w:tcBorders>
            <w:gridSpan w:val="4"/>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59"/>
        </w:trPr>
        <w:tc>
          <w:tcPr>
            <w:tcW w:w="1000" w:type="dxa"/>
            <w:vAlign w:val="bottom"/>
          </w:tcPr>
          <w:p>
            <w:pPr>
              <w:spacing w:after="0"/>
              <w:rPr>
                <w:sz w:val="13"/>
                <w:szCs w:val="13"/>
                <w:color w:val="auto"/>
              </w:rPr>
            </w:pPr>
          </w:p>
        </w:tc>
        <w:tc>
          <w:tcPr>
            <w:tcW w:w="8680" w:type="dxa"/>
            <w:vAlign w:val="bottom"/>
            <w:gridSpan w:val="23"/>
          </w:tcPr>
          <w:p>
            <w:pPr>
              <w:spacing w:after="0" w:line="159" w:lineRule="exact"/>
              <w:rPr>
                <w:sz w:val="20"/>
                <w:szCs w:val="20"/>
                <w:color w:val="auto"/>
              </w:rPr>
            </w:pPr>
            <w:r>
              <w:rPr>
                <w:rFonts w:ascii="Times New Roman" w:cs="Times New Roman" w:eastAsia="Times New Roman" w:hAnsi="Times New Roman"/>
                <w:sz w:val="14"/>
                <w:szCs w:val="14"/>
                <w:color w:val="0000FF"/>
              </w:rPr>
              <w:t>Unaudited Condensed Consolidated Statements of Comprehensive Income (Loss) for the Three Months Ended December 27, 2025 and December 28,</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96"/>
        </w:trPr>
        <w:tc>
          <w:tcPr>
            <w:tcW w:w="1000" w:type="dxa"/>
            <w:vAlign w:val="bottom"/>
          </w:tcPr>
          <w:p>
            <w:pPr>
              <w:spacing w:after="0"/>
              <w:rPr>
                <w:sz w:val="8"/>
                <w:szCs w:val="8"/>
                <w:color w:val="auto"/>
              </w:rPr>
            </w:pPr>
          </w:p>
        </w:tc>
        <w:tc>
          <w:tcPr>
            <w:tcW w:w="420" w:type="dxa"/>
            <w:vAlign w:val="bottom"/>
            <w:tcBorders>
              <w:top w:val="single" w:sz="8" w:color="0000FF"/>
            </w:tcBorders>
            <w:gridSpan w:val="2"/>
            <w:vMerge w:val="restart"/>
          </w:tcPr>
          <w:p>
            <w:pPr>
              <w:ind w:left="120"/>
              <w:spacing w:after="0"/>
              <w:rPr>
                <w:sz w:val="20"/>
                <w:szCs w:val="20"/>
                <w:color w:val="auto"/>
              </w:rPr>
            </w:pPr>
            <w:r>
              <w:rPr>
                <w:rFonts w:ascii="Times New Roman" w:cs="Times New Roman" w:eastAsia="Times New Roman" w:hAnsi="Times New Roman"/>
                <w:sz w:val="14"/>
                <w:szCs w:val="14"/>
                <w:color w:val="0000FF"/>
                <w:w w:val="99"/>
              </w:rPr>
              <w:t>2024</w:t>
            </w:r>
          </w:p>
        </w:tc>
        <w:tc>
          <w:tcPr>
            <w:tcW w:w="6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32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420" w:type="dxa"/>
            <w:vAlign w:val="bottom"/>
            <w:tcBorders>
              <w:top w:val="single" w:sz="8" w:color="0000FF"/>
            </w:tcBorders>
          </w:tcPr>
          <w:p>
            <w:pPr>
              <w:spacing w:after="0"/>
              <w:rPr>
                <w:sz w:val="8"/>
                <w:szCs w:val="8"/>
                <w:color w:val="auto"/>
              </w:rPr>
            </w:pPr>
          </w:p>
        </w:tc>
        <w:tc>
          <w:tcPr>
            <w:tcW w:w="144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13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560" w:type="dxa"/>
            <w:vAlign w:val="bottom"/>
            <w:tcBorders>
              <w:top w:val="single" w:sz="8" w:color="0000FF"/>
            </w:tcBorders>
          </w:tcPr>
          <w:p>
            <w:pPr>
              <w:spacing w:after="0"/>
              <w:rPr>
                <w:sz w:val="8"/>
                <w:szCs w:val="8"/>
                <w:color w:val="auto"/>
              </w:rPr>
            </w:pPr>
          </w:p>
        </w:tc>
        <w:tc>
          <w:tcPr>
            <w:tcW w:w="188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760" w:type="dxa"/>
            <w:vAlign w:val="bottom"/>
            <w:tcBorders>
              <w:top w:val="single" w:sz="8" w:color="0000FF"/>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100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1000" w:type="dxa"/>
            <w:vAlign w:val="bottom"/>
            <w:shd w:val="clear" w:color="auto" w:fill="CCEEFF"/>
          </w:tcPr>
          <w:p>
            <w:pPr>
              <w:spacing w:after="0"/>
              <w:rPr>
                <w:sz w:val="13"/>
                <w:szCs w:val="13"/>
                <w:color w:val="auto"/>
              </w:rPr>
            </w:pPr>
          </w:p>
        </w:tc>
        <w:tc>
          <w:tcPr>
            <w:tcW w:w="8680" w:type="dxa"/>
            <w:vAlign w:val="bottom"/>
            <w:gridSpan w:val="23"/>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Unaudited Condensed Consolidated Statements of Changes in Stockholders' Equity for the Three Months Ended December 27, 2025 and December 28,</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96"/>
        </w:trPr>
        <w:tc>
          <w:tcPr>
            <w:tcW w:w="10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0000FF"/>
            </w:tcBorders>
            <w:vMerge w:val="restart"/>
            <w:shd w:val="clear" w:color="auto" w:fill="CCEEFF"/>
          </w:tcPr>
          <w:p>
            <w:pPr>
              <w:spacing w:after="0"/>
              <w:rPr>
                <w:sz w:val="8"/>
                <w:szCs w:val="8"/>
                <w:color w:val="auto"/>
              </w:rPr>
            </w:pPr>
          </w:p>
        </w:tc>
        <w:tc>
          <w:tcPr>
            <w:tcW w:w="300" w:type="dxa"/>
            <w:vAlign w:val="bottom"/>
            <w:tcBorders>
              <w:top w:val="single" w:sz="8" w:color="0000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0000FF"/>
                <w:w w:val="99"/>
              </w:rPr>
              <w:t>2024</w:t>
            </w:r>
          </w:p>
        </w:tc>
        <w:tc>
          <w:tcPr>
            <w:tcW w:w="6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32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220" w:type="dxa"/>
            <w:vAlign w:val="bottom"/>
            <w:tcBorders>
              <w:top w:val="single" w:sz="8" w:color="0000FF"/>
            </w:tcBorders>
            <w:shd w:val="clear" w:color="auto" w:fill="CCEEFF"/>
          </w:tcPr>
          <w:p>
            <w:pPr>
              <w:spacing w:after="0"/>
              <w:rPr>
                <w:sz w:val="8"/>
                <w:szCs w:val="8"/>
                <w:color w:val="auto"/>
              </w:rPr>
            </w:pPr>
          </w:p>
        </w:tc>
        <w:tc>
          <w:tcPr>
            <w:tcW w:w="420" w:type="dxa"/>
            <w:vAlign w:val="bottom"/>
            <w:tcBorders>
              <w:top w:val="single" w:sz="8" w:color="0000FF"/>
            </w:tcBorders>
            <w:shd w:val="clear" w:color="auto" w:fill="CCEEFF"/>
          </w:tcPr>
          <w:p>
            <w:pPr>
              <w:spacing w:after="0"/>
              <w:rPr>
                <w:sz w:val="8"/>
                <w:szCs w:val="8"/>
                <w:color w:val="auto"/>
              </w:rPr>
            </w:pPr>
          </w:p>
        </w:tc>
        <w:tc>
          <w:tcPr>
            <w:tcW w:w="1440" w:type="dxa"/>
            <w:vAlign w:val="bottom"/>
            <w:tcBorders>
              <w:top w:val="single" w:sz="8" w:color="0000FF"/>
            </w:tcBorders>
            <w:shd w:val="clear" w:color="auto" w:fill="CCEEFF"/>
          </w:tcPr>
          <w:p>
            <w:pPr>
              <w:spacing w:after="0"/>
              <w:rPr>
                <w:sz w:val="8"/>
                <w:szCs w:val="8"/>
                <w:color w:val="auto"/>
              </w:rPr>
            </w:pPr>
          </w:p>
        </w:tc>
        <w:tc>
          <w:tcPr>
            <w:tcW w:w="16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260" w:type="dxa"/>
            <w:vAlign w:val="bottom"/>
            <w:tcBorders>
              <w:top w:val="single" w:sz="8" w:color="0000FF"/>
            </w:tcBorders>
            <w:shd w:val="clear" w:color="auto" w:fill="CCEEFF"/>
          </w:tcPr>
          <w:p>
            <w:pPr>
              <w:spacing w:after="0"/>
              <w:rPr>
                <w:sz w:val="8"/>
                <w:szCs w:val="8"/>
                <w:color w:val="auto"/>
              </w:rPr>
            </w:pPr>
          </w:p>
        </w:tc>
        <w:tc>
          <w:tcPr>
            <w:tcW w:w="13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560" w:type="dxa"/>
            <w:vAlign w:val="bottom"/>
            <w:tcBorders>
              <w:top w:val="single" w:sz="8" w:color="0000FF"/>
            </w:tcBorders>
            <w:shd w:val="clear" w:color="auto" w:fill="CCEEFF"/>
          </w:tcPr>
          <w:p>
            <w:pPr>
              <w:spacing w:after="0"/>
              <w:rPr>
                <w:sz w:val="8"/>
                <w:szCs w:val="8"/>
                <w:color w:val="auto"/>
              </w:rPr>
            </w:pPr>
          </w:p>
        </w:tc>
        <w:tc>
          <w:tcPr>
            <w:tcW w:w="188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760" w:type="dxa"/>
            <w:vAlign w:val="bottom"/>
            <w:tcBorders>
              <w:top w:val="single" w:sz="8" w:color="0000FF"/>
            </w:tcBorders>
            <w:shd w:val="clear" w:color="auto" w:fill="CCEEFF"/>
          </w:tcPr>
          <w:p>
            <w:pPr>
              <w:spacing w:after="0"/>
              <w:rPr>
                <w:sz w:val="8"/>
                <w:szCs w:val="8"/>
                <w:color w:val="auto"/>
              </w:rPr>
            </w:pPr>
          </w:p>
        </w:tc>
        <w:tc>
          <w:tcPr>
            <w:tcW w:w="100" w:type="dxa"/>
            <w:vAlign w:val="bottom"/>
            <w:tcBorders>
              <w:top w:val="single" w:sz="8" w:color="0000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0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vMerge w:val="continue"/>
            <w:shd w:val="clear" w:color="auto" w:fill="CCEEFF"/>
          </w:tcPr>
          <w:p>
            <w:pPr>
              <w:spacing w:after="0"/>
              <w:rPr>
                <w:sz w:val="8"/>
                <w:szCs w:val="8"/>
                <w:color w:val="auto"/>
              </w:rPr>
            </w:pPr>
          </w:p>
        </w:tc>
        <w:tc>
          <w:tcPr>
            <w:tcW w:w="300" w:type="dxa"/>
            <w:vAlign w:val="bottom"/>
            <w:tcBorders>
              <w:bottom w:val="single" w:sz="8" w:color="0000FF"/>
            </w:tcBorders>
            <w:vMerge w:val="continue"/>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420" w:type="dxa"/>
            <w:vAlign w:val="bottom"/>
            <w:tcBorders>
              <w:bottom w:val="single" w:sz="8" w:color="CCEEFF"/>
            </w:tcBorders>
            <w:shd w:val="clear" w:color="auto" w:fill="CCEEFF"/>
          </w:tcPr>
          <w:p>
            <w:pPr>
              <w:spacing w:after="0"/>
              <w:rPr>
                <w:sz w:val="8"/>
                <w:szCs w:val="8"/>
                <w:color w:val="auto"/>
              </w:rPr>
            </w:pPr>
          </w:p>
        </w:tc>
        <w:tc>
          <w:tcPr>
            <w:tcW w:w="144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132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560" w:type="dxa"/>
            <w:vAlign w:val="bottom"/>
            <w:tcBorders>
              <w:bottom w:val="single" w:sz="8" w:color="CCEEFF"/>
            </w:tcBorders>
            <w:shd w:val="clear" w:color="auto" w:fill="CCEEFF"/>
          </w:tcPr>
          <w:p>
            <w:pPr>
              <w:spacing w:after="0"/>
              <w:rPr>
                <w:sz w:val="8"/>
                <w:szCs w:val="8"/>
                <w:color w:val="auto"/>
              </w:rPr>
            </w:pPr>
          </w:p>
        </w:tc>
        <w:tc>
          <w:tcPr>
            <w:tcW w:w="1880" w:type="dxa"/>
            <w:vAlign w:val="bottom"/>
            <w:tcBorders>
              <w:bottom w:val="single" w:sz="8" w:color="CCEEFF"/>
            </w:tcBorders>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1000" w:type="dxa"/>
            <w:vAlign w:val="bottom"/>
          </w:tcPr>
          <w:p>
            <w:pPr>
              <w:spacing w:after="0"/>
              <w:rPr>
                <w:sz w:val="13"/>
                <w:szCs w:val="13"/>
                <w:color w:val="auto"/>
              </w:rPr>
            </w:pPr>
          </w:p>
        </w:tc>
        <w:tc>
          <w:tcPr>
            <w:tcW w:w="8680" w:type="dxa"/>
            <w:vAlign w:val="bottom"/>
            <w:gridSpan w:val="23"/>
          </w:tcPr>
          <w:p>
            <w:pPr>
              <w:spacing w:after="0" w:line="159" w:lineRule="exact"/>
              <w:rPr>
                <w:sz w:val="20"/>
                <w:szCs w:val="20"/>
                <w:color w:val="auto"/>
              </w:rPr>
            </w:pPr>
            <w:r>
              <w:rPr>
                <w:rFonts w:ascii="Times New Roman" w:cs="Times New Roman" w:eastAsia="Times New Roman" w:hAnsi="Times New Roman"/>
                <w:sz w:val="14"/>
                <w:szCs w:val="14"/>
                <w:color w:val="0000FF"/>
              </w:rPr>
              <w:t>Unaudited Condensed Consolidated Statements of Cash Flows for the Three Months Ended December 27, 2025 and December 28, 2024</w:t>
            </w:r>
          </w:p>
        </w:tc>
        <w:tc>
          <w:tcPr>
            <w:tcW w:w="7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44"/>
        </w:trPr>
        <w:tc>
          <w:tcPr>
            <w:tcW w:w="1000" w:type="dxa"/>
            <w:vAlign w:val="bottom"/>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144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3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560" w:type="dxa"/>
            <w:vAlign w:val="bottom"/>
            <w:tcBorders>
              <w:top w:val="single" w:sz="8" w:color="0000FF"/>
            </w:tcBorders>
          </w:tcPr>
          <w:p>
            <w:pPr>
              <w:spacing w:after="0"/>
              <w:rPr>
                <w:sz w:val="3"/>
                <w:szCs w:val="3"/>
                <w:color w:val="auto"/>
              </w:rPr>
            </w:pPr>
          </w:p>
        </w:tc>
        <w:tc>
          <w:tcPr>
            <w:tcW w:w="18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1000" w:type="dxa"/>
            <w:vAlign w:val="bottom"/>
            <w:shd w:val="clear" w:color="auto" w:fill="CCEEFF"/>
          </w:tcPr>
          <w:p>
            <w:pPr>
              <w:spacing w:after="0"/>
              <w:rPr>
                <w:sz w:val="13"/>
                <w:szCs w:val="13"/>
                <w:color w:val="auto"/>
              </w:rPr>
            </w:pPr>
          </w:p>
        </w:tc>
        <w:tc>
          <w:tcPr>
            <w:tcW w:w="8680" w:type="dxa"/>
            <w:vAlign w:val="bottom"/>
            <w:gridSpan w:val="23"/>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Notes to Unaudited Condensed Consolidated Financial Statements</w:t>
            </w:r>
          </w:p>
        </w:tc>
        <w:tc>
          <w:tcPr>
            <w:tcW w:w="7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44"/>
        </w:trPr>
        <w:tc>
          <w:tcPr>
            <w:tcW w:w="10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30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32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420" w:type="dxa"/>
            <w:vAlign w:val="bottom"/>
            <w:tcBorders>
              <w:top w:val="single" w:sz="8" w:color="0000FF"/>
            </w:tcBorders>
            <w:shd w:val="clear" w:color="auto" w:fill="CCEEFF"/>
          </w:tcPr>
          <w:p>
            <w:pPr>
              <w:spacing w:after="0"/>
              <w:rPr>
                <w:sz w:val="3"/>
                <w:szCs w:val="3"/>
                <w:color w:val="auto"/>
              </w:rPr>
            </w:pPr>
          </w:p>
        </w:tc>
        <w:tc>
          <w:tcPr>
            <w:tcW w:w="144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13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18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100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Item 2.</w:t>
            </w:r>
          </w:p>
        </w:tc>
        <w:tc>
          <w:tcPr>
            <w:tcW w:w="8680" w:type="dxa"/>
            <w:vAlign w:val="bottom"/>
            <w:gridSpan w:val="23"/>
          </w:tcPr>
          <w:p>
            <w:pPr>
              <w:spacing w:after="0" w:line="159" w:lineRule="exact"/>
              <w:rPr>
                <w:sz w:val="20"/>
                <w:szCs w:val="20"/>
                <w:color w:val="auto"/>
              </w:rPr>
            </w:pPr>
            <w:r>
              <w:rPr>
                <w:rFonts w:ascii="Times New Roman" w:cs="Times New Roman" w:eastAsia="Times New Roman" w:hAnsi="Times New Roman"/>
                <w:sz w:val="14"/>
                <w:szCs w:val="14"/>
                <w:color w:val="0E32E1"/>
              </w:rPr>
              <w:t>Management’s Discussion and Analysis of Financial Condition and Results of Operations</w:t>
            </w:r>
          </w:p>
        </w:tc>
        <w:tc>
          <w:tcPr>
            <w:tcW w:w="7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44"/>
        </w:trPr>
        <w:tc>
          <w:tcPr>
            <w:tcW w:w="1000" w:type="dxa"/>
            <w:vAlign w:val="bottom"/>
          </w:tcPr>
          <w:p>
            <w:pPr>
              <w:spacing w:after="0"/>
              <w:rPr>
                <w:sz w:val="3"/>
                <w:szCs w:val="3"/>
                <w:color w:val="auto"/>
              </w:rPr>
            </w:pPr>
          </w:p>
        </w:tc>
        <w:tc>
          <w:tcPr>
            <w:tcW w:w="120" w:type="dxa"/>
            <w:vAlign w:val="bottom"/>
            <w:tcBorders>
              <w:top w:val="single" w:sz="8" w:color="0E32E1"/>
            </w:tcBorders>
          </w:tcPr>
          <w:p>
            <w:pPr>
              <w:spacing w:after="0"/>
              <w:rPr>
                <w:sz w:val="3"/>
                <w:szCs w:val="3"/>
                <w:color w:val="auto"/>
              </w:rPr>
            </w:pPr>
          </w:p>
        </w:tc>
        <w:tc>
          <w:tcPr>
            <w:tcW w:w="300" w:type="dxa"/>
            <w:vAlign w:val="bottom"/>
            <w:tcBorders>
              <w:top w:val="single" w:sz="8" w:color="0E32E1"/>
            </w:tcBorders>
          </w:tcPr>
          <w:p>
            <w:pPr>
              <w:spacing w:after="0"/>
              <w:rPr>
                <w:sz w:val="3"/>
                <w:szCs w:val="3"/>
                <w:color w:val="auto"/>
              </w:rPr>
            </w:pPr>
          </w:p>
        </w:tc>
        <w:tc>
          <w:tcPr>
            <w:tcW w:w="60" w:type="dxa"/>
            <w:vAlign w:val="bottom"/>
            <w:tcBorders>
              <w:top w:val="single" w:sz="8" w:color="0E32E1"/>
            </w:tcBorders>
          </w:tcPr>
          <w:p>
            <w:pPr>
              <w:spacing w:after="0"/>
              <w:rPr>
                <w:sz w:val="3"/>
                <w:szCs w:val="3"/>
                <w:color w:val="auto"/>
              </w:rPr>
            </w:pPr>
          </w:p>
        </w:tc>
        <w:tc>
          <w:tcPr>
            <w:tcW w:w="120" w:type="dxa"/>
            <w:vAlign w:val="bottom"/>
            <w:tcBorders>
              <w:top w:val="single" w:sz="8" w:color="0E32E1"/>
            </w:tcBorders>
          </w:tcPr>
          <w:p>
            <w:pPr>
              <w:spacing w:after="0"/>
              <w:rPr>
                <w:sz w:val="3"/>
                <w:szCs w:val="3"/>
                <w:color w:val="auto"/>
              </w:rPr>
            </w:pPr>
          </w:p>
        </w:tc>
        <w:tc>
          <w:tcPr>
            <w:tcW w:w="120" w:type="dxa"/>
            <w:vAlign w:val="bottom"/>
            <w:tcBorders>
              <w:top w:val="single" w:sz="8" w:color="0E32E1"/>
            </w:tcBorders>
          </w:tcPr>
          <w:p>
            <w:pPr>
              <w:spacing w:after="0"/>
              <w:rPr>
                <w:sz w:val="3"/>
                <w:szCs w:val="3"/>
                <w:color w:val="auto"/>
              </w:rPr>
            </w:pPr>
          </w:p>
        </w:tc>
        <w:tc>
          <w:tcPr>
            <w:tcW w:w="320" w:type="dxa"/>
            <w:vAlign w:val="bottom"/>
            <w:tcBorders>
              <w:top w:val="single" w:sz="8" w:color="0E32E1"/>
            </w:tcBorders>
          </w:tcPr>
          <w:p>
            <w:pPr>
              <w:spacing w:after="0"/>
              <w:rPr>
                <w:sz w:val="3"/>
                <w:szCs w:val="3"/>
                <w:color w:val="auto"/>
              </w:rPr>
            </w:pPr>
          </w:p>
        </w:tc>
        <w:tc>
          <w:tcPr>
            <w:tcW w:w="140" w:type="dxa"/>
            <w:vAlign w:val="bottom"/>
            <w:tcBorders>
              <w:top w:val="single" w:sz="8" w:color="0E32E1"/>
            </w:tcBorders>
          </w:tcPr>
          <w:p>
            <w:pPr>
              <w:spacing w:after="0"/>
              <w:rPr>
                <w:sz w:val="3"/>
                <w:szCs w:val="3"/>
                <w:color w:val="auto"/>
              </w:rPr>
            </w:pPr>
          </w:p>
        </w:tc>
        <w:tc>
          <w:tcPr>
            <w:tcW w:w="220" w:type="dxa"/>
            <w:vAlign w:val="bottom"/>
            <w:tcBorders>
              <w:top w:val="single" w:sz="8" w:color="0E32E1"/>
            </w:tcBorders>
          </w:tcPr>
          <w:p>
            <w:pPr>
              <w:spacing w:after="0"/>
              <w:rPr>
                <w:sz w:val="3"/>
                <w:szCs w:val="3"/>
                <w:color w:val="auto"/>
              </w:rPr>
            </w:pPr>
          </w:p>
        </w:tc>
        <w:tc>
          <w:tcPr>
            <w:tcW w:w="420" w:type="dxa"/>
            <w:vAlign w:val="bottom"/>
            <w:tcBorders>
              <w:top w:val="single" w:sz="8" w:color="0E32E1"/>
            </w:tcBorders>
          </w:tcPr>
          <w:p>
            <w:pPr>
              <w:spacing w:after="0"/>
              <w:rPr>
                <w:sz w:val="3"/>
                <w:szCs w:val="3"/>
                <w:color w:val="auto"/>
              </w:rPr>
            </w:pPr>
          </w:p>
        </w:tc>
        <w:tc>
          <w:tcPr>
            <w:tcW w:w="1440" w:type="dxa"/>
            <w:vAlign w:val="bottom"/>
            <w:tcBorders>
              <w:top w:val="single" w:sz="8" w:color="0E32E1"/>
            </w:tcBorders>
          </w:tcPr>
          <w:p>
            <w:pPr>
              <w:spacing w:after="0"/>
              <w:rPr>
                <w:sz w:val="3"/>
                <w:szCs w:val="3"/>
                <w:color w:val="auto"/>
              </w:rPr>
            </w:pPr>
          </w:p>
        </w:tc>
        <w:tc>
          <w:tcPr>
            <w:tcW w:w="160" w:type="dxa"/>
            <w:vAlign w:val="bottom"/>
            <w:tcBorders>
              <w:top w:val="single" w:sz="8" w:color="0E32E1"/>
            </w:tcBorders>
          </w:tcPr>
          <w:p>
            <w:pPr>
              <w:spacing w:after="0"/>
              <w:rPr>
                <w:sz w:val="3"/>
                <w:szCs w:val="3"/>
                <w:color w:val="auto"/>
              </w:rPr>
            </w:pPr>
          </w:p>
        </w:tc>
        <w:tc>
          <w:tcPr>
            <w:tcW w:w="20" w:type="dxa"/>
            <w:vAlign w:val="bottom"/>
            <w:tcBorders>
              <w:top w:val="single" w:sz="8" w:color="0E32E1"/>
            </w:tcBorders>
          </w:tcPr>
          <w:p>
            <w:pPr>
              <w:spacing w:after="0"/>
              <w:rPr>
                <w:sz w:val="3"/>
                <w:szCs w:val="3"/>
                <w:color w:val="auto"/>
              </w:rPr>
            </w:pPr>
          </w:p>
        </w:tc>
        <w:tc>
          <w:tcPr>
            <w:tcW w:w="60" w:type="dxa"/>
            <w:vAlign w:val="bottom"/>
            <w:tcBorders>
              <w:top w:val="single" w:sz="8" w:color="0E32E1"/>
            </w:tcBorders>
          </w:tcPr>
          <w:p>
            <w:pPr>
              <w:spacing w:after="0"/>
              <w:rPr>
                <w:sz w:val="3"/>
                <w:szCs w:val="3"/>
                <w:color w:val="auto"/>
              </w:rPr>
            </w:pPr>
          </w:p>
        </w:tc>
        <w:tc>
          <w:tcPr>
            <w:tcW w:w="260" w:type="dxa"/>
            <w:vAlign w:val="bottom"/>
            <w:tcBorders>
              <w:top w:val="single" w:sz="8" w:color="0E32E1"/>
            </w:tcBorders>
          </w:tcPr>
          <w:p>
            <w:pPr>
              <w:spacing w:after="0"/>
              <w:rPr>
                <w:sz w:val="3"/>
                <w:szCs w:val="3"/>
                <w:color w:val="auto"/>
              </w:rPr>
            </w:pPr>
          </w:p>
        </w:tc>
        <w:tc>
          <w:tcPr>
            <w:tcW w:w="1320" w:type="dxa"/>
            <w:vAlign w:val="bottom"/>
            <w:tcBorders>
              <w:top w:val="single" w:sz="8" w:color="0E32E1"/>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000" w:type="dxa"/>
            <w:vAlign w:val="bottom"/>
            <w:tcBorders>
              <w:bottom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Item 3.</w:t>
            </w:r>
          </w:p>
        </w:tc>
        <w:tc>
          <w:tcPr>
            <w:tcW w:w="3440" w:type="dxa"/>
            <w:vAlign w:val="bottom"/>
            <w:tcBorders>
              <w:bottom w:val="single" w:sz="8" w:color="0E32E1"/>
            </w:tcBorders>
            <w:gridSpan w:val="1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E32E1"/>
              </w:rPr>
              <w:t>Quantitative and Qualitative Disclosures About Market Risk</w:t>
            </w:r>
          </w:p>
        </w:tc>
        <w:tc>
          <w:tcPr>
            <w:tcW w:w="5240" w:type="dxa"/>
            <w:vAlign w:val="bottom"/>
            <w:tcBorders>
              <w:bottom w:val="single" w:sz="8" w:color="CCEEFF"/>
            </w:tcBorders>
            <w:gridSpan w:val="11"/>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59"/>
        </w:trPr>
        <w:tc>
          <w:tcPr>
            <w:tcW w:w="100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Item 4.</w:t>
            </w:r>
          </w:p>
        </w:tc>
        <w:tc>
          <w:tcPr>
            <w:tcW w:w="8680" w:type="dxa"/>
            <w:vAlign w:val="bottom"/>
            <w:gridSpan w:val="23"/>
          </w:tcPr>
          <w:p>
            <w:pPr>
              <w:spacing w:after="0" w:line="159" w:lineRule="exact"/>
              <w:rPr>
                <w:sz w:val="20"/>
                <w:szCs w:val="20"/>
                <w:color w:val="auto"/>
              </w:rPr>
            </w:pPr>
            <w:r>
              <w:rPr>
                <w:rFonts w:ascii="Times New Roman" w:cs="Times New Roman" w:eastAsia="Times New Roman" w:hAnsi="Times New Roman"/>
                <w:sz w:val="14"/>
                <w:szCs w:val="14"/>
                <w:color w:val="0E32E1"/>
              </w:rPr>
              <w:t>Controls and Procedures</w:t>
            </w:r>
          </w:p>
        </w:tc>
        <w:tc>
          <w:tcPr>
            <w:tcW w:w="7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44"/>
        </w:trPr>
        <w:tc>
          <w:tcPr>
            <w:tcW w:w="1000" w:type="dxa"/>
            <w:vAlign w:val="bottom"/>
          </w:tcPr>
          <w:p>
            <w:pPr>
              <w:spacing w:after="0"/>
              <w:rPr>
                <w:sz w:val="3"/>
                <w:szCs w:val="3"/>
                <w:color w:val="auto"/>
              </w:rPr>
            </w:pPr>
          </w:p>
        </w:tc>
        <w:tc>
          <w:tcPr>
            <w:tcW w:w="120" w:type="dxa"/>
            <w:vAlign w:val="bottom"/>
            <w:tcBorders>
              <w:top w:val="single" w:sz="8" w:color="0E32E1"/>
            </w:tcBorders>
          </w:tcPr>
          <w:p>
            <w:pPr>
              <w:spacing w:after="0"/>
              <w:rPr>
                <w:sz w:val="3"/>
                <w:szCs w:val="3"/>
                <w:color w:val="auto"/>
              </w:rPr>
            </w:pPr>
          </w:p>
        </w:tc>
        <w:tc>
          <w:tcPr>
            <w:tcW w:w="300" w:type="dxa"/>
            <w:vAlign w:val="bottom"/>
            <w:tcBorders>
              <w:top w:val="single" w:sz="8" w:color="0E32E1"/>
            </w:tcBorders>
          </w:tcPr>
          <w:p>
            <w:pPr>
              <w:spacing w:after="0"/>
              <w:rPr>
                <w:sz w:val="3"/>
                <w:szCs w:val="3"/>
                <w:color w:val="auto"/>
              </w:rPr>
            </w:pPr>
          </w:p>
        </w:tc>
        <w:tc>
          <w:tcPr>
            <w:tcW w:w="60" w:type="dxa"/>
            <w:vAlign w:val="bottom"/>
            <w:tcBorders>
              <w:top w:val="single" w:sz="8" w:color="0E32E1"/>
            </w:tcBorders>
          </w:tcPr>
          <w:p>
            <w:pPr>
              <w:spacing w:after="0"/>
              <w:rPr>
                <w:sz w:val="3"/>
                <w:szCs w:val="3"/>
                <w:color w:val="auto"/>
              </w:rPr>
            </w:pPr>
          </w:p>
        </w:tc>
        <w:tc>
          <w:tcPr>
            <w:tcW w:w="120" w:type="dxa"/>
            <w:vAlign w:val="bottom"/>
            <w:tcBorders>
              <w:top w:val="single" w:sz="8" w:color="0E32E1"/>
            </w:tcBorders>
          </w:tcPr>
          <w:p>
            <w:pPr>
              <w:spacing w:after="0"/>
              <w:rPr>
                <w:sz w:val="3"/>
                <w:szCs w:val="3"/>
                <w:color w:val="auto"/>
              </w:rPr>
            </w:pPr>
          </w:p>
        </w:tc>
        <w:tc>
          <w:tcPr>
            <w:tcW w:w="120" w:type="dxa"/>
            <w:vAlign w:val="bottom"/>
            <w:tcBorders>
              <w:top w:val="single" w:sz="8" w:color="0E32E1"/>
            </w:tcBorders>
          </w:tcPr>
          <w:p>
            <w:pPr>
              <w:spacing w:after="0"/>
              <w:rPr>
                <w:sz w:val="3"/>
                <w:szCs w:val="3"/>
                <w:color w:val="auto"/>
              </w:rPr>
            </w:pPr>
          </w:p>
        </w:tc>
        <w:tc>
          <w:tcPr>
            <w:tcW w:w="320" w:type="dxa"/>
            <w:vAlign w:val="bottom"/>
            <w:tcBorders>
              <w:top w:val="single" w:sz="8" w:color="0E32E1"/>
            </w:tcBorders>
          </w:tcPr>
          <w:p>
            <w:pPr>
              <w:spacing w:after="0"/>
              <w:rPr>
                <w:sz w:val="3"/>
                <w:szCs w:val="3"/>
                <w:color w:val="auto"/>
              </w:rPr>
            </w:pPr>
          </w:p>
        </w:tc>
        <w:tc>
          <w:tcPr>
            <w:tcW w:w="140" w:type="dxa"/>
            <w:vAlign w:val="bottom"/>
            <w:tcBorders>
              <w:top w:val="single" w:sz="8" w:color="0E32E1"/>
            </w:tcBorders>
          </w:tcPr>
          <w:p>
            <w:pPr>
              <w:spacing w:after="0"/>
              <w:rPr>
                <w:sz w:val="3"/>
                <w:szCs w:val="3"/>
                <w:color w:val="auto"/>
              </w:rPr>
            </w:pPr>
          </w:p>
        </w:tc>
        <w:tc>
          <w:tcPr>
            <w:tcW w:w="220" w:type="dxa"/>
            <w:vAlign w:val="bottom"/>
            <w:tcBorders>
              <w:top w:val="single" w:sz="8" w:color="0E32E1"/>
            </w:tcBorders>
          </w:tcPr>
          <w:p>
            <w:pPr>
              <w:spacing w:after="0"/>
              <w:rPr>
                <w:sz w:val="3"/>
                <w:szCs w:val="3"/>
                <w:color w:val="auto"/>
              </w:rPr>
            </w:pPr>
          </w:p>
        </w:tc>
        <w:tc>
          <w:tcPr>
            <w:tcW w:w="4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40" w:type="dxa"/>
            <w:vAlign w:val="bottom"/>
            <w:gridSpan w:val="11"/>
            <w:shd w:val="clear" w:color="auto" w:fill="CCEEFF"/>
          </w:tcPr>
          <w:p>
            <w:pPr>
              <w:jc w:val="center"/>
              <w:ind w:right="3460"/>
              <w:spacing w:after="0" w:line="159" w:lineRule="exact"/>
              <w:rPr>
                <w:sz w:val="20"/>
                <w:szCs w:val="20"/>
                <w:color w:val="auto"/>
              </w:rPr>
            </w:pPr>
            <w:r>
              <w:rPr>
                <w:rFonts w:ascii="Times New Roman" w:cs="Times New Roman" w:eastAsia="Times New Roman" w:hAnsi="Times New Roman"/>
                <w:sz w:val="14"/>
                <w:szCs w:val="14"/>
                <w:b w:val="1"/>
                <w:bCs w:val="1"/>
                <w:color w:val="0E32E1"/>
              </w:rPr>
              <w:t>Part II - Other Information</w:t>
            </w: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1000" w:type="dxa"/>
            <w:vAlign w:val="bottom"/>
            <w:tcBorders>
              <w:top w:val="single" w:sz="8" w:color="CCEEFF"/>
            </w:tcBorders>
          </w:tcPr>
          <w:p>
            <w:pPr>
              <w:spacing w:after="0" w:line="159" w:lineRule="exact"/>
              <w:rPr>
                <w:sz w:val="20"/>
                <w:szCs w:val="20"/>
                <w:color w:val="auto"/>
              </w:rPr>
            </w:pPr>
            <w:r>
              <w:rPr>
                <w:rFonts w:ascii="Times New Roman" w:cs="Times New Roman" w:eastAsia="Times New Roman" w:hAnsi="Times New Roman"/>
                <w:sz w:val="14"/>
                <w:szCs w:val="14"/>
                <w:color w:val="auto"/>
              </w:rPr>
              <w:t>Item 1.</w:t>
            </w:r>
          </w:p>
        </w:tc>
        <w:tc>
          <w:tcPr>
            <w:tcW w:w="3500" w:type="dxa"/>
            <w:vAlign w:val="bottom"/>
            <w:tcBorders>
              <w:top w:val="single" w:sz="8" w:color="CCEEFF"/>
            </w:tcBorders>
            <w:gridSpan w:val="13"/>
          </w:tcPr>
          <w:p>
            <w:pPr>
              <w:spacing w:after="0" w:line="159" w:lineRule="exact"/>
              <w:rPr>
                <w:sz w:val="20"/>
                <w:szCs w:val="20"/>
                <w:color w:val="auto"/>
              </w:rPr>
            </w:pPr>
            <w:r>
              <w:rPr>
                <w:rFonts w:ascii="Times New Roman" w:cs="Times New Roman" w:eastAsia="Times New Roman" w:hAnsi="Times New Roman"/>
                <w:sz w:val="14"/>
                <w:szCs w:val="14"/>
                <w:color w:val="0E32E1"/>
              </w:rPr>
              <w:t>Legal Proceedings</w:t>
            </w:r>
          </w:p>
        </w:tc>
        <w:tc>
          <w:tcPr>
            <w:tcW w:w="1660" w:type="dxa"/>
            <w:vAlign w:val="bottom"/>
            <w:tcBorders>
              <w:top w:val="single" w:sz="8" w:color="0E32E1"/>
            </w:tcBorders>
            <w:gridSpan w:val="3"/>
          </w:tcPr>
          <w:p>
            <w:pPr>
              <w:spacing w:after="0"/>
              <w:rPr>
                <w:sz w:val="13"/>
                <w:szCs w:val="13"/>
                <w:color w:val="auto"/>
              </w:rPr>
            </w:pPr>
          </w:p>
        </w:tc>
        <w:tc>
          <w:tcPr>
            <w:tcW w:w="3520" w:type="dxa"/>
            <w:vAlign w:val="bottom"/>
            <w:tcBorders>
              <w:top w:val="single" w:sz="8" w:color="CCEEFF"/>
            </w:tcBorders>
            <w:gridSpan w:val="7"/>
          </w:tcPr>
          <w:p>
            <w:pPr>
              <w:spacing w:after="0"/>
              <w:rPr>
                <w:sz w:val="13"/>
                <w:szCs w:val="13"/>
                <w:color w:val="auto"/>
              </w:rPr>
            </w:pPr>
          </w:p>
        </w:tc>
        <w:tc>
          <w:tcPr>
            <w:tcW w:w="760" w:type="dxa"/>
            <w:vAlign w:val="bottom"/>
            <w:tcBorders>
              <w:top w:val="single" w:sz="8" w:color="CCEEFF"/>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44"/>
        </w:trPr>
        <w:tc>
          <w:tcPr>
            <w:tcW w:w="1000" w:type="dxa"/>
            <w:vAlign w:val="bottom"/>
          </w:tcPr>
          <w:p>
            <w:pPr>
              <w:spacing w:after="0"/>
              <w:rPr>
                <w:sz w:val="3"/>
                <w:szCs w:val="3"/>
                <w:color w:val="auto"/>
              </w:rPr>
            </w:pPr>
          </w:p>
        </w:tc>
        <w:tc>
          <w:tcPr>
            <w:tcW w:w="120" w:type="dxa"/>
            <w:vAlign w:val="bottom"/>
            <w:tcBorders>
              <w:top w:val="single" w:sz="8" w:color="0E32E1"/>
            </w:tcBorders>
          </w:tcPr>
          <w:p>
            <w:pPr>
              <w:spacing w:after="0"/>
              <w:rPr>
                <w:sz w:val="3"/>
                <w:szCs w:val="3"/>
                <w:color w:val="auto"/>
              </w:rPr>
            </w:pPr>
          </w:p>
        </w:tc>
        <w:tc>
          <w:tcPr>
            <w:tcW w:w="300" w:type="dxa"/>
            <w:vAlign w:val="bottom"/>
            <w:tcBorders>
              <w:top w:val="single" w:sz="8" w:color="0E32E1"/>
            </w:tcBorders>
          </w:tcPr>
          <w:p>
            <w:pPr>
              <w:spacing w:after="0"/>
              <w:rPr>
                <w:sz w:val="3"/>
                <w:szCs w:val="3"/>
                <w:color w:val="auto"/>
              </w:rPr>
            </w:pPr>
          </w:p>
        </w:tc>
        <w:tc>
          <w:tcPr>
            <w:tcW w:w="60" w:type="dxa"/>
            <w:vAlign w:val="bottom"/>
            <w:tcBorders>
              <w:top w:val="single" w:sz="8" w:color="0E32E1"/>
            </w:tcBorders>
          </w:tcPr>
          <w:p>
            <w:pPr>
              <w:spacing w:after="0"/>
              <w:rPr>
                <w:sz w:val="3"/>
                <w:szCs w:val="3"/>
                <w:color w:val="auto"/>
              </w:rPr>
            </w:pPr>
          </w:p>
        </w:tc>
        <w:tc>
          <w:tcPr>
            <w:tcW w:w="120" w:type="dxa"/>
            <w:vAlign w:val="bottom"/>
            <w:tcBorders>
              <w:top w:val="single" w:sz="8" w:color="0E32E1"/>
            </w:tcBorders>
          </w:tcPr>
          <w:p>
            <w:pPr>
              <w:spacing w:after="0"/>
              <w:rPr>
                <w:sz w:val="3"/>
                <w:szCs w:val="3"/>
                <w:color w:val="auto"/>
              </w:rPr>
            </w:pPr>
          </w:p>
        </w:tc>
        <w:tc>
          <w:tcPr>
            <w:tcW w:w="120" w:type="dxa"/>
            <w:vAlign w:val="bottom"/>
            <w:tcBorders>
              <w:top w:val="single" w:sz="8" w:color="0E32E1"/>
            </w:tcBorders>
          </w:tcPr>
          <w:p>
            <w:pPr>
              <w:spacing w:after="0"/>
              <w:rPr>
                <w:sz w:val="3"/>
                <w:szCs w:val="3"/>
                <w:color w:val="auto"/>
              </w:rPr>
            </w:pPr>
          </w:p>
        </w:tc>
        <w:tc>
          <w:tcPr>
            <w:tcW w:w="320" w:type="dxa"/>
            <w:vAlign w:val="bottom"/>
            <w:tcBorders>
              <w:top w:val="single" w:sz="8" w:color="0E32E1"/>
            </w:tcBorders>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000" w:type="dxa"/>
            <w:vAlign w:val="bottom"/>
            <w:tcBorders>
              <w:bottom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Item 1A.</w:t>
            </w:r>
          </w:p>
        </w:tc>
        <w:tc>
          <w:tcPr>
            <w:tcW w:w="720" w:type="dxa"/>
            <w:vAlign w:val="bottom"/>
            <w:tcBorders>
              <w:bottom w:val="single" w:sz="8" w:color="0E32E1"/>
            </w:tcBorders>
            <w:gridSpan w:val="5"/>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E32E1"/>
                <w:w w:val="99"/>
              </w:rPr>
              <w:t>Risk Factors</w:t>
            </w:r>
          </w:p>
        </w:tc>
        <w:tc>
          <w:tcPr>
            <w:tcW w:w="7960" w:type="dxa"/>
            <w:vAlign w:val="bottom"/>
            <w:tcBorders>
              <w:bottom w:val="single" w:sz="8" w:color="CCEEFF"/>
            </w:tcBorders>
            <w:gridSpan w:val="18"/>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59"/>
        </w:trPr>
        <w:tc>
          <w:tcPr>
            <w:tcW w:w="100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Item 2.</w:t>
            </w:r>
          </w:p>
        </w:tc>
        <w:tc>
          <w:tcPr>
            <w:tcW w:w="8680" w:type="dxa"/>
            <w:vAlign w:val="bottom"/>
            <w:gridSpan w:val="23"/>
          </w:tcPr>
          <w:p>
            <w:pPr>
              <w:spacing w:after="0" w:line="159" w:lineRule="exact"/>
              <w:rPr>
                <w:sz w:val="20"/>
                <w:szCs w:val="20"/>
                <w:color w:val="auto"/>
              </w:rPr>
            </w:pPr>
            <w:r>
              <w:rPr>
                <w:rFonts w:ascii="Times New Roman" w:cs="Times New Roman" w:eastAsia="Times New Roman" w:hAnsi="Times New Roman"/>
                <w:sz w:val="14"/>
                <w:szCs w:val="14"/>
                <w:color w:val="0E32E1"/>
              </w:rPr>
              <w:t>Unregistered Sales of Equity Securities and Use of Proceeds</w:t>
            </w:r>
          </w:p>
        </w:tc>
        <w:tc>
          <w:tcPr>
            <w:tcW w:w="7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44"/>
        </w:trPr>
        <w:tc>
          <w:tcPr>
            <w:tcW w:w="1000" w:type="dxa"/>
            <w:vAlign w:val="bottom"/>
          </w:tcPr>
          <w:p>
            <w:pPr>
              <w:spacing w:after="0"/>
              <w:rPr>
                <w:sz w:val="3"/>
                <w:szCs w:val="3"/>
                <w:color w:val="auto"/>
              </w:rPr>
            </w:pPr>
          </w:p>
        </w:tc>
        <w:tc>
          <w:tcPr>
            <w:tcW w:w="120" w:type="dxa"/>
            <w:vAlign w:val="bottom"/>
            <w:tcBorders>
              <w:top w:val="single" w:sz="8" w:color="0E32E1"/>
            </w:tcBorders>
          </w:tcPr>
          <w:p>
            <w:pPr>
              <w:spacing w:after="0"/>
              <w:rPr>
                <w:sz w:val="3"/>
                <w:szCs w:val="3"/>
                <w:color w:val="auto"/>
              </w:rPr>
            </w:pPr>
          </w:p>
        </w:tc>
        <w:tc>
          <w:tcPr>
            <w:tcW w:w="300" w:type="dxa"/>
            <w:vAlign w:val="bottom"/>
            <w:tcBorders>
              <w:top w:val="single" w:sz="8" w:color="0E32E1"/>
            </w:tcBorders>
          </w:tcPr>
          <w:p>
            <w:pPr>
              <w:spacing w:after="0"/>
              <w:rPr>
                <w:sz w:val="3"/>
                <w:szCs w:val="3"/>
                <w:color w:val="auto"/>
              </w:rPr>
            </w:pPr>
          </w:p>
        </w:tc>
        <w:tc>
          <w:tcPr>
            <w:tcW w:w="60" w:type="dxa"/>
            <w:vAlign w:val="bottom"/>
            <w:tcBorders>
              <w:top w:val="single" w:sz="8" w:color="0E32E1"/>
            </w:tcBorders>
          </w:tcPr>
          <w:p>
            <w:pPr>
              <w:spacing w:after="0"/>
              <w:rPr>
                <w:sz w:val="3"/>
                <w:szCs w:val="3"/>
                <w:color w:val="auto"/>
              </w:rPr>
            </w:pPr>
          </w:p>
        </w:tc>
        <w:tc>
          <w:tcPr>
            <w:tcW w:w="120" w:type="dxa"/>
            <w:vAlign w:val="bottom"/>
            <w:tcBorders>
              <w:top w:val="single" w:sz="8" w:color="0E32E1"/>
            </w:tcBorders>
          </w:tcPr>
          <w:p>
            <w:pPr>
              <w:spacing w:after="0"/>
              <w:rPr>
                <w:sz w:val="3"/>
                <w:szCs w:val="3"/>
                <w:color w:val="auto"/>
              </w:rPr>
            </w:pPr>
          </w:p>
        </w:tc>
        <w:tc>
          <w:tcPr>
            <w:tcW w:w="120" w:type="dxa"/>
            <w:vAlign w:val="bottom"/>
            <w:tcBorders>
              <w:top w:val="single" w:sz="8" w:color="0E32E1"/>
            </w:tcBorders>
          </w:tcPr>
          <w:p>
            <w:pPr>
              <w:spacing w:after="0"/>
              <w:rPr>
                <w:sz w:val="3"/>
                <w:szCs w:val="3"/>
                <w:color w:val="auto"/>
              </w:rPr>
            </w:pPr>
          </w:p>
        </w:tc>
        <w:tc>
          <w:tcPr>
            <w:tcW w:w="320" w:type="dxa"/>
            <w:vAlign w:val="bottom"/>
            <w:tcBorders>
              <w:top w:val="single" w:sz="8" w:color="0E32E1"/>
            </w:tcBorders>
          </w:tcPr>
          <w:p>
            <w:pPr>
              <w:spacing w:after="0"/>
              <w:rPr>
                <w:sz w:val="3"/>
                <w:szCs w:val="3"/>
                <w:color w:val="auto"/>
              </w:rPr>
            </w:pPr>
          </w:p>
        </w:tc>
        <w:tc>
          <w:tcPr>
            <w:tcW w:w="140" w:type="dxa"/>
            <w:vAlign w:val="bottom"/>
            <w:tcBorders>
              <w:top w:val="single" w:sz="8" w:color="0E32E1"/>
            </w:tcBorders>
          </w:tcPr>
          <w:p>
            <w:pPr>
              <w:spacing w:after="0"/>
              <w:rPr>
                <w:sz w:val="3"/>
                <w:szCs w:val="3"/>
                <w:color w:val="auto"/>
              </w:rPr>
            </w:pPr>
          </w:p>
        </w:tc>
        <w:tc>
          <w:tcPr>
            <w:tcW w:w="220" w:type="dxa"/>
            <w:vAlign w:val="bottom"/>
            <w:tcBorders>
              <w:top w:val="single" w:sz="8" w:color="0E32E1"/>
            </w:tcBorders>
          </w:tcPr>
          <w:p>
            <w:pPr>
              <w:spacing w:after="0"/>
              <w:rPr>
                <w:sz w:val="3"/>
                <w:szCs w:val="3"/>
                <w:color w:val="auto"/>
              </w:rPr>
            </w:pPr>
          </w:p>
        </w:tc>
        <w:tc>
          <w:tcPr>
            <w:tcW w:w="420" w:type="dxa"/>
            <w:vAlign w:val="bottom"/>
            <w:tcBorders>
              <w:top w:val="single" w:sz="8" w:color="0E32E1"/>
            </w:tcBorders>
          </w:tcPr>
          <w:p>
            <w:pPr>
              <w:spacing w:after="0"/>
              <w:rPr>
                <w:sz w:val="3"/>
                <w:szCs w:val="3"/>
                <w:color w:val="auto"/>
              </w:rPr>
            </w:pPr>
          </w:p>
        </w:tc>
        <w:tc>
          <w:tcPr>
            <w:tcW w:w="1440" w:type="dxa"/>
            <w:vAlign w:val="bottom"/>
            <w:tcBorders>
              <w:top w:val="single" w:sz="8" w:color="0E32E1"/>
            </w:tcBorders>
          </w:tcPr>
          <w:p>
            <w:pPr>
              <w:spacing w:after="0"/>
              <w:rPr>
                <w:sz w:val="3"/>
                <w:szCs w:val="3"/>
                <w:color w:val="auto"/>
              </w:rPr>
            </w:pPr>
          </w:p>
        </w:tc>
        <w:tc>
          <w:tcPr>
            <w:tcW w:w="160" w:type="dxa"/>
            <w:vAlign w:val="bottom"/>
            <w:tcBorders>
              <w:top w:val="single" w:sz="8" w:color="0E32E1"/>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0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Item 3.</w:t>
            </w:r>
          </w:p>
        </w:tc>
        <w:tc>
          <w:tcPr>
            <w:tcW w:w="8680" w:type="dxa"/>
            <w:vAlign w:val="bottom"/>
            <w:gridSpan w:val="23"/>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E32E1"/>
              </w:rPr>
              <w:t>Defaults Upon Senior Securities</w:t>
            </w:r>
          </w:p>
        </w:tc>
        <w:tc>
          <w:tcPr>
            <w:tcW w:w="7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59"/>
        </w:trPr>
        <w:tc>
          <w:tcPr>
            <w:tcW w:w="1000" w:type="dxa"/>
            <w:vAlign w:val="bottom"/>
            <w:tcBorders>
              <w:top w:val="single" w:sz="8" w:color="CCEEFF"/>
            </w:tcBorders>
          </w:tcPr>
          <w:p>
            <w:pPr>
              <w:spacing w:after="0" w:line="159" w:lineRule="exact"/>
              <w:rPr>
                <w:sz w:val="20"/>
                <w:szCs w:val="20"/>
                <w:color w:val="auto"/>
              </w:rPr>
            </w:pPr>
            <w:r>
              <w:rPr>
                <w:rFonts w:ascii="Times New Roman" w:cs="Times New Roman" w:eastAsia="Times New Roman" w:hAnsi="Times New Roman"/>
                <w:sz w:val="14"/>
                <w:szCs w:val="14"/>
                <w:color w:val="auto"/>
              </w:rPr>
              <w:t>Item 4.</w:t>
            </w:r>
          </w:p>
        </w:tc>
        <w:tc>
          <w:tcPr>
            <w:tcW w:w="1820" w:type="dxa"/>
            <w:vAlign w:val="bottom"/>
            <w:tcBorders>
              <w:top w:val="single" w:sz="8" w:color="0E32E1"/>
            </w:tcBorders>
            <w:gridSpan w:val="9"/>
          </w:tcPr>
          <w:p>
            <w:pPr>
              <w:spacing w:after="0" w:line="159" w:lineRule="exact"/>
              <w:rPr>
                <w:sz w:val="20"/>
                <w:szCs w:val="20"/>
                <w:color w:val="auto"/>
              </w:rPr>
            </w:pPr>
            <w:r>
              <w:rPr>
                <w:rFonts w:ascii="Times New Roman" w:cs="Times New Roman" w:eastAsia="Times New Roman" w:hAnsi="Times New Roman"/>
                <w:sz w:val="14"/>
                <w:szCs w:val="14"/>
                <w:color w:val="0E32E1"/>
              </w:rPr>
              <w:t>Mine Safety Disclosures</w:t>
            </w:r>
          </w:p>
        </w:tc>
        <w:tc>
          <w:tcPr>
            <w:tcW w:w="6860" w:type="dxa"/>
            <w:vAlign w:val="bottom"/>
            <w:tcBorders>
              <w:top w:val="single" w:sz="8" w:color="CCEEFF"/>
            </w:tcBorders>
            <w:gridSpan w:val="14"/>
          </w:tcPr>
          <w:p>
            <w:pPr>
              <w:spacing w:after="0"/>
              <w:rPr>
                <w:sz w:val="13"/>
                <w:szCs w:val="13"/>
                <w:color w:val="auto"/>
              </w:rPr>
            </w:pPr>
          </w:p>
        </w:tc>
        <w:tc>
          <w:tcPr>
            <w:tcW w:w="760" w:type="dxa"/>
            <w:vAlign w:val="bottom"/>
            <w:tcBorders>
              <w:top w:val="single" w:sz="8" w:color="CCEEFF"/>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44"/>
        </w:trPr>
        <w:tc>
          <w:tcPr>
            <w:tcW w:w="1000" w:type="dxa"/>
            <w:vAlign w:val="bottom"/>
          </w:tcPr>
          <w:p>
            <w:pPr>
              <w:spacing w:after="0"/>
              <w:rPr>
                <w:sz w:val="3"/>
                <w:szCs w:val="3"/>
                <w:color w:val="auto"/>
              </w:rPr>
            </w:pPr>
          </w:p>
        </w:tc>
        <w:tc>
          <w:tcPr>
            <w:tcW w:w="120" w:type="dxa"/>
            <w:vAlign w:val="bottom"/>
            <w:tcBorders>
              <w:top w:val="single" w:sz="8" w:color="0E32E1"/>
            </w:tcBorders>
          </w:tcPr>
          <w:p>
            <w:pPr>
              <w:spacing w:after="0"/>
              <w:rPr>
                <w:sz w:val="3"/>
                <w:szCs w:val="3"/>
                <w:color w:val="auto"/>
              </w:rPr>
            </w:pPr>
          </w:p>
        </w:tc>
        <w:tc>
          <w:tcPr>
            <w:tcW w:w="300" w:type="dxa"/>
            <w:vAlign w:val="bottom"/>
            <w:tcBorders>
              <w:top w:val="single" w:sz="8" w:color="0E32E1"/>
            </w:tcBorders>
          </w:tcPr>
          <w:p>
            <w:pPr>
              <w:spacing w:after="0"/>
              <w:rPr>
                <w:sz w:val="3"/>
                <w:szCs w:val="3"/>
                <w:color w:val="auto"/>
              </w:rPr>
            </w:pPr>
          </w:p>
        </w:tc>
        <w:tc>
          <w:tcPr>
            <w:tcW w:w="60" w:type="dxa"/>
            <w:vAlign w:val="bottom"/>
            <w:tcBorders>
              <w:top w:val="single" w:sz="8" w:color="0E32E1"/>
            </w:tcBorders>
          </w:tcPr>
          <w:p>
            <w:pPr>
              <w:spacing w:after="0"/>
              <w:rPr>
                <w:sz w:val="3"/>
                <w:szCs w:val="3"/>
                <w:color w:val="auto"/>
              </w:rPr>
            </w:pPr>
          </w:p>
        </w:tc>
        <w:tc>
          <w:tcPr>
            <w:tcW w:w="120" w:type="dxa"/>
            <w:vAlign w:val="bottom"/>
            <w:tcBorders>
              <w:top w:val="single" w:sz="8" w:color="0E32E1"/>
            </w:tcBorders>
          </w:tcPr>
          <w:p>
            <w:pPr>
              <w:spacing w:after="0"/>
              <w:rPr>
                <w:sz w:val="3"/>
                <w:szCs w:val="3"/>
                <w:color w:val="auto"/>
              </w:rPr>
            </w:pPr>
          </w:p>
        </w:tc>
        <w:tc>
          <w:tcPr>
            <w:tcW w:w="120" w:type="dxa"/>
            <w:vAlign w:val="bottom"/>
            <w:tcBorders>
              <w:top w:val="single" w:sz="8" w:color="0E32E1"/>
            </w:tcBorders>
          </w:tcPr>
          <w:p>
            <w:pPr>
              <w:spacing w:after="0"/>
              <w:rPr>
                <w:sz w:val="3"/>
                <w:szCs w:val="3"/>
                <w:color w:val="auto"/>
              </w:rPr>
            </w:pPr>
          </w:p>
        </w:tc>
        <w:tc>
          <w:tcPr>
            <w:tcW w:w="320" w:type="dxa"/>
            <w:vAlign w:val="bottom"/>
            <w:tcBorders>
              <w:top w:val="single" w:sz="8" w:color="0E32E1"/>
            </w:tcBorders>
          </w:tcPr>
          <w:p>
            <w:pPr>
              <w:spacing w:after="0"/>
              <w:rPr>
                <w:sz w:val="3"/>
                <w:szCs w:val="3"/>
                <w:color w:val="auto"/>
              </w:rPr>
            </w:pPr>
          </w:p>
        </w:tc>
        <w:tc>
          <w:tcPr>
            <w:tcW w:w="140" w:type="dxa"/>
            <w:vAlign w:val="bottom"/>
            <w:tcBorders>
              <w:top w:val="single" w:sz="8" w:color="0E32E1"/>
            </w:tcBorders>
          </w:tcPr>
          <w:p>
            <w:pPr>
              <w:spacing w:after="0"/>
              <w:rPr>
                <w:sz w:val="3"/>
                <w:szCs w:val="3"/>
                <w:color w:val="auto"/>
              </w:rPr>
            </w:pPr>
          </w:p>
        </w:tc>
        <w:tc>
          <w:tcPr>
            <w:tcW w:w="220" w:type="dxa"/>
            <w:vAlign w:val="bottom"/>
            <w:tcBorders>
              <w:top w:val="single" w:sz="8" w:color="0E32E1"/>
            </w:tcBorders>
          </w:tcPr>
          <w:p>
            <w:pPr>
              <w:spacing w:after="0"/>
              <w:rPr>
                <w:sz w:val="3"/>
                <w:szCs w:val="3"/>
                <w:color w:val="auto"/>
              </w:rPr>
            </w:pPr>
          </w:p>
        </w:tc>
        <w:tc>
          <w:tcPr>
            <w:tcW w:w="4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000" w:type="dxa"/>
            <w:vAlign w:val="bottom"/>
            <w:tcBorders>
              <w:bottom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Item 5.</w:t>
            </w:r>
          </w:p>
        </w:tc>
        <w:tc>
          <w:tcPr>
            <w:tcW w:w="1040" w:type="dxa"/>
            <w:vAlign w:val="bottom"/>
            <w:tcBorders>
              <w:bottom w:val="single" w:sz="8" w:color="0E32E1"/>
            </w:tcBorders>
            <w:gridSpan w:val="6"/>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E32E1"/>
                <w:w w:val="99"/>
              </w:rPr>
              <w:t>Other Information</w:t>
            </w:r>
          </w:p>
        </w:tc>
        <w:tc>
          <w:tcPr>
            <w:tcW w:w="7640" w:type="dxa"/>
            <w:vAlign w:val="bottom"/>
            <w:tcBorders>
              <w:bottom w:val="single" w:sz="8" w:color="CCEEFF"/>
            </w:tcBorders>
            <w:gridSpan w:val="17"/>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59"/>
        </w:trPr>
        <w:tc>
          <w:tcPr>
            <w:tcW w:w="100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Item 6.</w:t>
            </w:r>
          </w:p>
        </w:tc>
        <w:tc>
          <w:tcPr>
            <w:tcW w:w="8680" w:type="dxa"/>
            <w:vAlign w:val="bottom"/>
            <w:gridSpan w:val="23"/>
          </w:tcPr>
          <w:p>
            <w:pPr>
              <w:spacing w:after="0" w:line="159" w:lineRule="exact"/>
              <w:rPr>
                <w:sz w:val="20"/>
                <w:szCs w:val="20"/>
                <w:color w:val="auto"/>
              </w:rPr>
            </w:pPr>
            <w:r>
              <w:rPr>
                <w:rFonts w:ascii="Times New Roman" w:cs="Times New Roman" w:eastAsia="Times New Roman" w:hAnsi="Times New Roman"/>
                <w:sz w:val="14"/>
                <w:szCs w:val="14"/>
                <w:color w:val="0E32E1"/>
              </w:rPr>
              <w:t>Exhibits</w:t>
            </w:r>
          </w:p>
        </w:tc>
        <w:tc>
          <w:tcPr>
            <w:tcW w:w="7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44"/>
        </w:trPr>
        <w:tc>
          <w:tcPr>
            <w:tcW w:w="1000" w:type="dxa"/>
            <w:vAlign w:val="bottom"/>
          </w:tcPr>
          <w:p>
            <w:pPr>
              <w:spacing w:after="0"/>
              <w:rPr>
                <w:sz w:val="3"/>
                <w:szCs w:val="3"/>
                <w:color w:val="auto"/>
              </w:rPr>
            </w:pPr>
          </w:p>
        </w:tc>
        <w:tc>
          <w:tcPr>
            <w:tcW w:w="120" w:type="dxa"/>
            <w:vAlign w:val="bottom"/>
            <w:tcBorders>
              <w:top w:val="single" w:sz="8" w:color="0E32E1"/>
            </w:tcBorders>
          </w:tcPr>
          <w:p>
            <w:pPr>
              <w:spacing w:after="0"/>
              <w:rPr>
                <w:sz w:val="3"/>
                <w:szCs w:val="3"/>
                <w:color w:val="auto"/>
              </w:rPr>
            </w:pPr>
          </w:p>
        </w:tc>
        <w:tc>
          <w:tcPr>
            <w:tcW w:w="300" w:type="dxa"/>
            <w:vAlign w:val="bottom"/>
            <w:tcBorders>
              <w:top w:val="single" w:sz="8" w:color="0E32E1"/>
            </w:tcBorders>
          </w:tcPr>
          <w:p>
            <w:pPr>
              <w:spacing w:after="0"/>
              <w:rPr>
                <w:sz w:val="3"/>
                <w:szCs w:val="3"/>
                <w:color w:val="auto"/>
              </w:rPr>
            </w:pPr>
          </w:p>
        </w:tc>
        <w:tc>
          <w:tcPr>
            <w:tcW w:w="60" w:type="dxa"/>
            <w:vAlign w:val="bottom"/>
            <w:tcBorders>
              <w:top w:val="single" w:sz="8" w:color="0E32E1"/>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1000" w:type="dxa"/>
            <w:vAlign w:val="bottom"/>
            <w:shd w:val="clear" w:color="auto" w:fill="CCEEFF"/>
          </w:tcPr>
          <w:p>
            <w:pPr>
              <w:spacing w:after="0"/>
              <w:rPr>
                <w:sz w:val="13"/>
                <w:szCs w:val="13"/>
                <w:color w:val="auto"/>
              </w:rPr>
            </w:pPr>
          </w:p>
        </w:tc>
        <w:tc>
          <w:tcPr>
            <w:tcW w:w="8680" w:type="dxa"/>
            <w:vAlign w:val="bottom"/>
            <w:gridSpan w:val="23"/>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E32E1"/>
              </w:rPr>
              <w:t>Signatures</w:t>
            </w:r>
          </w:p>
        </w:tc>
        <w:tc>
          <w:tcPr>
            <w:tcW w:w="7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44"/>
        </w:trPr>
        <w:tc>
          <w:tcPr>
            <w:tcW w:w="10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0E32E1"/>
            </w:tcBorders>
            <w:shd w:val="clear" w:color="auto" w:fill="CCEEFF"/>
          </w:tcPr>
          <w:p>
            <w:pPr>
              <w:spacing w:after="0"/>
              <w:rPr>
                <w:sz w:val="3"/>
                <w:szCs w:val="3"/>
                <w:color w:val="auto"/>
              </w:rPr>
            </w:pPr>
          </w:p>
        </w:tc>
        <w:tc>
          <w:tcPr>
            <w:tcW w:w="300" w:type="dxa"/>
            <w:vAlign w:val="bottom"/>
            <w:tcBorders>
              <w:top w:val="single" w:sz="8" w:color="0E32E1"/>
            </w:tcBorders>
            <w:shd w:val="clear" w:color="auto" w:fill="CCEEFF"/>
          </w:tcPr>
          <w:p>
            <w:pPr>
              <w:spacing w:after="0"/>
              <w:rPr>
                <w:sz w:val="3"/>
                <w:szCs w:val="3"/>
                <w:color w:val="auto"/>
              </w:rPr>
            </w:pPr>
          </w:p>
        </w:tc>
        <w:tc>
          <w:tcPr>
            <w:tcW w:w="60" w:type="dxa"/>
            <w:vAlign w:val="bottom"/>
            <w:tcBorders>
              <w:top w:val="single" w:sz="8" w:color="0E32E1"/>
            </w:tcBorders>
            <w:shd w:val="clear" w:color="auto" w:fill="CCEEFF"/>
          </w:tcPr>
          <w:p>
            <w:pPr>
              <w:spacing w:after="0"/>
              <w:rPr>
                <w:sz w:val="3"/>
                <w:szCs w:val="3"/>
                <w:color w:val="auto"/>
              </w:rPr>
            </w:pPr>
          </w:p>
        </w:tc>
        <w:tc>
          <w:tcPr>
            <w:tcW w:w="120" w:type="dxa"/>
            <w:vAlign w:val="bottom"/>
            <w:tcBorders>
              <w:top w:val="single" w:sz="8" w:color="0E32E1"/>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14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3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18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440"/>
          </w:cols>
          <w:pgMar w:left="480" w:top="1226" w:right="97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CAUTIONARY NOTE ON FORWARD-LOOKING STATEMENTS</w:t>
      </w:r>
    </w:p>
    <w:p>
      <w:pPr>
        <w:spacing w:after="0" w:line="138"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This Quarterly Report on Form 10-Q contains forward-looking statements within the meaning of the Private Securities Litigation Reform Act of 1995, Section 27A of the Securities Act of 1933, as amended (the “Securities Act”), and Section 21E of the Securities Exchange Act of 1934, as amended (the “Exchange Act”). These statements include, but are not limited to, the Company’s expectations or predictions of future financial or business performance or conditions. Forward-looking statements are inherently subject to risks, uncertainties and assumptions. Generally, statements that are not historical facts, including statements concerning the Company’s possible or assumed future actions, business strategies, events or results of operations, are forward-looking statements. These statements may be preceded by, followed by or include the words “believes,” “estimates,” “expects,” “projects,” “forecasts,” “may,” “will,” “should,” “seeks,” “plans,” “scheduled,” “anticipates,” or “intends” or similar expressions.</w:t>
      </w:r>
    </w:p>
    <w:p>
      <w:pPr>
        <w:spacing w:after="0" w:line="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Forward-looking statements contained in this Quarterly Report on Form 10-Q include, but are not limited to, statements about the Company’s ability to, or expectations that it will:</w:t>
      </w:r>
    </w:p>
    <w:p>
      <w:pPr>
        <w:spacing w:after="0" w:line="51"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meet the technical requirements of existing or future agreements with its customers, including with respect to existing backlog;</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 its target customer base and maintain its existing customer base;</w:t>
      </w:r>
    </w:p>
    <w:p>
      <w:pPr>
        <w:spacing w:after="0" w:line="51" w:lineRule="exact"/>
        <w:rPr>
          <w:rFonts w:ascii="Times New Roman" w:cs="Times New Roman" w:eastAsia="Times New Roman" w:hAnsi="Times New Roman"/>
          <w:sz w:val="14"/>
          <w:szCs w:val="14"/>
          <w:color w:val="auto"/>
        </w:rPr>
      </w:pPr>
    </w:p>
    <w:p>
      <w:pPr>
        <w:ind w:left="520" w:right="40" w:hanging="260"/>
        <w:spacing w:after="0" w:line="284"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realize the benefits expected from its GreenBox Systems LLC joint venture, which is now doing business as Exol (“Exol”), the commercial agreement with Exol, the commercial agreement with Nueva Wal Mart de México, S. de R.L. de C.V and the acquisition of the Advanced Systems and Robotics business from Walmart;</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realize its outlook, including its system gross margin;</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 industry trends;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and enhance its systems;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execute its growth strategy;</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design and sell systems that are differentiated from those of competitors;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execute its research and development strategy;</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 maintain, protect and enforce intellectual property;</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attract, train and retain effective officers, key employees or directors;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laws and regulations applicable to its business;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stay abreast of modified or new laws and regulations applying to its business;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successfully defend litigation;</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equity securities in connection with future transactions;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meet future liquidity requirements and, if applicable, comply with restrictive covenants related to long-term indebtedness;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timely and effectively remediate any material weaknesses in its internal control over financial reporting;</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 rapid technological changes;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the listing of the Symbotic common stock on Nasdaq;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effectively respond to general economic and business conditions.</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Forward-looking statements made in this Quarterly Report on Form 10-Q also include, but are not limited to, statements with respect to:</w:t>
      </w:r>
    </w:p>
    <w:p>
      <w:pPr>
        <w:spacing w:after="0" w:line="51" w:lineRule="exact"/>
        <w:rPr>
          <w:sz w:val="20"/>
          <w:szCs w:val="20"/>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future performance of Symbotic’s business and operations;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expectations regarding revenues, expenses, adjusted EBITDA and anticipated cash needs;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expectations regarding cash flow, liquidity and sources of funding;</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expectations regarding capital expenditures;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anticipated benefits of Symbotic’s leadership structure;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pending and future legislation;</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disruption;</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 to the business due to Symbotic’s dependency on Walmart;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173" w:right="379" w:bottom="1440" w:gutter="0" w:footer="0" w:header="0"/>
        </w:sectPr>
      </w:pPr>
    </w:p>
    <w:bookmarkStart w:id="4" w:name="page5"/>
    <w:bookmarkEnd w:id="4"/>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competition in the warehouse automation industry;</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delays in the design, production or launch of Symbotic’s systems and products;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to meet customers’ requirements under existing or future contracts or customer’s expectations as to price or pricing structure;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defects in new products or enhancements to existing products;</w:t>
      </w:r>
    </w:p>
    <w:p>
      <w:pPr>
        <w:spacing w:after="0" w:line="51" w:lineRule="exact"/>
        <w:rPr>
          <w:rFonts w:ascii="Times New Roman" w:cs="Times New Roman" w:eastAsia="Times New Roman" w:hAnsi="Times New Roman"/>
          <w:sz w:val="14"/>
          <w:szCs w:val="14"/>
          <w:color w:val="auto"/>
        </w:rPr>
      </w:pPr>
    </w:p>
    <w:p>
      <w:pPr>
        <w:ind w:left="520" w:right="60" w:hanging="260"/>
        <w:spacing w:after="0" w:line="284"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fluctuation of operating results from period to period due to a number of factors, including the pace of customer adoption of Symbotic’s new products and services and any changes in its product mix that shift too far into lower gross margin products;</w:t>
      </w: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consequences associated with joint ventures and legislative and regulatory actions and reforms.</w:t>
      </w:r>
    </w:p>
    <w:p>
      <w:pPr>
        <w:spacing w:after="0" w:line="51"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Such forward-looking statements involve risks and uncertainties that may cause actual events, results or performance to differ materially from those indicated by such statements. Certain of these risks are identified and discussed in other sections of this Quarterly Report on Form 10-Q and in the Company’s Annual Report on Form 10-K filed with the U.S. Securities and Exchange Commission (“SEC”) on November 24, 2025. These risk factors will be important to consider in determining future results and should be reviewed in their entirety. These forward-looking statements are expressed in good faith, and the Company believes there is a reasonable basis for them. However, there can be no assurance that the events, results or trends identified in these forward-looking statements will occur or be achieved. Forward-looking statements are provided for the purposes of assisting the reader in understanding the Company’s financial performance, financial position and cash flows as of and for periods ended on certain dates and to present information about management’s current expectations and plans relating to the future, and the reader is cautioned not to place undue reliance on these forward-looking statements because of their inherent uncertainty and to appreciate the limited purposes for which they are being used by management. While the Company believes that the assumptions and expectations reflected in the forward-looking statements are reasonable based on information currently available to management, there is no assurance that such assumptions and expectations will prove to have been correct.</w:t>
      </w:r>
    </w:p>
    <w:p>
      <w:pPr>
        <w:spacing w:after="0" w:line="19" w:lineRule="exact"/>
        <w:rPr>
          <w:sz w:val="20"/>
          <w:szCs w:val="20"/>
          <w:color w:val="auto"/>
        </w:rPr>
      </w:pPr>
    </w:p>
    <w:p>
      <w:pPr>
        <w:ind w:right="260" w:firstLine="255"/>
        <w:spacing w:after="0" w:line="270" w:lineRule="auto"/>
        <w:rPr>
          <w:sz w:val="20"/>
          <w:szCs w:val="20"/>
          <w:color w:val="auto"/>
        </w:rPr>
      </w:pPr>
      <w:r>
        <w:rPr>
          <w:rFonts w:ascii="Times New Roman" w:cs="Times New Roman" w:eastAsia="Times New Roman" w:hAnsi="Times New Roman"/>
          <w:sz w:val="14"/>
          <w:szCs w:val="14"/>
          <w:color w:val="auto"/>
        </w:rPr>
        <w:t>The forward-looking statements made in this Quarterly Report on Form 10-Q relate only to events as of the date on which the statements are made and are based on the beliefs, estimates, expectations and opinions of management on that date. The Company is not under any obligation, and expressly disclaims any obligation, to update, alter or otherwise revise any forward-looking statements made in this Quarterly Report on Form 10-Q, whether as a result of new information, future events or otherwise, except as required by law.</w:t>
      </w:r>
    </w:p>
    <w:p>
      <w:pPr>
        <w:spacing w:after="0" w:line="8"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In addition to factors previously disclosed in the Company’s Annual Report on Form 10-K filed with the SEC on November 24, 2025, and those identified elsewhere in this Quarterly Report on Form 10-Q, the following factors, among others, could cause actual results to differ materially from forward-looking statements or historical performance: failure to realize the benefits expected from adding to Symbotic’s base of outsourcing partners and the effects of pending and future legislation.</w:t>
      </w:r>
    </w:p>
    <w:p>
      <w:pPr>
        <w:spacing w:after="0" w:line="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Annualized and estimated numbers are not forecasts and may not reflect actual results.</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this Quarterly Report on Form 10-Q, the terms “Symbotic,” “we,” “us,” and “our” refer to Symbotic Inc. and its subsidiaries, unless the context indicates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28" w:right="339" w:bottom="1440" w:gutter="0" w:footer="0" w:header="0"/>
        </w:sectPr>
      </w:pPr>
    </w:p>
    <w:bookmarkStart w:id="5" w:name="page6"/>
    <w:bookmarkEnd w:id="5"/>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Unaudited Condensed Consolidated Financial Statements</w:t>
      </w:r>
    </w:p>
    <w:p>
      <w:pPr>
        <w:spacing w:after="0" w:line="32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Symbotic Inc.</w:t>
      </w:r>
    </w:p>
    <w:p>
      <w:pPr>
        <w:spacing w:after="0" w:line="5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Unaudited Condensed Consolidated Balance Sheets</w:t>
      </w:r>
    </w:p>
    <w:p>
      <w:pPr>
        <w:spacing w:after="0" w:line="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(in thousands, except share data)</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December 27, 2025</w:t>
            </w:r>
          </w:p>
        </w:tc>
        <w:tc>
          <w:tcPr>
            <w:tcW w:w="160" w:type="dxa"/>
            <w:vAlign w:val="bottom"/>
          </w:tcPr>
          <w:p>
            <w:pPr>
              <w:spacing w:after="0"/>
              <w:rPr>
                <w:sz w:val="14"/>
                <w:szCs w:val="14"/>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3"/>
                <w:szCs w:val="13"/>
                <w:b w:val="1"/>
                <w:bCs w:val="1"/>
                <w:color w:val="auto"/>
              </w:rPr>
              <w:t>September 27, 2025</w:t>
            </w:r>
          </w:p>
        </w:tc>
      </w:tr>
      <w:tr>
        <w:trPr>
          <w:trHeight w:val="26"/>
        </w:trPr>
        <w:tc>
          <w:tcPr>
            <w:tcW w:w="3800" w:type="dxa"/>
            <w:vAlign w:val="bottom"/>
          </w:tcPr>
          <w:p>
            <w:pPr>
              <w:spacing w:after="0"/>
              <w:rPr>
                <w:sz w:val="2"/>
                <w:szCs w:val="2"/>
                <w:color w:val="auto"/>
              </w:rPr>
            </w:pPr>
          </w:p>
        </w:tc>
        <w:tc>
          <w:tcPr>
            <w:tcW w:w="436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71"/>
        </w:trPr>
        <w:tc>
          <w:tcPr>
            <w:tcW w:w="3800" w:type="dxa"/>
            <w:vAlign w:val="bottom"/>
          </w:tcPr>
          <w:p>
            <w:pPr>
              <w:spacing w:after="0"/>
              <w:rPr>
                <w:sz w:val="14"/>
                <w:szCs w:val="14"/>
                <w:color w:val="auto"/>
              </w:rPr>
            </w:pPr>
          </w:p>
        </w:tc>
        <w:tc>
          <w:tcPr>
            <w:tcW w:w="4180" w:type="dxa"/>
            <w:vAlign w:val="bottom"/>
          </w:tcPr>
          <w:p>
            <w:pPr>
              <w:jc w:val="center"/>
              <w:ind w:right="429"/>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1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r>
      <w:tr>
        <w:trPr>
          <w:trHeight w:val="32"/>
        </w:trPr>
        <w:tc>
          <w:tcPr>
            <w:tcW w:w="38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3"/>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4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r>
      <w:tr>
        <w:trPr>
          <w:trHeight w:val="191"/>
        </w:trPr>
        <w:tc>
          <w:tcPr>
            <w:tcW w:w="3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36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1,819,102</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1,244,993</w:t>
            </w:r>
          </w:p>
        </w:tc>
      </w:tr>
      <w:tr>
        <w:trPr>
          <w:trHeight w:val="32"/>
        </w:trPr>
        <w:tc>
          <w:tcPr>
            <w:tcW w:w="38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3"/>
        </w:trPr>
        <w:tc>
          <w:tcPr>
            <w:tcW w:w="3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receivable</w:t>
            </w:r>
          </w:p>
        </w:tc>
        <w:tc>
          <w:tcPr>
            <w:tcW w:w="4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107,631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186,705</w:t>
            </w:r>
          </w:p>
        </w:tc>
      </w:tr>
      <w:tr>
        <w:trPr>
          <w:trHeight w:val="191"/>
        </w:trPr>
        <w:tc>
          <w:tcPr>
            <w:tcW w:w="3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Unbilled accounts receivable</w:t>
            </w:r>
          </w:p>
        </w:tc>
        <w:tc>
          <w:tcPr>
            <w:tcW w:w="4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249,589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181,658</w:t>
            </w:r>
          </w:p>
        </w:tc>
      </w:tr>
      <w:tr>
        <w:trPr>
          <w:trHeight w:val="32"/>
        </w:trPr>
        <w:tc>
          <w:tcPr>
            <w:tcW w:w="38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3"/>
        </w:trPr>
        <w:tc>
          <w:tcPr>
            <w:tcW w:w="3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Inventories</w:t>
            </w:r>
          </w:p>
        </w:tc>
        <w:tc>
          <w:tcPr>
            <w:tcW w:w="4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183,680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164,390</w:t>
            </w:r>
          </w:p>
        </w:tc>
      </w:tr>
      <w:tr>
        <w:trPr>
          <w:trHeight w:val="191"/>
        </w:trPr>
        <w:tc>
          <w:tcPr>
            <w:tcW w:w="3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Deferred expenses</w:t>
            </w:r>
          </w:p>
        </w:tc>
        <w:tc>
          <w:tcPr>
            <w:tcW w:w="4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27,807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20,532</w:t>
            </w:r>
          </w:p>
        </w:tc>
      </w:tr>
      <w:tr>
        <w:trPr>
          <w:trHeight w:val="32"/>
        </w:trPr>
        <w:tc>
          <w:tcPr>
            <w:tcW w:w="38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3"/>
        </w:trPr>
        <w:tc>
          <w:tcPr>
            <w:tcW w:w="3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4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70,393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86,582</w:t>
            </w:r>
          </w:p>
        </w:tc>
      </w:tr>
      <w:tr>
        <w:trPr>
          <w:trHeight w:val="181"/>
        </w:trPr>
        <w:tc>
          <w:tcPr>
            <w:tcW w:w="38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Total current assets</w:t>
            </w:r>
          </w:p>
        </w:tc>
        <w:tc>
          <w:tcPr>
            <w:tcW w:w="4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2,458,202</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1,884,860</w:t>
            </w:r>
          </w:p>
        </w:tc>
      </w:tr>
      <w:tr>
        <w:trPr>
          <w:trHeight w:val="32"/>
        </w:trPr>
        <w:tc>
          <w:tcPr>
            <w:tcW w:w="38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3"/>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4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115,700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117,649</w:t>
            </w:r>
          </w:p>
        </w:tc>
      </w:tr>
      <w:tr>
        <w:trPr>
          <w:trHeight w:val="191"/>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4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79,149</w:t>
            </w:r>
          </w:p>
        </w:tc>
      </w:tr>
      <w:tr>
        <w:trPr>
          <w:trHeight w:val="32"/>
        </w:trPr>
        <w:tc>
          <w:tcPr>
            <w:tcW w:w="38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3"/>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4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59,871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59,871</w:t>
            </w:r>
          </w:p>
        </w:tc>
      </w:tr>
      <w:tr>
        <w:trPr>
          <w:trHeight w:val="191"/>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method investment</w:t>
            </w:r>
          </w:p>
        </w:tc>
        <w:tc>
          <w:tcPr>
            <w:tcW w:w="4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143,523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123,034</w:t>
            </w:r>
          </w:p>
        </w:tc>
      </w:tr>
      <w:tr>
        <w:trPr>
          <w:trHeight w:val="32"/>
        </w:trPr>
        <w:tc>
          <w:tcPr>
            <w:tcW w:w="38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3"/>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4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141,386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131,166</w:t>
            </w:r>
          </w:p>
        </w:tc>
      </w:tr>
      <w:tr>
        <w:trPr>
          <w:trHeight w:val="208"/>
        </w:trPr>
        <w:tc>
          <w:tcPr>
            <w:tcW w:w="38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Total assets</w:t>
            </w:r>
          </w:p>
        </w:tc>
        <w:tc>
          <w:tcPr>
            <w:tcW w:w="4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2,994,058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2,395,729</w:t>
            </w: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70"/>
        </w:trPr>
        <w:tc>
          <w:tcPr>
            <w:tcW w:w="3800" w:type="dxa"/>
            <w:vAlign w:val="bottom"/>
            <w:tcBorders>
              <w:bottom w:val="single" w:sz="8" w:color="CCEEFF"/>
            </w:tcBorders>
            <w:shd w:val="clear" w:color="auto" w:fill="CCEEFF"/>
          </w:tcPr>
          <w:p>
            <w:pPr>
              <w:spacing w:after="0"/>
              <w:rPr>
                <w:sz w:val="14"/>
                <w:szCs w:val="14"/>
                <w:color w:val="auto"/>
              </w:rPr>
            </w:pPr>
          </w:p>
        </w:tc>
        <w:tc>
          <w:tcPr>
            <w:tcW w:w="4180" w:type="dxa"/>
            <w:vAlign w:val="bottom"/>
            <w:tcBorders>
              <w:bottom w:val="single" w:sz="8" w:color="CCEEFF"/>
            </w:tcBorders>
            <w:shd w:val="clear" w:color="auto" w:fill="CCEEFF"/>
          </w:tcPr>
          <w:p>
            <w:pPr>
              <w:jc w:val="center"/>
              <w:ind w:right="429"/>
              <w:spacing w:after="0" w:line="157" w:lineRule="exact"/>
              <w:rPr>
                <w:sz w:val="20"/>
                <w:szCs w:val="20"/>
                <w:color w:val="auto"/>
              </w:rPr>
            </w:pPr>
            <w:r>
              <w:rPr>
                <w:rFonts w:ascii="Times New Roman" w:cs="Times New Roman" w:eastAsia="Times New Roman" w:hAnsi="Times New Roman"/>
                <w:sz w:val="14"/>
                <w:szCs w:val="14"/>
                <w:b w:val="1"/>
                <w:bCs w:val="1"/>
                <w:color w:val="auto"/>
              </w:rPr>
              <w:t>LIABILITIES AND EQUITY</w:t>
            </w:r>
          </w:p>
        </w:tc>
        <w:tc>
          <w:tcPr>
            <w:tcW w:w="18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r>
      <w:tr>
        <w:trPr>
          <w:trHeight w:val="191"/>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4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32"/>
        </w:trPr>
        <w:tc>
          <w:tcPr>
            <w:tcW w:w="38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3"/>
        </w:trPr>
        <w:tc>
          <w:tcPr>
            <w:tcW w:w="3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payable</w:t>
            </w:r>
          </w:p>
        </w:tc>
        <w:tc>
          <w:tcPr>
            <w:tcW w:w="4360" w:type="dxa"/>
            <w:vAlign w:val="bottom"/>
            <w:tcBorders>
              <w:bottom w:val="single" w:sz="8" w:color="CCEEFF"/>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266,102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286,669</w:t>
            </w:r>
          </w:p>
        </w:tc>
      </w:tr>
      <w:tr>
        <w:trPr>
          <w:trHeight w:val="191"/>
        </w:trPr>
        <w:tc>
          <w:tcPr>
            <w:tcW w:w="3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4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206,874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200,442</w:t>
            </w:r>
          </w:p>
        </w:tc>
      </w:tr>
      <w:tr>
        <w:trPr>
          <w:trHeight w:val="32"/>
        </w:trPr>
        <w:tc>
          <w:tcPr>
            <w:tcW w:w="38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3"/>
        </w:trPr>
        <w:tc>
          <w:tcPr>
            <w:tcW w:w="3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revenue</w:t>
            </w:r>
          </w:p>
        </w:tc>
        <w:tc>
          <w:tcPr>
            <w:tcW w:w="4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1,310,702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1,242,312</w:t>
            </w:r>
          </w:p>
        </w:tc>
      </w:tr>
      <w:tr>
        <w:trPr>
          <w:trHeight w:val="181"/>
        </w:trPr>
        <w:tc>
          <w:tcPr>
            <w:tcW w:w="38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4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1,783,678</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1,729,423</w:t>
            </w:r>
          </w:p>
        </w:tc>
      </w:tr>
      <w:tr>
        <w:trPr>
          <w:trHeight w:val="32"/>
        </w:trPr>
        <w:tc>
          <w:tcPr>
            <w:tcW w:w="38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3"/>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4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188,795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124,932</w:t>
            </w:r>
          </w:p>
        </w:tc>
      </w:tr>
      <w:tr>
        <w:trPr>
          <w:trHeight w:val="191"/>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4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61,374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63,629</w:t>
            </w:r>
          </w:p>
        </w:tc>
      </w:tr>
      <w:tr>
        <w:trPr>
          <w:trHeight w:val="32"/>
        </w:trPr>
        <w:tc>
          <w:tcPr>
            <w:tcW w:w="380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3"/>
        </w:trPr>
        <w:tc>
          <w:tcPr>
            <w:tcW w:w="38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 liabilities</w:t>
            </w:r>
          </w:p>
        </w:tc>
        <w:tc>
          <w:tcPr>
            <w:tcW w:w="4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2,033,847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1,917,984</w:t>
            </w:r>
          </w:p>
        </w:tc>
      </w:tr>
      <w:tr>
        <w:trPr>
          <w:trHeight w:val="192"/>
        </w:trPr>
        <w:tc>
          <w:tcPr>
            <w:tcW w:w="380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r>
      <w:tr>
        <w:trPr>
          <w:trHeight w:val="191"/>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15)</w:t>
            </w:r>
          </w:p>
        </w:tc>
        <w:tc>
          <w:tcPr>
            <w:tcW w:w="4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3800" w:type="dxa"/>
            <w:vAlign w:val="bottom"/>
            <w:shd w:val="clear" w:color="auto" w:fill="CCEEFF"/>
          </w:tcPr>
          <w:p>
            <w:pPr>
              <w:spacing w:after="0"/>
              <w:rPr>
                <w:sz w:val="2"/>
                <w:szCs w:val="2"/>
                <w:color w:val="auto"/>
              </w:rPr>
            </w:pPr>
          </w:p>
        </w:tc>
        <w:tc>
          <w:tcPr>
            <w:tcW w:w="4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161530" cy="141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Equity:</w:t>
      </w:r>
    </w:p>
    <w:p>
      <w:pPr>
        <w:spacing w:after="0" w:line="62" w:lineRule="exact"/>
        <w:rPr>
          <w:sz w:val="20"/>
          <w:szCs w:val="20"/>
          <w:color w:val="auto"/>
        </w:rPr>
      </w:pPr>
    </w:p>
    <w:p>
      <w:pPr>
        <w:ind w:left="280" w:right="900"/>
        <w:spacing w:after="0" w:line="292" w:lineRule="auto"/>
        <w:rPr>
          <w:sz w:val="20"/>
          <w:szCs w:val="20"/>
          <w:color w:val="auto"/>
        </w:rPr>
      </w:pPr>
      <w:r>
        <w:rPr>
          <w:rFonts w:ascii="Times New Roman" w:cs="Times New Roman" w:eastAsia="Times New Roman" w:hAnsi="Times New Roman"/>
          <w:sz w:val="14"/>
          <w:szCs w:val="14"/>
          <w:color w:val="auto"/>
        </w:rPr>
        <w:t>Class A Common Stock, 3,000,000,000 shares authorized, 123,225,754 and 112,635,932 shares issued and outstanding at December 27, 2025 and September 27,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161530" cy="2495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249555"/>
                    </a:xfrm>
                    <a:prstGeom prst="rect">
                      <a:avLst/>
                    </a:prstGeom>
                    <a:noFill/>
                  </pic:spPr>
                </pic:pic>
              </a:graphicData>
            </a:graphic>
          </wp:anchor>
        </w:drawing>
      </w:r>
    </w:p>
    <w:p>
      <w:pPr>
        <w:ind w:left="280" w:right="720"/>
        <w:spacing w:after="0" w:line="303" w:lineRule="auto"/>
        <w:rPr>
          <w:sz w:val="20"/>
          <w:szCs w:val="20"/>
          <w:color w:val="auto"/>
        </w:rPr>
      </w:pPr>
      <w:r>
        <w:rPr>
          <w:rFonts w:ascii="Times New Roman" w:cs="Times New Roman" w:eastAsia="Times New Roman" w:hAnsi="Times New Roman"/>
          <w:sz w:val="14"/>
          <w:szCs w:val="14"/>
          <w:color w:val="auto"/>
        </w:rPr>
        <w:t>Class V-1 Common Stock, 1,000,000,000 shares authorized, 72,982,208 and 74,693,311 shares issued and outstanding at December 27, 2025 and September 27, 2025,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4"/>
          <w:szCs w:val="14"/>
          <w:color w:val="auto"/>
        </w:rPr>
        <w:t>14</w:t>
      </w:r>
      <w:r>
        <w:rPr>
          <w:sz w:val="20"/>
          <w:szCs w:val="20"/>
          <w:color w:val="auto"/>
        </w:rPr>
        <w:tab/>
      </w:r>
      <w:r>
        <w:rPr>
          <w:rFonts w:ascii="Times New Roman" w:cs="Times New Roman" w:eastAsia="Times New Roman" w:hAnsi="Times New Roman"/>
          <w:sz w:val="14"/>
          <w:szCs w:val="14"/>
          <w:color w:val="auto"/>
        </w:rPr>
        <w:t>13</w:t>
      </w:r>
    </w:p>
    <w:p>
      <w:pPr>
        <w:spacing w:after="0" w:line="232" w:lineRule="exact"/>
        <w:rPr>
          <w:sz w:val="20"/>
          <w:szCs w:val="20"/>
          <w:color w:val="auto"/>
        </w:rPr>
      </w:pPr>
    </w:p>
    <w:p>
      <w:pPr>
        <w:ind w:left="80"/>
        <w:spacing w:after="0"/>
        <w:tabs>
          <w:tab w:leader="none" w:pos="1760" w:val="left"/>
        </w:tabs>
        <w:rPr>
          <w:sz w:val="20"/>
          <w:szCs w:val="20"/>
          <w:color w:val="auto"/>
        </w:rPr>
      </w:pPr>
      <w:r>
        <w:rPr>
          <w:rFonts w:ascii="Times New Roman" w:cs="Times New Roman" w:eastAsia="Times New Roman" w:hAnsi="Times New Roman"/>
          <w:sz w:val="12"/>
          <w:szCs w:val="12"/>
          <w:color w:val="auto"/>
        </w:rPr>
        <w:t>7</w:t>
      </w:r>
      <w:r>
        <w:rPr>
          <w:sz w:val="20"/>
          <w:szCs w:val="20"/>
          <w:color w:val="auto"/>
        </w:rPr>
        <w:tab/>
      </w:r>
      <w:r>
        <w:rPr>
          <w:rFonts w:ascii="Times New Roman" w:cs="Times New Roman" w:eastAsia="Times New Roman" w:hAnsi="Times New Roman"/>
          <w:sz w:val="12"/>
          <w:szCs w:val="12"/>
          <w:color w:val="auto"/>
        </w:rPr>
        <w:t>7</w:t>
      </w:r>
    </w:p>
    <w:p>
      <w:pPr>
        <w:spacing w:after="0" w:line="298" w:lineRule="exact"/>
        <w:rPr>
          <w:sz w:val="20"/>
          <w:szCs w:val="20"/>
          <w:color w:val="auto"/>
        </w:rPr>
      </w:pPr>
    </w:p>
    <w:p>
      <w:pPr>
        <w:sectPr>
          <w:pgSz w:w="11900" w:h="16838" w:orient="portrait"/>
          <w:cols w:equalWidth="0" w:num="2">
            <w:col w:w="8660" w:space="720"/>
            <w:col w:w="1900"/>
          </w:cols>
          <w:pgMar w:left="300" w:top="167"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type w:val="continuous"/>
        </w:sectPr>
      </w:pPr>
    </w:p>
    <w:bookmarkStart w:id="6" w:name="page7"/>
    <w:bookmarkEnd w:id="6"/>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Class V-3 Common Stock, 450,000,000 shares authorized, 403,559,196 and 403,559,196 shares issued and outstanding at December</w:t>
            </w:r>
          </w:p>
        </w:tc>
        <w:tc>
          <w:tcPr>
            <w:tcW w:w="5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84"/>
        </w:trPr>
        <w:tc>
          <w:tcPr>
            <w:tcW w:w="7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27, 2025 and September 27, 2025, respectively</w:t>
            </w:r>
          </w:p>
        </w:tc>
        <w:tc>
          <w:tcPr>
            <w:tcW w:w="5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5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1,997,587</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1,556,611</w:t>
            </w:r>
          </w:p>
        </w:tc>
        <w:tc>
          <w:tcPr>
            <w:tcW w:w="0" w:type="dxa"/>
            <w:vAlign w:val="bottom"/>
          </w:tcPr>
          <w:p>
            <w:pPr>
              <w:spacing w:after="0"/>
              <w:rPr>
                <w:sz w:val="1"/>
                <w:szCs w:val="1"/>
                <w:color w:val="auto"/>
              </w:rPr>
            </w:pPr>
          </w:p>
        </w:tc>
      </w:tr>
      <w:tr>
        <w:trPr>
          <w:trHeight w:val="191"/>
        </w:trPr>
        <w:tc>
          <w:tcPr>
            <w:tcW w:w="7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Accumulated deficit</w:t>
            </w:r>
          </w:p>
        </w:tc>
        <w:tc>
          <w:tcPr>
            <w:tcW w:w="5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(1,331,181)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(1,333,783)</w:t>
            </w:r>
          </w:p>
        </w:tc>
        <w:tc>
          <w:tcPr>
            <w:tcW w:w="0" w:type="dxa"/>
            <w:vAlign w:val="bottom"/>
          </w:tcPr>
          <w:p>
            <w:pPr>
              <w:spacing w:after="0"/>
              <w:rPr>
                <w:sz w:val="1"/>
                <w:szCs w:val="1"/>
                <w:color w:val="auto"/>
              </w:rPr>
            </w:pPr>
          </w:p>
        </w:tc>
      </w:tr>
      <w:tr>
        <w:trPr>
          <w:trHeight w:val="32"/>
        </w:trPr>
        <w:tc>
          <w:tcPr>
            <w:tcW w:w="7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5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(2,693)</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(2,695)</w:t>
            </w:r>
          </w:p>
        </w:tc>
        <w:tc>
          <w:tcPr>
            <w:tcW w:w="0" w:type="dxa"/>
            <w:vAlign w:val="bottom"/>
          </w:tcPr>
          <w:p>
            <w:pPr>
              <w:spacing w:after="0"/>
              <w:rPr>
                <w:sz w:val="1"/>
                <w:szCs w:val="1"/>
                <w:color w:val="auto"/>
              </w:rPr>
            </w:pPr>
          </w:p>
        </w:tc>
      </w:tr>
      <w:tr>
        <w:trPr>
          <w:trHeight w:val="181"/>
        </w:trPr>
        <w:tc>
          <w:tcPr>
            <w:tcW w:w="79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5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663,774</w:t>
            </w:r>
          </w:p>
        </w:tc>
        <w:tc>
          <w:tcPr>
            <w:tcW w:w="1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220,193</w:t>
            </w:r>
          </w:p>
        </w:tc>
        <w:tc>
          <w:tcPr>
            <w:tcW w:w="0" w:type="dxa"/>
            <w:vAlign w:val="bottom"/>
          </w:tcPr>
          <w:p>
            <w:pPr>
              <w:spacing w:after="0"/>
              <w:rPr>
                <w:sz w:val="1"/>
                <w:szCs w:val="1"/>
                <w:color w:val="auto"/>
              </w:rPr>
            </w:pPr>
          </w:p>
        </w:tc>
      </w:tr>
      <w:tr>
        <w:trPr>
          <w:trHeight w:val="32"/>
        </w:trPr>
        <w:tc>
          <w:tcPr>
            <w:tcW w:w="7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Noncontrolling interest</w:t>
            </w:r>
          </w:p>
        </w:tc>
        <w:tc>
          <w:tcPr>
            <w:tcW w:w="5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296,437</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257,552</w:t>
            </w:r>
          </w:p>
        </w:tc>
        <w:tc>
          <w:tcPr>
            <w:tcW w:w="0" w:type="dxa"/>
            <w:vAlign w:val="bottom"/>
          </w:tcPr>
          <w:p>
            <w:pPr>
              <w:spacing w:after="0"/>
              <w:rPr>
                <w:sz w:val="1"/>
                <w:szCs w:val="1"/>
                <w:color w:val="auto"/>
              </w:rPr>
            </w:pPr>
          </w:p>
        </w:tc>
      </w:tr>
      <w:tr>
        <w:trPr>
          <w:trHeight w:val="181"/>
        </w:trPr>
        <w:tc>
          <w:tcPr>
            <w:tcW w:w="79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Total equity</w:t>
            </w:r>
          </w:p>
        </w:tc>
        <w:tc>
          <w:tcPr>
            <w:tcW w:w="5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960,211</w:t>
            </w:r>
          </w:p>
        </w:tc>
        <w:tc>
          <w:tcPr>
            <w:tcW w:w="1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477,745</w:t>
            </w:r>
          </w:p>
        </w:tc>
        <w:tc>
          <w:tcPr>
            <w:tcW w:w="0" w:type="dxa"/>
            <w:vAlign w:val="bottom"/>
          </w:tcPr>
          <w:p>
            <w:pPr>
              <w:spacing w:after="0"/>
              <w:rPr>
                <w:sz w:val="1"/>
                <w:szCs w:val="1"/>
                <w:color w:val="auto"/>
              </w:rPr>
            </w:pPr>
          </w:p>
        </w:tc>
      </w:tr>
      <w:tr>
        <w:trPr>
          <w:trHeight w:val="32"/>
        </w:trPr>
        <w:tc>
          <w:tcPr>
            <w:tcW w:w="79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2,994,058</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2,395,729</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7" w:name="page8"/>
    <w:bookmarkEnd w:id="7"/>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Symbotic Inc.</w:t>
      </w:r>
    </w:p>
    <w:p>
      <w:pPr>
        <w:spacing w:after="0" w:line="5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Unaudited Condensed Consolidated Statements of Operations</w:t>
      </w:r>
    </w:p>
    <w:p>
      <w:pPr>
        <w:spacing w:after="0" w:line="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(in thousands, except share and per share information)</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4"/>
          </w:tcPr>
          <w:p>
            <w:pPr>
              <w:jc w:val="right"/>
              <w:ind w:right="51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r>
      <w:tr>
        <w:trPr>
          <w:trHeight w:val="26"/>
        </w:trPr>
        <w:tc>
          <w:tcPr>
            <w:tcW w:w="8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67"/>
        </w:trPr>
        <w:tc>
          <w:tcPr>
            <w:tcW w:w="8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27, 2025</w:t>
            </w:r>
          </w:p>
        </w:tc>
        <w:tc>
          <w:tcPr>
            <w:tcW w:w="120" w:type="dxa"/>
            <w:vAlign w:val="bottom"/>
          </w:tcPr>
          <w:p>
            <w:pPr>
              <w:spacing w:after="0"/>
              <w:rPr>
                <w:sz w:val="14"/>
                <w:szCs w:val="14"/>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3"/>
                <w:szCs w:val="13"/>
                <w:b w:val="1"/>
                <w:bCs w:val="1"/>
                <w:color w:val="auto"/>
                <w:w w:val="98"/>
              </w:rPr>
              <w:t>December 28, 2024</w:t>
            </w:r>
          </w:p>
        </w:tc>
      </w:tr>
      <w:tr>
        <w:trPr>
          <w:trHeight w:val="26"/>
        </w:trPr>
        <w:tc>
          <w:tcPr>
            <w:tcW w:w="8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3"/>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Revenue:</w:t>
            </w:r>
          </w:p>
        </w:tc>
        <w:tc>
          <w:tcPr>
            <w:tcW w:w="1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r>
      <w:tr>
        <w:trPr>
          <w:trHeight w:val="191"/>
        </w:trPr>
        <w:tc>
          <w:tcPr>
            <w:tcW w:w="8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Systems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590,292</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464,059</w:t>
            </w:r>
          </w:p>
        </w:tc>
      </w:tr>
      <w:tr>
        <w:trPr>
          <w:trHeight w:val="32"/>
        </w:trPr>
        <w:tc>
          <w:tcPr>
            <w:tcW w:w="8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3"/>
        </w:trPr>
        <w:tc>
          <w:tcPr>
            <w:tcW w:w="8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Software maintenance and support</w:t>
            </w: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10,885</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5,525</w:t>
            </w:r>
          </w:p>
        </w:tc>
      </w:tr>
      <w:tr>
        <w:trPr>
          <w:trHeight w:val="191"/>
        </w:trPr>
        <w:tc>
          <w:tcPr>
            <w:tcW w:w="8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Operation services</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28,808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17,109</w:t>
            </w:r>
          </w:p>
        </w:tc>
      </w:tr>
      <w:tr>
        <w:trPr>
          <w:trHeight w:val="32"/>
        </w:trPr>
        <w:tc>
          <w:tcPr>
            <w:tcW w:w="8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3"/>
        </w:trPr>
        <w:tc>
          <w:tcPr>
            <w:tcW w:w="85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revenue</w:t>
            </w: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629,985</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486,693</w:t>
            </w:r>
          </w:p>
        </w:tc>
      </w:tr>
      <w:tr>
        <w:trPr>
          <w:trHeight w:val="191"/>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Cost of revenue:</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2"/>
        </w:trPr>
        <w:tc>
          <w:tcPr>
            <w:tcW w:w="8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3"/>
        </w:trPr>
        <w:tc>
          <w:tcPr>
            <w:tcW w:w="8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Systems</w:t>
            </w: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469,873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380,990</w:t>
            </w:r>
          </w:p>
        </w:tc>
      </w:tr>
      <w:tr>
        <w:trPr>
          <w:trHeight w:val="191"/>
        </w:trPr>
        <w:tc>
          <w:tcPr>
            <w:tcW w:w="8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Software maintenance and support</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1,858</w:t>
            </w:r>
          </w:p>
        </w:tc>
      </w:tr>
      <w:tr>
        <w:trPr>
          <w:trHeight w:val="32"/>
        </w:trPr>
        <w:tc>
          <w:tcPr>
            <w:tcW w:w="8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8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Operation services</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23,734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22,829</w:t>
            </w:r>
          </w:p>
        </w:tc>
      </w:tr>
      <w:tr>
        <w:trPr>
          <w:trHeight w:val="181"/>
        </w:trPr>
        <w:tc>
          <w:tcPr>
            <w:tcW w:w="85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cost of revenue</w:t>
            </w: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496,561</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405,677</w:t>
            </w:r>
          </w:p>
        </w:tc>
      </w:tr>
      <w:tr>
        <w:trPr>
          <w:trHeight w:val="32"/>
        </w:trPr>
        <w:tc>
          <w:tcPr>
            <w:tcW w:w="8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3"/>
        </w:trPr>
        <w:tc>
          <w:tcPr>
            <w:tcW w:w="8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Gross profit</w:t>
            </w: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133,424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81,016</w:t>
            </w:r>
          </w:p>
        </w:tc>
      </w:tr>
      <w:tr>
        <w:trPr>
          <w:trHeight w:val="171"/>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Operating expenses:</w:t>
            </w: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r>
      <w:tr>
        <w:trPr>
          <w:trHeight w:val="32"/>
        </w:trPr>
        <w:tc>
          <w:tcPr>
            <w:tcW w:w="8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3"/>
        </w:trPr>
        <w:tc>
          <w:tcPr>
            <w:tcW w:w="8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43,006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43,279</w:t>
            </w:r>
          </w:p>
        </w:tc>
      </w:tr>
      <w:tr>
        <w:trPr>
          <w:trHeight w:val="191"/>
        </w:trPr>
        <w:tc>
          <w:tcPr>
            <w:tcW w:w="8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60,705</w:t>
            </w:r>
          </w:p>
        </w:tc>
      </w:tr>
      <w:tr>
        <w:trPr>
          <w:trHeight w:val="32"/>
        </w:trPr>
        <w:tc>
          <w:tcPr>
            <w:tcW w:w="8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8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Restructuring charges</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85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126,898</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103,984</w:t>
            </w:r>
          </w:p>
        </w:tc>
      </w:tr>
      <w:tr>
        <w:trPr>
          <w:trHeight w:val="32"/>
        </w:trPr>
        <w:tc>
          <w:tcPr>
            <w:tcW w:w="8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3"/>
        </w:trPr>
        <w:tc>
          <w:tcPr>
            <w:tcW w:w="8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Operating income (loss)</w:t>
            </w: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(22,968)</w:t>
            </w:r>
          </w:p>
        </w:tc>
      </w:tr>
      <w:tr>
        <w:trPr>
          <w:trHeight w:val="191"/>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7,823</w:t>
            </w:r>
          </w:p>
        </w:tc>
      </w:tr>
      <w:tr>
        <w:trPr>
          <w:trHeight w:val="32"/>
        </w:trPr>
        <w:tc>
          <w:tcPr>
            <w:tcW w:w="8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3"/>
        </w:trPr>
        <w:tc>
          <w:tcPr>
            <w:tcW w:w="8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(loss) before income tax and equity method investment</w:t>
            </w: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19,772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(15,145)</w:t>
            </w:r>
          </w:p>
        </w:tc>
      </w:tr>
      <w:tr>
        <w:trPr>
          <w:trHeight w:val="191"/>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r>
      <w:tr>
        <w:trPr>
          <w:trHeight w:val="32"/>
        </w:trPr>
        <w:tc>
          <w:tcPr>
            <w:tcW w:w="8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equity method investment</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(1,564)</w:t>
            </w:r>
          </w:p>
        </w:tc>
      </w:tr>
      <w:tr>
        <w:trPr>
          <w:trHeight w:val="181"/>
        </w:trPr>
        <w:tc>
          <w:tcPr>
            <w:tcW w:w="8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13,358</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(16,859)</w:t>
            </w:r>
          </w:p>
        </w:tc>
      </w:tr>
      <w:tr>
        <w:trPr>
          <w:trHeight w:val="32"/>
        </w:trPr>
        <w:tc>
          <w:tcPr>
            <w:tcW w:w="8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noncontrolling interests</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(13,684)</w:t>
            </w:r>
          </w:p>
        </w:tc>
      </w:tr>
      <w:tr>
        <w:trPr>
          <w:trHeight w:val="208"/>
        </w:trPr>
        <w:tc>
          <w:tcPr>
            <w:tcW w:w="8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income (loss) attributable to common stockholders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(3,175)</w:t>
            </w: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9"/>
        </w:trPr>
        <w:tc>
          <w:tcPr>
            <w:tcW w:w="8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91"/>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per share of Class A Common Stock:</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2"/>
        </w:trPr>
        <w:tc>
          <w:tcPr>
            <w:tcW w:w="8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3"/>
        </w:trPr>
        <w:tc>
          <w:tcPr>
            <w:tcW w:w="8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Basic and Diluted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r>
      <w:tr>
        <w:trPr>
          <w:trHeight w:val="191"/>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shares of Class A Common Stock outstanding:</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2"/>
        </w:trPr>
        <w:tc>
          <w:tcPr>
            <w:tcW w:w="8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3"/>
        </w:trPr>
        <w:tc>
          <w:tcPr>
            <w:tcW w:w="8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Basic</w:t>
            </w: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115,474,119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106,098,566</w:t>
            </w:r>
          </w:p>
        </w:tc>
      </w:tr>
      <w:tr>
        <w:trPr>
          <w:trHeight w:val="191"/>
        </w:trPr>
        <w:tc>
          <w:tcPr>
            <w:tcW w:w="8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Diluted</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127,870,238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bl>
    <w:p>
      <w:pPr>
        <w:spacing w:after="0" w:line="12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8" w:name="page9"/>
    <w:bookmarkEnd w:id="8"/>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Symbotic Inc.</w:t>
      </w:r>
    </w:p>
    <w:p>
      <w:pPr>
        <w:spacing w:after="0" w:line="5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Unaudited Condensed Consolidated Statements of Comprehensive Income (Loss)</w:t>
      </w:r>
    </w:p>
    <w:p>
      <w:pPr>
        <w:spacing w:after="0" w:line="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4"/>
          </w:tcPr>
          <w:p>
            <w:pPr>
              <w:jc w:val="right"/>
              <w:ind w:right="51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r>
      <w:tr>
        <w:trPr>
          <w:trHeight w:val="26"/>
        </w:trPr>
        <w:tc>
          <w:tcPr>
            <w:tcW w:w="8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67"/>
        </w:trPr>
        <w:tc>
          <w:tcPr>
            <w:tcW w:w="8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27, 2025</w:t>
            </w:r>
          </w:p>
        </w:tc>
        <w:tc>
          <w:tcPr>
            <w:tcW w:w="120" w:type="dxa"/>
            <w:vAlign w:val="bottom"/>
          </w:tcPr>
          <w:p>
            <w:pPr>
              <w:spacing w:after="0"/>
              <w:rPr>
                <w:sz w:val="14"/>
                <w:szCs w:val="14"/>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3"/>
                <w:szCs w:val="13"/>
                <w:b w:val="1"/>
                <w:bCs w:val="1"/>
                <w:color w:val="auto"/>
                <w:w w:val="98"/>
              </w:rPr>
              <w:t>December 28, 2024</w:t>
            </w:r>
          </w:p>
        </w:tc>
      </w:tr>
      <w:tr>
        <w:trPr>
          <w:trHeight w:val="26"/>
        </w:trPr>
        <w:tc>
          <w:tcPr>
            <w:tcW w:w="8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3"/>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(16,859)</w:t>
            </w:r>
          </w:p>
        </w:tc>
      </w:tr>
      <w:tr>
        <w:trPr>
          <w:trHeight w:val="191"/>
        </w:trPr>
        <w:tc>
          <w:tcPr>
            <w:tcW w:w="8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Less: Net income (loss) attributable to noncontrolling interests</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(13,684)</w:t>
            </w:r>
          </w:p>
        </w:tc>
      </w:tr>
      <w:tr>
        <w:trPr>
          <w:trHeight w:val="32"/>
        </w:trPr>
        <w:tc>
          <w:tcPr>
            <w:tcW w:w="8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3"/>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common stockholders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(3,175)</w:t>
            </w:r>
          </w:p>
        </w:tc>
      </w:tr>
      <w:tr>
        <w:trPr>
          <w:trHeight w:val="171"/>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r>
      <w:tr>
        <w:trPr>
          <w:trHeight w:val="32"/>
        </w:trPr>
        <w:tc>
          <w:tcPr>
            <w:tcW w:w="8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8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w:t>
            </w:r>
          </w:p>
        </w:tc>
      </w:tr>
      <w:tr>
        <w:trPr>
          <w:trHeight w:val="181"/>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w:t>
            </w: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(563)</w:t>
            </w:r>
          </w:p>
        </w:tc>
      </w:tr>
      <w:tr>
        <w:trPr>
          <w:trHeight w:val="32"/>
        </w:trPr>
        <w:tc>
          <w:tcPr>
            <w:tcW w:w="8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8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Less: other comprehensive income (loss) attributable to noncontrolling interests</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r>
      <w:tr>
        <w:trPr>
          <w:trHeight w:val="181"/>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attributable to common stockholders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32"/>
        </w:trPr>
        <w:tc>
          <w:tcPr>
            <w:tcW w:w="8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3"/>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13,367</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(17,422)</w:t>
            </w:r>
          </w:p>
        </w:tc>
      </w:tr>
      <w:tr>
        <w:trPr>
          <w:trHeight w:val="191"/>
        </w:trPr>
        <w:tc>
          <w:tcPr>
            <w:tcW w:w="8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Less: Comprehensive income (loss) attributable to noncontrolling interests</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(14,145)</w:t>
            </w:r>
          </w:p>
        </w:tc>
      </w:tr>
      <w:tr>
        <w:trPr>
          <w:trHeight w:val="32"/>
        </w:trPr>
        <w:tc>
          <w:tcPr>
            <w:tcW w:w="8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3"/>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comprehensive income (loss) attributable to common stockholders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(3,277)</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9" w:name="page10"/>
    <w:bookmarkEnd w:id="9"/>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Symbotic Inc.</w:t>
      </w:r>
    </w:p>
    <w:p>
      <w:pPr>
        <w:spacing w:after="0" w:line="5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Unaudited Condensed Consolidated Statements of Changes in Stockholders’ Equity</w:t>
      </w:r>
    </w:p>
    <w:p>
      <w:pPr>
        <w:spacing w:after="0" w:line="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(in thousands, except share information)</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20" w:type="dxa"/>
            <w:vAlign w:val="bottom"/>
            <w:gridSpan w:val="10"/>
          </w:tcPr>
          <w:p>
            <w:pPr>
              <w:ind w:left="400"/>
              <w:spacing w:after="0"/>
              <w:rPr>
                <w:sz w:val="20"/>
                <w:szCs w:val="20"/>
                <w:color w:val="auto"/>
              </w:rPr>
            </w:pPr>
            <w:r>
              <w:rPr>
                <w:rFonts w:ascii="Times New Roman" w:cs="Times New Roman" w:eastAsia="Times New Roman" w:hAnsi="Times New Roman"/>
                <w:sz w:val="13"/>
                <w:szCs w:val="13"/>
                <w:b w:val="1"/>
                <w:bCs w:val="1"/>
                <w:color w:val="auto"/>
              </w:rPr>
              <w:t>Three Months Ended December 27, 2025</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9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Class V-1 Common</w:t>
            </w:r>
          </w:p>
        </w:tc>
        <w:tc>
          <w:tcPr>
            <w:tcW w:w="1340" w:type="dxa"/>
            <w:vAlign w:val="bottom"/>
            <w:gridSpan w:val="5"/>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Class V-3 Common</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9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5"/>
            <w:vMerge w:val="continue"/>
          </w:tcPr>
          <w:p>
            <w:pPr>
              <w:spacing w:after="0"/>
              <w:rPr>
                <w:sz w:val="9"/>
                <w:szCs w:val="9"/>
                <w:color w:val="auto"/>
              </w:rPr>
            </w:pPr>
          </w:p>
        </w:tc>
        <w:tc>
          <w:tcPr>
            <w:tcW w:w="1340" w:type="dxa"/>
            <w:vAlign w:val="bottom"/>
            <w:gridSpan w:val="5"/>
            <w:vMerge w:val="continue"/>
          </w:tcPr>
          <w:p>
            <w:pPr>
              <w:spacing w:after="0"/>
              <w:rPr>
                <w:sz w:val="9"/>
                <w:szCs w:val="9"/>
                <w:color w:val="auto"/>
              </w:rPr>
            </w:pP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9"/>
                <w:szCs w:val="9"/>
                <w:color w:val="auto"/>
              </w:rPr>
            </w:pPr>
          </w:p>
        </w:tc>
        <w:tc>
          <w:tcPr>
            <w:tcW w:w="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980" w:type="dxa"/>
            <w:vAlign w:val="bottom"/>
          </w:tcPr>
          <w:p>
            <w:pPr>
              <w:spacing w:after="0"/>
              <w:rPr>
                <w:sz w:val="4"/>
                <w:szCs w:val="4"/>
                <w:color w:val="auto"/>
              </w:rPr>
            </w:pPr>
          </w:p>
        </w:tc>
        <w:tc>
          <w:tcPr>
            <w:tcW w:w="1380" w:type="dxa"/>
            <w:vAlign w:val="bottom"/>
            <w:gridSpan w:val="5"/>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900" w:type="dxa"/>
            <w:vAlign w:val="bottom"/>
            <w:gridSpan w:val="3"/>
            <w:vMerge w:val="restart"/>
          </w:tcPr>
          <w:p>
            <w:pPr>
              <w:jc w:val="center"/>
              <w:ind w:left="256"/>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gridSpan w:val="3"/>
            <w:vMerge w:val="restart"/>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Stock</w:t>
            </w: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980" w:type="dxa"/>
            <w:vAlign w:val="bottom"/>
          </w:tcPr>
          <w:p>
            <w:pPr>
              <w:spacing w:after="0"/>
              <w:rPr>
                <w:sz w:val="9"/>
                <w:szCs w:val="9"/>
                <w:color w:val="auto"/>
              </w:rPr>
            </w:pPr>
          </w:p>
        </w:tc>
        <w:tc>
          <w:tcPr>
            <w:tcW w:w="1380" w:type="dxa"/>
            <w:vAlign w:val="bottom"/>
            <w:gridSpan w:val="5"/>
            <w:vMerge w:val="continue"/>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vMerge w:val="restart"/>
          </w:tcPr>
          <w:p>
            <w:pPr>
              <w:jc w:val="center"/>
              <w:ind w:right="60"/>
              <w:spacing w:after="0" w:line="140"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940" w:type="dxa"/>
            <w:vAlign w:val="bottom"/>
            <w:gridSpan w:val="3"/>
            <w:vMerge w:val="restart"/>
          </w:tcPr>
          <w:p>
            <w:pPr>
              <w:jc w:val="center"/>
              <w:ind w:right="60"/>
              <w:spacing w:after="0" w:line="140"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920" w:type="dxa"/>
            <w:vAlign w:val="bottom"/>
            <w:gridSpan w:val="3"/>
            <w:vMerge w:val="restart"/>
          </w:tcPr>
          <w:p>
            <w:pPr>
              <w:jc w:val="center"/>
              <w:ind w:right="80"/>
              <w:spacing w:after="0" w:line="140"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920" w:type="dxa"/>
            <w:vAlign w:val="bottom"/>
            <w:gridSpan w:val="3"/>
            <w:vMerge w:val="restart"/>
          </w:tcPr>
          <w:p>
            <w:pPr>
              <w:jc w:val="right"/>
              <w:ind w:right="80"/>
              <w:spacing w:after="0" w:line="140"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9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980" w:type="dxa"/>
            <w:vAlign w:val="bottom"/>
          </w:tcPr>
          <w:p>
            <w:pPr>
              <w:spacing w:after="0"/>
              <w:rPr>
                <w:sz w:val="14"/>
                <w:szCs w:val="14"/>
                <w:color w:val="auto"/>
              </w:rPr>
            </w:pP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6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4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rPr>
                <w:sz w:val="1"/>
                <w:szCs w:val="1"/>
                <w:color w:val="auto"/>
              </w:rPr>
            </w:pPr>
          </w:p>
        </w:tc>
      </w:tr>
      <w:tr>
        <w:trPr>
          <w:trHeight w:val="26"/>
        </w:trPr>
        <w:tc>
          <w:tcPr>
            <w:tcW w:w="29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September 27, 2025</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112,635,932</w:t>
            </w:r>
          </w:p>
        </w:tc>
        <w:tc>
          <w:tcPr>
            <w:tcW w:w="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74,693,311</w:t>
            </w:r>
          </w:p>
        </w:tc>
        <w:tc>
          <w:tcPr>
            <w:tcW w:w="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403,559,196</w:t>
            </w:r>
          </w:p>
        </w:tc>
        <w:tc>
          <w:tcPr>
            <w:tcW w:w="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$ 1,564,815</w:t>
            </w: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(2,695)</w:t>
            </w:r>
          </w:p>
        </w:tc>
        <w:tc>
          <w:tcPr>
            <w:tcW w:w="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(1,340,862)</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261,895</w:t>
            </w:r>
          </w:p>
        </w:tc>
        <w:tc>
          <w:tcPr>
            <w:tcW w:w="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483,213</w:t>
            </w:r>
          </w:p>
        </w:tc>
        <w:tc>
          <w:tcPr>
            <w:tcW w:w="0" w:type="dxa"/>
            <w:vAlign w:val="bottom"/>
          </w:tcPr>
          <w:p>
            <w:pPr>
              <w:spacing w:after="0"/>
              <w:rPr>
                <w:sz w:val="1"/>
                <w:szCs w:val="1"/>
                <w:color w:val="auto"/>
              </w:rPr>
            </w:pPr>
          </w:p>
        </w:tc>
      </w:tr>
      <w:tr>
        <w:trPr>
          <w:trHeight w:val="176"/>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Cumulative effect from change in accounting principle</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(8,204)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7,079</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(4,343)</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(5,468)</w:t>
            </w:r>
          </w:p>
        </w:tc>
        <w:tc>
          <w:tcPr>
            <w:tcW w:w="0" w:type="dxa"/>
            <w:vAlign w:val="bottom"/>
          </w:tcPr>
          <w:p>
            <w:pPr>
              <w:spacing w:after="0"/>
              <w:rPr>
                <w:sz w:val="1"/>
                <w:szCs w:val="1"/>
                <w:color w:val="auto"/>
              </w:rPr>
            </w:pPr>
          </w:p>
        </w:tc>
      </w:tr>
      <w:tr>
        <w:trPr>
          <w:trHeight w:val="26"/>
        </w:trPr>
        <w:tc>
          <w:tcPr>
            <w:tcW w:w="2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2,602</w:t>
            </w: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10,756</w:t>
            </w: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13,358</w:t>
            </w:r>
          </w:p>
        </w:tc>
        <w:tc>
          <w:tcPr>
            <w:tcW w:w="0" w:type="dxa"/>
            <w:vAlign w:val="bottom"/>
          </w:tcPr>
          <w:p>
            <w:pPr>
              <w:spacing w:after="0"/>
              <w:rPr>
                <w:sz w:val="1"/>
                <w:szCs w:val="1"/>
                <w:color w:val="auto"/>
              </w:rPr>
            </w:pPr>
          </w:p>
        </w:tc>
      </w:tr>
      <w:tr>
        <w:trPr>
          <w:trHeight w:val="170"/>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in connection with equity</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8,000,000</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424,367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offering</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424,368</w:t>
            </w:r>
          </w:p>
        </w:tc>
        <w:tc>
          <w:tcPr>
            <w:tcW w:w="0" w:type="dxa"/>
            <w:vAlign w:val="bottom"/>
          </w:tcPr>
          <w:p>
            <w:pPr>
              <w:spacing w:after="0"/>
              <w:rPr>
                <w:sz w:val="1"/>
                <w:szCs w:val="1"/>
                <w:color w:val="auto"/>
              </w:rPr>
            </w:pPr>
          </w:p>
        </w:tc>
      </w:tr>
      <w:tr>
        <w:trPr>
          <w:trHeight w:val="26"/>
        </w:trPr>
        <w:tc>
          <w:tcPr>
            <w:tcW w:w="2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stock plans, net of</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878,719</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withheld for employee taxes</w:t>
            </w:r>
          </w:p>
        </w:tc>
        <w:tc>
          <w:tcPr>
            <w:tcW w:w="6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Exchange of Class V-1 common stock</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1,711,103</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(1,711,103)</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7,168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(7,168)</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
        </w:trPr>
        <w:tc>
          <w:tcPr>
            <w:tcW w:w="2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 to Symbotic Holdings LLC partners</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(1,222)</w:t>
            </w: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(1,222)</w:t>
            </w:r>
          </w:p>
        </w:tc>
        <w:tc>
          <w:tcPr>
            <w:tcW w:w="0" w:type="dxa"/>
            <w:vAlign w:val="bottom"/>
          </w:tcPr>
          <w:p>
            <w:pPr>
              <w:spacing w:after="0"/>
              <w:rPr>
                <w:sz w:val="1"/>
                <w:szCs w:val="1"/>
                <w:color w:val="auto"/>
              </w:rPr>
            </w:pPr>
          </w:p>
        </w:tc>
      </w:tr>
      <w:tr>
        <w:trPr>
          <w:trHeight w:val="176"/>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9,441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36,512</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45,953</w:t>
            </w:r>
          </w:p>
        </w:tc>
        <w:tc>
          <w:tcPr>
            <w:tcW w:w="0" w:type="dxa"/>
            <w:vAlign w:val="bottom"/>
          </w:tcPr>
          <w:p>
            <w:pPr>
              <w:spacing w:after="0"/>
              <w:rPr>
                <w:sz w:val="1"/>
                <w:szCs w:val="1"/>
                <w:color w:val="auto"/>
              </w:rPr>
            </w:pPr>
          </w:p>
        </w:tc>
      </w:tr>
      <w:tr>
        <w:trPr>
          <w:trHeight w:val="26"/>
        </w:trPr>
        <w:tc>
          <w:tcPr>
            <w:tcW w:w="2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67"/>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December 27, 2025</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8"/>
              </w:rPr>
              <w:t>123,225,754</w:t>
            </w:r>
          </w:p>
        </w:tc>
        <w:tc>
          <w:tcPr>
            <w:tcW w:w="60" w:type="dxa"/>
            <w:vAlign w:val="bottom"/>
          </w:tcPr>
          <w:p>
            <w:pPr>
              <w:spacing w:after="0"/>
              <w:rPr>
                <w:sz w:val="14"/>
                <w:szCs w:val="14"/>
                <w:color w:val="auto"/>
              </w:rPr>
            </w:pPr>
          </w:p>
        </w:tc>
        <w:tc>
          <w:tcPr>
            <w:tcW w:w="24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6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72,982,208</w:t>
            </w:r>
          </w:p>
        </w:tc>
        <w:tc>
          <w:tcPr>
            <w:tcW w:w="60" w:type="dxa"/>
            <w:vAlign w:val="bottom"/>
          </w:tcPr>
          <w:p>
            <w:pPr>
              <w:spacing w:after="0"/>
              <w:rPr>
                <w:sz w:val="14"/>
                <w:szCs w:val="14"/>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60" w:type="dxa"/>
            <w:vAlign w:val="bottom"/>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8"/>
              </w:rPr>
              <w:t>403,559,196</w:t>
            </w:r>
          </w:p>
        </w:tc>
        <w:tc>
          <w:tcPr>
            <w:tcW w:w="60" w:type="dxa"/>
            <w:vAlign w:val="bottom"/>
          </w:tcPr>
          <w:p>
            <w:pPr>
              <w:spacing w:after="0"/>
              <w:rPr>
                <w:sz w:val="14"/>
                <w:szCs w:val="14"/>
                <w:color w:val="auto"/>
              </w:rPr>
            </w:pPr>
          </w:p>
        </w:tc>
        <w:tc>
          <w:tcPr>
            <w:tcW w:w="22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60" w:type="dxa"/>
            <w:vAlign w:val="bottom"/>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7"/>
              </w:rPr>
              <w:t>$ 1,997,587</w:t>
            </w:r>
          </w:p>
        </w:tc>
        <w:tc>
          <w:tcPr>
            <w:tcW w:w="6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(2,693)</w:t>
            </w:r>
          </w:p>
        </w:tc>
        <w:tc>
          <w:tcPr>
            <w:tcW w:w="60" w:type="dxa"/>
            <w:vAlign w:val="bottom"/>
          </w:tcPr>
          <w:p>
            <w:pPr>
              <w:spacing w:after="0"/>
              <w:rPr>
                <w:sz w:val="14"/>
                <w:szCs w:val="14"/>
                <w:color w:val="auto"/>
              </w:rPr>
            </w:pPr>
          </w:p>
        </w:tc>
        <w:tc>
          <w:tcPr>
            <w:tcW w:w="1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(1,331,181)</w:t>
            </w:r>
          </w:p>
        </w:tc>
        <w:tc>
          <w:tcPr>
            <w:tcW w:w="6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296,437</w:t>
            </w:r>
          </w:p>
        </w:tc>
        <w:tc>
          <w:tcPr>
            <w:tcW w:w="60" w:type="dxa"/>
            <w:vAlign w:val="bottom"/>
          </w:tcPr>
          <w:p>
            <w:pPr>
              <w:spacing w:after="0"/>
              <w:rPr>
                <w:sz w:val="14"/>
                <w:szCs w:val="14"/>
                <w:color w:val="auto"/>
              </w:rPr>
            </w:pPr>
          </w:p>
        </w:tc>
        <w:tc>
          <w:tcPr>
            <w:tcW w:w="20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960,211</w:t>
            </w:r>
          </w:p>
        </w:tc>
        <w:tc>
          <w:tcPr>
            <w:tcW w:w="0" w:type="dxa"/>
            <w:vAlign w:val="bottom"/>
          </w:tcPr>
          <w:p>
            <w:pPr>
              <w:spacing w:after="0"/>
              <w:rPr>
                <w:sz w:val="1"/>
                <w:szCs w:val="1"/>
                <w:color w:val="auto"/>
              </w:rPr>
            </w:pPr>
          </w:p>
        </w:tc>
      </w:tr>
      <w:tr>
        <w:trPr>
          <w:trHeight w:val="26"/>
        </w:trPr>
        <w:tc>
          <w:tcPr>
            <w:tcW w:w="29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10" w:name="page11"/>
    <w:bookmarkEnd w:id="10"/>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20" w:type="dxa"/>
            <w:vAlign w:val="bottom"/>
            <w:gridSpan w:val="10"/>
          </w:tcPr>
          <w:p>
            <w:pPr>
              <w:ind w:left="420"/>
              <w:spacing w:after="0"/>
              <w:rPr>
                <w:sz w:val="20"/>
                <w:szCs w:val="20"/>
                <w:color w:val="auto"/>
              </w:rPr>
            </w:pPr>
            <w:r>
              <w:rPr>
                <w:rFonts w:ascii="Times New Roman" w:cs="Times New Roman" w:eastAsia="Times New Roman" w:hAnsi="Times New Roman"/>
                <w:sz w:val="13"/>
                <w:szCs w:val="13"/>
                <w:b w:val="1"/>
                <w:bCs w:val="1"/>
                <w:color w:val="auto"/>
              </w:rPr>
              <w:t>Three Months Ended December 28, 2024</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6"/>
        </w:trPr>
        <w:tc>
          <w:tcPr>
            <w:tcW w:w="30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5"/>
          </w:tcPr>
          <w:p>
            <w:pPr>
              <w:spacing w:after="0"/>
              <w:rPr>
                <w:sz w:val="2"/>
                <w:szCs w:val="2"/>
                <w:color w:val="auto"/>
              </w:rPr>
            </w:pPr>
          </w:p>
        </w:tc>
        <w:tc>
          <w:tcPr>
            <w:tcW w:w="1340" w:type="dxa"/>
            <w:vAlign w:val="bottom"/>
            <w:tcBorders>
              <w:bottom w:val="single" w:sz="8" w:color="auto"/>
            </w:tcBorders>
            <w:gridSpan w:val="5"/>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58"/>
        </w:trPr>
        <w:tc>
          <w:tcPr>
            <w:tcW w:w="30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gridSpan w:val="5"/>
          </w:tcPr>
          <w:p>
            <w:pPr>
              <w:ind w:left="80"/>
              <w:spacing w:after="0"/>
              <w:rPr>
                <w:sz w:val="20"/>
                <w:szCs w:val="20"/>
                <w:color w:val="auto"/>
              </w:rPr>
            </w:pPr>
            <w:r>
              <w:rPr>
                <w:rFonts w:ascii="Times New Roman" w:cs="Times New Roman" w:eastAsia="Times New Roman" w:hAnsi="Times New Roman"/>
                <w:sz w:val="13"/>
                <w:szCs w:val="13"/>
                <w:b w:val="1"/>
                <w:bCs w:val="1"/>
                <w:color w:val="auto"/>
              </w:rPr>
              <w:t>Class V-1 Common</w:t>
            </w:r>
          </w:p>
        </w:tc>
        <w:tc>
          <w:tcPr>
            <w:tcW w:w="1340" w:type="dxa"/>
            <w:vAlign w:val="bottom"/>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rPr>
              <w:t>Class V-3 Common</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89"/>
        </w:trPr>
        <w:tc>
          <w:tcPr>
            <w:tcW w:w="3000" w:type="dxa"/>
            <w:vAlign w:val="bottom"/>
          </w:tcPr>
          <w:p>
            <w:pPr>
              <w:spacing w:after="0"/>
              <w:rPr>
                <w:sz w:val="16"/>
                <w:szCs w:val="16"/>
                <w:color w:val="auto"/>
              </w:rPr>
            </w:pPr>
          </w:p>
        </w:tc>
        <w:tc>
          <w:tcPr>
            <w:tcW w:w="138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880" w:type="dxa"/>
            <w:vAlign w:val="bottom"/>
            <w:gridSpan w:val="3"/>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Stock</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gridSpan w:val="3"/>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Stock</w:t>
            </w: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6"/>
                <w:szCs w:val="16"/>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31"/>
        </w:trPr>
        <w:tc>
          <w:tcPr>
            <w:tcW w:w="30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ind w:right="60"/>
              <w:spacing w:after="0" w:line="131"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940" w:type="dxa"/>
            <w:vAlign w:val="bottom"/>
            <w:gridSpan w:val="3"/>
          </w:tcPr>
          <w:p>
            <w:pPr>
              <w:jc w:val="center"/>
              <w:ind w:right="60"/>
              <w:spacing w:after="0" w:line="131"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920" w:type="dxa"/>
            <w:vAlign w:val="bottom"/>
            <w:gridSpan w:val="3"/>
          </w:tcPr>
          <w:p>
            <w:pPr>
              <w:ind w:left="60"/>
              <w:spacing w:after="0" w:line="131"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92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67"/>
        </w:trPr>
        <w:tc>
          <w:tcPr>
            <w:tcW w:w="3000" w:type="dxa"/>
            <w:vAlign w:val="bottom"/>
          </w:tcPr>
          <w:p>
            <w:pPr>
              <w:spacing w:after="0"/>
              <w:rPr>
                <w:sz w:val="14"/>
                <w:szCs w:val="14"/>
                <w:color w:val="auto"/>
              </w:rPr>
            </w:pP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6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Total Equity</w:t>
            </w:r>
          </w:p>
        </w:tc>
      </w:tr>
      <w:tr>
        <w:trPr>
          <w:trHeight w:val="26"/>
        </w:trPr>
        <w:tc>
          <w:tcPr>
            <w:tcW w:w="30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72"/>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September 28, 2024</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104,689,377</w:t>
            </w:r>
          </w:p>
        </w:tc>
        <w:tc>
          <w:tcPr>
            <w:tcW w:w="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76,965,386</w:t>
            </w:r>
          </w:p>
        </w:tc>
        <w:tc>
          <w:tcPr>
            <w:tcW w:w="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404,309,196</w:t>
            </w:r>
          </w:p>
        </w:tc>
        <w:tc>
          <w:tcPr>
            <w:tcW w:w="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$ 1,522,894</w:t>
            </w: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(2,594)</w:t>
            </w:r>
          </w:p>
        </w:tc>
        <w:tc>
          <w:tcPr>
            <w:tcW w:w="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(1,323,186)</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192,954</w:t>
            </w:r>
          </w:p>
        </w:tc>
        <w:tc>
          <w:tcPr>
            <w:tcW w:w="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390,128</w:t>
            </w:r>
          </w:p>
        </w:tc>
      </w:tr>
      <w:tr>
        <w:trPr>
          <w:trHeight w:val="176"/>
        </w:trPr>
        <w:tc>
          <w:tcPr>
            <w:tcW w:w="3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6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(3,175)</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(13,684)</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(16,859)</w:t>
            </w:r>
          </w:p>
        </w:tc>
      </w:tr>
      <w:tr>
        <w:trPr>
          <w:trHeight w:val="26"/>
        </w:trPr>
        <w:tc>
          <w:tcPr>
            <w:tcW w:w="3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7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stock plans, net of</w:t>
            </w: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71"/>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withheld for employee taxes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1,652,671</w:t>
            </w:r>
          </w:p>
        </w:tc>
        <w:tc>
          <w:tcPr>
            <w:tcW w:w="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(3,012)</w:t>
            </w: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(3,012)</w:t>
            </w:r>
          </w:p>
        </w:tc>
      </w:tr>
      <w:tr>
        <w:trPr>
          <w:trHeight w:val="176"/>
        </w:trPr>
        <w:tc>
          <w:tcPr>
            <w:tcW w:w="3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Exchange of Class V-1 and V-3 common stock</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179,867</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(179,867)</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(1,044)</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
        </w:trPr>
        <w:tc>
          <w:tcPr>
            <w:tcW w:w="3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82"/>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Cancellation of Class V-1 common stock</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(196,901)</w:t>
            </w: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3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 to Symbotic Holdings LLC partners</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6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w:t>
            </w:r>
          </w:p>
        </w:tc>
      </w:tr>
      <w:tr>
        <w:trPr>
          <w:trHeight w:val="26"/>
        </w:trPr>
        <w:tc>
          <w:tcPr>
            <w:tcW w:w="3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82"/>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4,456</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20,115</w:t>
            </w: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24,571</w:t>
            </w:r>
          </w:p>
        </w:tc>
      </w:tr>
      <w:tr>
        <w:trPr>
          <w:trHeight w:val="176"/>
        </w:trPr>
        <w:tc>
          <w:tcPr>
            <w:tcW w:w="3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w:t>
            </w:r>
          </w:p>
        </w:tc>
      </w:tr>
      <w:tr>
        <w:trPr>
          <w:trHeight w:val="26"/>
        </w:trPr>
        <w:tc>
          <w:tcPr>
            <w:tcW w:w="30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15"/>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28, 2024</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106,521,915</w:t>
            </w: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76,588,618</w:t>
            </w: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404,309,196</w:t>
            </w: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$ 1,525,382</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(2,696)</w:t>
            </w: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(1,326,361)</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197,030</w:t>
            </w: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393,415</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11" w:name="page12"/>
    <w:bookmarkEnd w:id="11"/>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Symbotic Inc.</w:t>
      </w:r>
    </w:p>
    <w:p>
      <w:pPr>
        <w:spacing w:after="0" w:line="5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Unaudited Condensed Consolidated Statements of Cash Flows</w:t>
      </w:r>
    </w:p>
    <w:p>
      <w:pPr>
        <w:spacing w:after="0" w:line="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gridSpan w:val="4"/>
          </w:tcPr>
          <w:p>
            <w:pPr>
              <w:jc w:val="right"/>
              <w:ind w:right="63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r>
      <w:tr>
        <w:trPr>
          <w:trHeight w:val="26"/>
        </w:trPr>
        <w:tc>
          <w:tcPr>
            <w:tcW w:w="8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67"/>
        </w:trPr>
        <w:tc>
          <w:tcPr>
            <w:tcW w:w="8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27, 2025</w:t>
            </w:r>
          </w:p>
        </w:tc>
        <w:tc>
          <w:tcPr>
            <w:tcW w:w="160" w:type="dxa"/>
            <w:vAlign w:val="bottom"/>
          </w:tcPr>
          <w:p>
            <w:pPr>
              <w:spacing w:after="0"/>
              <w:rPr>
                <w:sz w:val="14"/>
                <w:szCs w:val="14"/>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December 28, 2024</w:t>
            </w:r>
          </w:p>
        </w:tc>
      </w:tr>
      <w:tr>
        <w:trPr>
          <w:trHeight w:val="26"/>
        </w:trPr>
        <w:tc>
          <w:tcPr>
            <w:tcW w:w="8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3"/>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r>
      <w:tr>
        <w:trPr>
          <w:trHeight w:val="191"/>
        </w:trPr>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13,358</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(16,859)</w:t>
            </w: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8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r>
      <w:tr>
        <w:trPr>
          <w:trHeight w:val="191"/>
        </w:trPr>
        <w:tc>
          <w:tcPr>
            <w:tcW w:w="8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6,860</w:t>
            </w: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8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Amortization of leases</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w:t>
            </w:r>
          </w:p>
        </w:tc>
      </w:tr>
      <w:tr>
        <w:trPr>
          <w:trHeight w:val="191"/>
        </w:trPr>
        <w:tc>
          <w:tcPr>
            <w:tcW w:w="8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Loss from equity method investment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1,564</w:t>
            </w: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8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Foreign currency losses (gains)</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91"/>
        </w:trPr>
        <w:tc>
          <w:tcPr>
            <w:tcW w:w="8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Gain on investments</w:t>
            </w:r>
          </w:p>
        </w:tc>
        <w:tc>
          <w:tcPr>
            <w:tcW w:w="14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8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Provision for excess and obsolete inventory</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w:t>
            </w:r>
          </w:p>
        </w:tc>
      </w:tr>
      <w:tr>
        <w:trPr>
          <w:trHeight w:val="191"/>
        </w:trPr>
        <w:tc>
          <w:tcPr>
            <w:tcW w:w="8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Loss on disposal of assets</w:t>
            </w:r>
          </w:p>
        </w:tc>
        <w:tc>
          <w:tcPr>
            <w:tcW w:w="14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8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45,941</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24,603</w:t>
            </w:r>
          </w:p>
        </w:tc>
      </w:tr>
      <w:tr>
        <w:trPr>
          <w:trHeight w:val="191"/>
        </w:trPr>
        <w:tc>
          <w:tcPr>
            <w:tcW w:w="8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Gain from strategic investment fair value adjustment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8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r>
      <w:tr>
        <w:trPr>
          <w:trHeight w:val="191"/>
        </w:trPr>
        <w:tc>
          <w:tcPr>
            <w:tcW w:w="83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Accounts receivable</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79,090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67,376</w:t>
            </w: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83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Inventories</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(24,122)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(10,425)</w:t>
            </w:r>
          </w:p>
        </w:tc>
      </w:tr>
      <w:tr>
        <w:trPr>
          <w:trHeight w:val="191"/>
        </w:trPr>
        <w:tc>
          <w:tcPr>
            <w:tcW w:w="83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(51,726)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10,826</w:t>
            </w: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83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Deferred expenses</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(2,164)</w:t>
            </w:r>
          </w:p>
        </w:tc>
      </w:tr>
      <w:tr>
        <w:trPr>
          <w:trHeight w:val="191"/>
        </w:trPr>
        <w:tc>
          <w:tcPr>
            <w:tcW w:w="83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(2,643)</w:t>
            </w: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83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(23,857)</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31,145</w:t>
            </w:r>
          </w:p>
        </w:tc>
      </w:tr>
      <w:tr>
        <w:trPr>
          <w:trHeight w:val="191"/>
        </w:trPr>
        <w:tc>
          <w:tcPr>
            <w:tcW w:w="83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45,540</w:t>
            </w: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83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Deferred revenue</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132,244</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58,336</w:t>
            </w:r>
          </w:p>
        </w:tc>
      </w:tr>
      <w:tr>
        <w:trPr>
          <w:trHeight w:val="191"/>
        </w:trPr>
        <w:tc>
          <w:tcPr>
            <w:tcW w:w="83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Other liabilities</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(10,774)</w:t>
            </w:r>
          </w:p>
        </w:tc>
      </w:tr>
      <w:tr>
        <w:trPr>
          <w:trHeight w:val="32"/>
        </w:trPr>
        <w:tc>
          <w:tcPr>
            <w:tcW w:w="8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3"/>
        </w:trPr>
        <w:tc>
          <w:tcPr>
            <w:tcW w:w="83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191,540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205,027</w:t>
            </w:r>
          </w:p>
        </w:tc>
      </w:tr>
      <w:tr>
        <w:trPr>
          <w:trHeight w:val="17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8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property and equipment and capitalization of internal use software development costs</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(7,357)</w:t>
            </w:r>
          </w:p>
        </w:tc>
      </w:tr>
      <w:tr>
        <w:trPr>
          <w:trHeight w:val="191"/>
        </w:trPr>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Acquisitions of strategic investments</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(38,528)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(17,992)</w:t>
            </w:r>
          </w:p>
        </w:tc>
      </w:tr>
      <w:tr>
        <w:trPr>
          <w:trHeight w:val="32"/>
        </w:trPr>
        <w:tc>
          <w:tcPr>
            <w:tcW w:w="8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3"/>
        </w:trPr>
        <w:tc>
          <w:tcPr>
            <w:tcW w:w="83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(40,580)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(25,349)</w:t>
            </w:r>
          </w:p>
        </w:tc>
      </w:tr>
      <w:tr>
        <w:trPr>
          <w:trHeight w:val="19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8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 for taxes related to net share settlement of stock-based compensation awards</w:t>
            </w:r>
          </w:p>
        </w:tc>
        <w:tc>
          <w:tcPr>
            <w:tcW w:w="1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(3,012)</w:t>
            </w:r>
          </w:p>
        </w:tc>
      </w:tr>
      <w:tr>
        <w:trPr>
          <w:trHeight w:val="191"/>
        </w:trPr>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issuance of Class A common stock</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424,368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8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Distributions to or on behalf of Symbotic Holdings LLC partners</w:t>
            </w: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w:t>
            </w:r>
          </w:p>
        </w:tc>
      </w:tr>
      <w:tr>
        <w:trPr>
          <w:trHeight w:val="181"/>
        </w:trPr>
        <w:tc>
          <w:tcPr>
            <w:tcW w:w="83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423,146</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(3,862)</w:t>
            </w:r>
          </w:p>
        </w:tc>
      </w:tr>
      <w:tr>
        <w:trPr>
          <w:trHeight w:val="32"/>
        </w:trPr>
        <w:tc>
          <w:tcPr>
            <w:tcW w:w="8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3"/>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18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574,114</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175,732</w:t>
            </w: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 beginning of period</w:t>
            </w: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1,247,193</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730,354</w:t>
            </w:r>
          </w:p>
        </w:tc>
      </w:tr>
      <w:tr>
        <w:trPr>
          <w:trHeight w:val="18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 end of period</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1,821,307</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906,086</w:t>
            </w:r>
          </w:p>
        </w:tc>
      </w:tr>
      <w:tr>
        <w:trPr>
          <w:trHeight w:val="32"/>
        </w:trPr>
        <w:tc>
          <w:tcPr>
            <w:tcW w:w="8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12" w:name="page13"/>
    <w:bookmarkEnd w:id="12"/>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activities:</w:t>
            </w:r>
          </w:p>
        </w:tc>
        <w:tc>
          <w:tcPr>
            <w:tcW w:w="2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191"/>
        </w:trPr>
        <w:tc>
          <w:tcPr>
            <w:tcW w:w="6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Operating lease right-of-use assets obtained in exchange for operating lease liabilities</w:t>
            </w:r>
          </w:p>
        </w:tc>
        <w:tc>
          <w:tcPr>
            <w:tcW w:w="234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7,988</w:t>
            </w:r>
          </w:p>
        </w:tc>
      </w:tr>
      <w:tr>
        <w:trPr>
          <w:trHeight w:val="32"/>
        </w:trPr>
        <w:tc>
          <w:tcPr>
            <w:tcW w:w="66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91"/>
        </w:trPr>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Transfer of equipment from inventories to property and equipment</w:t>
            </w:r>
          </w:p>
        </w:tc>
        <w:tc>
          <w:tcPr>
            <w:tcW w:w="234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7,982</w:t>
            </w:r>
          </w:p>
        </w:tc>
      </w:tr>
      <w:tr>
        <w:trPr>
          <w:trHeight w:val="32"/>
        </w:trPr>
        <w:tc>
          <w:tcPr>
            <w:tcW w:w="662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13" w:name="page14"/>
    <w:bookmarkEnd w:id="13"/>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Symbotic Inc.</w:t>
      </w: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Unaudited Condensed Consolidated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Organization and Operations</w:t>
      </w:r>
    </w:p>
    <w:p>
      <w:pPr>
        <w:spacing w:after="0" w:line="53"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SVF Investment Corp. 3, formerly known as SVF Investment III Corp., (“SVF 3” and, after the Domestication as described below, “Symbotic” or the “Company”) was a blank check company incorporated as a Cayman Islands exempted company on December 11, 2020. SVF 3 was incorporated for the purpose of effecting a merger, share exchange, asset acquisition, share purchase, reorganization, or similar business combination with one or more businesses. Warehouse Technologies LLC (“Legacy Warehouse”), a New Hampshire limited liability company, was formed in December 2006 to make investments in companies that develop new technologies to improve operating efficiencies in modern warehouses. Symbotic LLC, a technology company that develops and commercializes innovative technologies for use within warehouse operations and Symbotic Group Holdings, ULC (“Symbotic Canada”) were wholly-owned subsidiaries of Legacy Warehouse. On December 12, 2021, (i) SVF 3 entered into an Agreement and Plan of Merger (the “Merger Agreement”) with Legacy Warehouse, Symbotic Holdings LLC, a Delaware limited liability company (“Symbotic Holdings”), and Saturn Acquisition (DE) Corp., a Delaware corporation and wholly owned subsidiary of SVF 3 (“Merger Sub”) and (ii) Legacy Warehouse entered into an Agreement and Plan of Merger (the “Company Merger Agreement”) with Symbotic Holdings.</w:t>
      </w:r>
    </w:p>
    <w:p>
      <w:pPr>
        <w:spacing w:after="0" w:line="21"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On June 7, 2022, as contemplated by the Company Merger Agreement, Legacy Warehouse merged with and into Symbotic Holdings (the “Company Reorganization”), with Symbotic Holdings surviving the merger (“Interim Symbotic”). Immediately following such merger, on June 7, 2022, as contemplated by the Merger Agreement, SVF 3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SVF 3 was transferred by way of continuation from the Cayman Islands and domesticated as a Delaware corporation, changing its name to “Symbotic Inc.” (the “Domestication”). Immediately following the Domestication of SVF 3, on June 7, 2022, as contemplated by the Merger Agreement, Merger Sub merged with and into Interim Symbotic (the “Merger” and, together with the Company Reorganization, the “Business Combination”), with Interim Symbotic surviving the merger as a subsidiary of Symbotic (“New Symbotic Holdings”).</w:t>
      </w:r>
    </w:p>
    <w:p>
      <w:pPr>
        <w:spacing w:after="0" w:line="19" w:lineRule="exact"/>
        <w:rPr>
          <w:sz w:val="20"/>
          <w:szCs w:val="20"/>
          <w:color w:val="auto"/>
        </w:rPr>
      </w:pPr>
    </w:p>
    <w:p>
      <w:pPr>
        <w:ind w:right="260" w:firstLine="255"/>
        <w:spacing w:after="0" w:line="261" w:lineRule="auto"/>
        <w:rPr>
          <w:sz w:val="20"/>
          <w:szCs w:val="20"/>
          <w:color w:val="auto"/>
        </w:rPr>
      </w:pPr>
      <w:r>
        <w:rPr>
          <w:rFonts w:ascii="Times New Roman" w:cs="Times New Roman" w:eastAsia="Times New Roman" w:hAnsi="Times New Roman"/>
          <w:sz w:val="14"/>
          <w:szCs w:val="14"/>
          <w:color w:val="auto"/>
        </w:rPr>
        <w:t>The Business Combination resulted in an umbrella partnership corporation (“Up-C”) structure, which is often used by partnerships and limited liability companies (operating as partnerships) undertaking an initial public offering. The Up-C structure allowed Legacy Warehouse equity holders (the “Legacy Warehouse Holders”) to retain their equity ownership in Symbotic Holdings, an entity that is classified as a partnership for U.S. federal income tax purposes, and provides potential future tax benefits for Symbotic when the Legacy Warehouse Holders ultimately redeem their pass-through interests for shares of Class A Common Stock in Symbotic Inc. Under the terms of the Tax Receivable Agreement (“TRA”), 85% of these potential future tax benefits realized by Symbotic Inc. as a result of such redemptions will be paid to certain Legacy Warehouse Holders (the “TRA Holders”).</w:t>
      </w:r>
    </w:p>
    <w:p>
      <w:pPr>
        <w:spacing w:after="0" w:line="16" w:lineRule="exact"/>
        <w:rPr>
          <w:sz w:val="20"/>
          <w:szCs w:val="20"/>
          <w:color w:val="auto"/>
        </w:rPr>
      </w:pPr>
    </w:p>
    <w:p>
      <w:pPr>
        <w:ind w:right="120" w:firstLine="255"/>
        <w:spacing w:after="0" w:line="264" w:lineRule="auto"/>
        <w:rPr>
          <w:sz w:val="20"/>
          <w:szCs w:val="20"/>
          <w:color w:val="auto"/>
        </w:rPr>
      </w:pPr>
      <w:r>
        <w:rPr>
          <w:rFonts w:ascii="Times New Roman" w:cs="Times New Roman" w:eastAsia="Times New Roman" w:hAnsi="Times New Roman"/>
          <w:sz w:val="14"/>
          <w:szCs w:val="14"/>
          <w:color w:val="auto"/>
        </w:rPr>
        <w:t>Symbotic is an automation technology company established to develop technologies to improve operating efficiencies in modern warehouses. The Company's vision is to make the supply chain work better for everyone. The Company does this by developing, commercializing, and deploying innovative and comprehensive technology solutions that dramatically improve supply chain operations. The Company automates the processing of pallets, cases and individual items in warehouses. Its systems enhance operations at the front end of the supply chain, and therefore benefit all supply partners further down the chain, irrespective of fulfillment strategy.</w:t>
      </w:r>
    </w:p>
    <w:p>
      <w:pPr>
        <w:spacing w:after="0" w:line="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Company's headquarters are located in Wilmington, Massachusetts.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14" w:name="page15"/>
    <w:bookmarkEnd w:id="14"/>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of Presentation and Consolidation</w:t>
      </w:r>
    </w:p>
    <w:p>
      <w:pPr>
        <w:spacing w:after="0" w:line="53"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have been prepared in U.S. dollars, in accordance with accounting principles generally accepted in the United States of America (“GAAP”). Certain information and note disclosures normally included in the Company’s annual audited consolidated financial statements and accompanying notes prepared in accordance with GAAP have been condensed in, or omitted from, these interim financial statements. Accordingly, these unaudited condensed consolidated financial statements included herein should be read in conjunction with the audited consolidated financial statements and accompanying notes thereto as of and for the year ended September 27, 2025, which are included within the Company’s Annual Report on Form 10-K filed with the SEC on November 24, 2025. The September 27, 2025 condensed consolidated balance sheet included herein is derived from the Company’s audited consolidated financial statements.</w:t>
      </w:r>
    </w:p>
    <w:p>
      <w:pPr>
        <w:spacing w:after="0" w:line="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Amounts reported are computed based on thousands, except percentages, per share amounts, or as otherwise noted. As a result, certain totals may not sum due to rounding.</w:t>
      </w:r>
    </w:p>
    <w:p>
      <w:pPr>
        <w:spacing w:after="0" w:line="51"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include the accounts of the Company and its wholly owned subsidiaries and majority-owned subsidiaries and reflect all adjustments (consisting solely of normal, recurring adjustments) which are, in the opinion of management, necessary for a fair statement of results for the interim periods presented. All intercompany balances and transactions have been eliminated in consolidation. The consolidated financial statements include 100% of the accounts of wholly owned and majority-owned subsidiaries and the ownership interest of the minority investor is recorded as a non-controlling interest in a subsidiary. The results of operations for the interim periods presented are not necessarily indicative of the results to be expected for any future period or the entire fiscal year.</w:t>
      </w:r>
    </w:p>
    <w:p>
      <w:pPr>
        <w:spacing w:after="0" w:line="16" w:lineRule="exact"/>
        <w:rPr>
          <w:sz w:val="20"/>
          <w:szCs w:val="20"/>
          <w:color w:val="auto"/>
        </w:rPr>
      </w:pPr>
    </w:p>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The Company operates and reports using a 52-53 week fiscal year ending on the last Saturday of September of each calendar year. Each of the Company’s fiscal quarters end on the last Saturday of the third month of each quarter.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Use of Estimates</w:t>
      </w:r>
    </w:p>
    <w:p>
      <w:pPr>
        <w:spacing w:after="0" w:line="53"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The preparation of unaudited condensed consolidated financial statements in conformity with GAAP requires management to make estimates, judgments, and assumptions that affect the reported amounts of assets, liabilities, revenue, and expenses, and the amounts disclosed in the related notes to the consolidated financial statements. Actual results and outcomes may differ materially from management’s estimates, judgments, and assumptions. Significant estimates, judgments, and assumptions used in these financial statements include, but are not limited to, those related to revenue, useful lives and realizability of long-lived assets, accounting for income taxes and related valuation allowances, and stock-based compensation. Estimates are periodically reviewed in light of changes in circumstances, facts, and experience.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Significant Accounting Policies</w:t>
      </w:r>
    </w:p>
    <w:p>
      <w:pPr>
        <w:spacing w:after="0" w:line="51" w:lineRule="exact"/>
        <w:rPr>
          <w:sz w:val="20"/>
          <w:szCs w:val="20"/>
          <w:color w:val="auto"/>
        </w:rPr>
      </w:pPr>
    </w:p>
    <w:p>
      <w:pPr>
        <w:jc w:val="both"/>
        <w:ind w:right="120" w:firstLine="255"/>
        <w:spacing w:after="0" w:line="271" w:lineRule="auto"/>
        <w:rPr>
          <w:sz w:val="20"/>
          <w:szCs w:val="20"/>
          <w:color w:val="auto"/>
        </w:rPr>
      </w:pPr>
      <w:r>
        <w:rPr>
          <w:rFonts w:ascii="Times New Roman" w:cs="Times New Roman" w:eastAsia="Times New Roman" w:hAnsi="Times New Roman"/>
          <w:sz w:val="14"/>
          <w:szCs w:val="14"/>
          <w:color w:val="auto"/>
        </w:rPr>
        <w:t xml:space="preserve">The Company’s significant accounting policies are described in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to the audited consolidated financial statements and related notes thereto as of and for the year ended September 27, 2025. Except as noted below, there have been no material changes to the significant accounting policies during the three month period ended December 27, 2025.</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Presentation of Restricted Cash</w:t>
      </w:r>
    </w:p>
    <w:p>
      <w:pPr>
        <w:spacing w:after="0" w:line="53" w:lineRule="exact"/>
        <w:rPr>
          <w:sz w:val="20"/>
          <w:szCs w:val="20"/>
          <w:color w:val="auto"/>
        </w:rPr>
      </w:pPr>
    </w:p>
    <w:p>
      <w:pPr>
        <w:ind w:right="20" w:firstLine="255"/>
        <w:spacing w:after="0" w:line="284" w:lineRule="auto"/>
        <w:rPr>
          <w:sz w:val="20"/>
          <w:szCs w:val="20"/>
          <w:color w:val="auto"/>
        </w:rPr>
      </w:pPr>
      <w:r>
        <w:rPr>
          <w:rFonts w:ascii="Times New Roman" w:cs="Times New Roman" w:eastAsia="Times New Roman" w:hAnsi="Times New Roman"/>
          <w:sz w:val="14"/>
          <w:szCs w:val="14"/>
          <w:color w:val="auto"/>
        </w:rPr>
        <w:t>Restricted cash primarily consists of collateral required for a credit card processing program and a U.S. customs bond. The short-term or long-term classification is determined in accordance with the required amount of time the cash is to be held as collateral, which is short-term for less than 12 months, and long-term for greater than 12 months from the balance sheet date.</w:t>
      </w:r>
    </w:p>
    <w:p>
      <w:pPr>
        <w:spacing w:after="0" w:line="1"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 summarizes the end-of-period cash and cash equivalents from the Company’s consolidated balance sheets and the total cash, cash equivalents, and restricted cash as presented on the accompanying consolidated statements of cash flows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15" w:name="page16"/>
    <w:bookmarkEnd w:id="15"/>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gridSpan w:val="4"/>
          </w:tcPr>
          <w:p>
            <w:pPr>
              <w:jc w:val="right"/>
              <w:ind w:right="851"/>
              <w:spacing w:after="0"/>
              <w:rPr>
                <w:sz w:val="20"/>
                <w:szCs w:val="20"/>
                <w:color w:val="auto"/>
              </w:rPr>
            </w:pPr>
            <w:r>
              <w:rPr>
                <w:rFonts w:ascii="Times New Roman" w:cs="Times New Roman" w:eastAsia="Times New Roman" w:hAnsi="Times New Roman"/>
                <w:sz w:val="13"/>
                <w:szCs w:val="13"/>
                <w:b w:val="1"/>
                <w:bCs w:val="1"/>
                <w:color w:val="auto"/>
              </w:rPr>
              <w:t>Three Months Ended</w:t>
            </w:r>
          </w:p>
        </w:tc>
      </w:tr>
      <w:tr>
        <w:trPr>
          <w:trHeight w:val="26"/>
        </w:trPr>
        <w:tc>
          <w:tcPr>
            <w:tcW w:w="8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67"/>
        </w:trPr>
        <w:tc>
          <w:tcPr>
            <w:tcW w:w="8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27, 2025</w:t>
            </w:r>
          </w:p>
        </w:tc>
        <w:tc>
          <w:tcPr>
            <w:tcW w:w="160" w:type="dxa"/>
            <w:vAlign w:val="bottom"/>
          </w:tcPr>
          <w:p>
            <w:pPr>
              <w:spacing w:after="0"/>
              <w:rPr>
                <w:sz w:val="14"/>
                <w:szCs w:val="14"/>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3"/>
                <w:szCs w:val="13"/>
                <w:b w:val="1"/>
                <w:bCs w:val="1"/>
                <w:color w:val="auto"/>
              </w:rPr>
              <w:t>December 28, 2024</w:t>
            </w:r>
          </w:p>
        </w:tc>
      </w:tr>
      <w:tr>
        <w:trPr>
          <w:trHeight w:val="26"/>
        </w:trPr>
        <w:tc>
          <w:tcPr>
            <w:tcW w:w="8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3"/>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1,819,102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903,034</w:t>
            </w:r>
          </w:p>
        </w:tc>
      </w:tr>
      <w:tr>
        <w:trPr>
          <w:trHeight w:val="19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 classified in:</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8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w:t>
            </w:r>
          </w:p>
        </w:tc>
      </w:tr>
      <w:tr>
        <w:trPr>
          <w:trHeight w:val="191"/>
        </w:trPr>
        <w:tc>
          <w:tcPr>
            <w:tcW w:w="8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long-term assets</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2,182</w:t>
            </w:r>
          </w:p>
        </w:tc>
      </w:tr>
      <w:tr>
        <w:trPr>
          <w:trHeight w:val="32"/>
        </w:trPr>
        <w:tc>
          <w:tcPr>
            <w:tcW w:w="8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3"/>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shown in the statements of cash flows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1,821,307</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906,086</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Volume of Business</w:t>
      </w:r>
    </w:p>
    <w:p>
      <w:pPr>
        <w:spacing w:after="0" w:line="53" w:lineRule="exact"/>
        <w:rPr>
          <w:sz w:val="20"/>
          <w:szCs w:val="20"/>
          <w:color w:val="auto"/>
        </w:rPr>
      </w:pPr>
    </w:p>
    <w:p>
      <w:pPr>
        <w:jc w:val="both"/>
        <w:ind w:right="40" w:firstLine="255"/>
        <w:spacing w:after="0" w:line="270" w:lineRule="auto"/>
        <w:rPr>
          <w:sz w:val="20"/>
          <w:szCs w:val="20"/>
          <w:color w:val="auto"/>
        </w:rPr>
      </w:pPr>
      <w:r>
        <w:rPr>
          <w:rFonts w:ascii="Times New Roman" w:cs="Times New Roman" w:eastAsia="Times New Roman" w:hAnsi="Times New Roman"/>
          <w:sz w:val="14"/>
          <w:szCs w:val="14"/>
          <w:color w:val="auto"/>
        </w:rPr>
        <w:t>The Company has concentration in the volume of purchases it conducts with its suppliers. For the three months ended December 27, 2025, there was one supplier that accounted for greater than 10% of total purchases, and the aggregate purchases from this supplier amounted to $76.2 million. For the three months ended December 28, 2024, there were two suppliers that accounted for greater than 10% of total purchases, and the aggregate purchases from these suppliers amounted to $87.1 million.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Recent Accounting Pronouncements</w:t>
      </w:r>
    </w:p>
    <w:p>
      <w:pPr>
        <w:spacing w:after="0" w:line="53" w:lineRule="exact"/>
        <w:rPr>
          <w:sz w:val="20"/>
          <w:szCs w:val="20"/>
          <w:color w:val="auto"/>
        </w:rPr>
      </w:pPr>
    </w:p>
    <w:p>
      <w:pPr>
        <w:ind w:right="140" w:firstLine="255"/>
        <w:spacing w:after="0" w:line="257" w:lineRule="auto"/>
        <w:rPr>
          <w:sz w:val="20"/>
          <w:szCs w:val="20"/>
          <w:color w:val="auto"/>
        </w:rPr>
      </w:pPr>
      <w:r>
        <w:rPr>
          <w:rFonts w:ascii="Times New Roman" w:cs="Times New Roman" w:eastAsia="Times New Roman" w:hAnsi="Times New Roman"/>
          <w:sz w:val="14"/>
          <w:szCs w:val="14"/>
          <w:color w:val="auto"/>
        </w:rPr>
        <w:t>In December 2023, the FASB issued ASU 2023-09, “Income Taxes (Topic 740): Improvements to Income Tax Disclosures” (“ASU 2023-09”). ASU 2023-09 requires public entities, on an annual basis, to provide: a tabular rate reconciliation (using both percentages and reporting currency amounts) of (1) the reported income tax expense (or benefit) from continuing operations, to (2) the product of the income (or loss) from continuing operations before income taxes and the applicable statutory federal (national) income tax rate of the jurisdiction (country) of domicile using specific categories, and separate disclosure for any reconciling items within certain categories that are equal to or greater than a specified quantitative threshold. For each annual period presented, ASU 2023-09 also requires all reporting entities to disclose the year-to-date amount of income taxes paid (net of refunds received) disaggregated by federal (national), state, and foreign. It also requires additional disaggregated information on income taxes paid (net of refunds received) to an individual jurisdiction equal to or greater than 5% of total income taxes paid (net of refunds received). ASU 2023-09 is effective for public entities for fiscal years beginning after December 15, 2024. ASU 2023-09 is to be applied on a prospective basis with the option to apply the standard retrospectively. Early adoption is permitted. The Company will adopt this standard and disclose any impact from this standard in its fiscal year 2026 consolidated financial statements.</w:t>
      </w:r>
    </w:p>
    <w:p>
      <w:pPr>
        <w:spacing w:after="0" w:line="21" w:lineRule="exact"/>
        <w:rPr>
          <w:sz w:val="20"/>
          <w:szCs w:val="20"/>
          <w:color w:val="auto"/>
        </w:rPr>
      </w:pPr>
    </w:p>
    <w:p>
      <w:pPr>
        <w:ind w:right="180" w:firstLine="255"/>
        <w:spacing w:after="0" w:line="264" w:lineRule="auto"/>
        <w:rPr>
          <w:sz w:val="20"/>
          <w:szCs w:val="20"/>
          <w:color w:val="auto"/>
        </w:rPr>
      </w:pPr>
      <w:r>
        <w:rPr>
          <w:rFonts w:ascii="Times New Roman" w:cs="Times New Roman" w:eastAsia="Times New Roman" w:hAnsi="Times New Roman"/>
          <w:sz w:val="14"/>
          <w:szCs w:val="14"/>
          <w:color w:val="auto"/>
        </w:rPr>
        <w:t>In November 2024, the FASB issued ASU 2024-03, “Income Statement-Reporting Comprehensive Income-Expense Disaggregation Disclosures (Subtopic 220-40) - Disaggregation of Income Statement Expenses” (“ASU 2024-03”), which requires additional disclosure about specified categories of expenses included in relevant expense captions presented on the income statement. The amendments are effective for annual periods beginning after December 15, 2026, and for interim periods within fiscal years beginning after December 15, 2027. Early adoption is permitted. The amendments may be applied either prospectively or retrospectively. The Company is currently evaluating the impact that ASU 2024-03 will have on its disclosures.</w:t>
      </w:r>
    </w:p>
    <w:p>
      <w:pPr>
        <w:spacing w:after="0" w:line="13" w:lineRule="exact"/>
        <w:rPr>
          <w:sz w:val="20"/>
          <w:szCs w:val="20"/>
          <w:color w:val="auto"/>
        </w:rPr>
      </w:pPr>
    </w:p>
    <w:p>
      <w:pPr>
        <w:ind w:right="80" w:firstLine="255"/>
        <w:spacing w:after="0" w:line="287" w:lineRule="auto"/>
        <w:rPr>
          <w:sz w:val="20"/>
          <w:szCs w:val="20"/>
          <w:color w:val="auto"/>
        </w:rPr>
      </w:pPr>
      <w:r>
        <w:rPr>
          <w:rFonts w:ascii="Times New Roman" w:cs="Times New Roman" w:eastAsia="Times New Roman" w:hAnsi="Times New Roman"/>
          <w:sz w:val="14"/>
          <w:szCs w:val="14"/>
          <w:color w:val="auto"/>
        </w:rPr>
        <w:t>The Company considers the applicability and impact of all ASUs issued by the FASB. There are no other accounting pronouncements which have been issued but are not yet effective that would have a material impact on the consolidated financial statements when adopted.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Recent Legislation</w:t>
      </w:r>
    </w:p>
    <w:p>
      <w:pPr>
        <w:spacing w:after="0" w:line="53" w:lineRule="exact"/>
        <w:rPr>
          <w:sz w:val="20"/>
          <w:szCs w:val="20"/>
          <w:color w:val="auto"/>
        </w:rPr>
      </w:pPr>
    </w:p>
    <w:p>
      <w:pPr>
        <w:ind w:right="80" w:firstLine="255"/>
        <w:spacing w:after="0" w:line="264" w:lineRule="auto"/>
        <w:rPr>
          <w:sz w:val="20"/>
          <w:szCs w:val="20"/>
          <w:color w:val="auto"/>
        </w:rPr>
      </w:pPr>
      <w:r>
        <w:rPr>
          <w:rFonts w:ascii="Times New Roman" w:cs="Times New Roman" w:eastAsia="Times New Roman" w:hAnsi="Times New Roman"/>
          <w:sz w:val="14"/>
          <w:szCs w:val="14"/>
          <w:color w:val="auto"/>
        </w:rPr>
        <w:t>On July 4, 2025, the One Big Beautiful Bill Act (“OBBBA”) was signed into law in the United States. Key provisions of the OBBBA include permanent extension of once-temporary provisions of the Tax Cuts and Jobs Act of 2017, along with the introduction of other significant changes that may impact the Company. The legislation has multiple effective dates, with certain provisions effective in the Company’s fiscal year 2025 and others implemented through the Company’s fiscal year 2028. The Company continues to evaluate the impact of the OBBBA and has included the impact of changes in the law that were effective during its fiscal year 2025 in the results of its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 in Accounting Principle - Stock-Based Compensation</w:t>
      </w:r>
    </w:p>
    <w:p>
      <w:pPr>
        <w:spacing w:after="0" w:line="53" w:lineRule="exact"/>
        <w:rPr>
          <w:sz w:val="20"/>
          <w:szCs w:val="20"/>
          <w:color w:val="auto"/>
        </w:rPr>
      </w:pPr>
    </w:p>
    <w:p>
      <w:pPr>
        <w:ind w:right="440" w:firstLine="255"/>
        <w:spacing w:after="0" w:line="287" w:lineRule="auto"/>
        <w:rPr>
          <w:sz w:val="20"/>
          <w:szCs w:val="20"/>
          <w:color w:val="auto"/>
        </w:rPr>
      </w:pPr>
      <w:r>
        <w:rPr>
          <w:rFonts w:ascii="Times New Roman" w:cs="Times New Roman" w:eastAsia="Times New Roman" w:hAnsi="Times New Roman"/>
          <w:sz w:val="14"/>
          <w:szCs w:val="14"/>
          <w:color w:val="auto"/>
        </w:rPr>
        <w:t>In the first quarter of fiscal year 2026, the Company changed its stock-based compensation policy for recognizing expense for graded vesting awards with only service conditions from the accelerated attribution method to the straight-line attribution method. In connection with the Business Combination in June 2022, the Company granted restricted stock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16" w:name="page17"/>
    <w:bookmarkEnd w:id="16"/>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(“RSU”) awards with accelerated vesting terms. As those initial RSU awards with accelerated vesting terms have fully vested since the Business Combination, the Company believes the straight-line attribution method for stock-based compensation expense for awards solely subject to time-based vesting conditions is the preferable accounting policy in accordance with Accounting Standards Codification (“ASC”) Topic 718</w:t>
      </w:r>
      <w:r>
        <w:rPr>
          <w:rFonts w:ascii="Times New Roman" w:cs="Times New Roman" w:eastAsia="Times New Roman" w:hAnsi="Times New Roman"/>
          <w:sz w:val="14"/>
          <w:szCs w:val="14"/>
          <w:i w:val="1"/>
          <w:iCs w:val="1"/>
          <w:color w:val="auto"/>
        </w:rPr>
        <w:t>, Compensation - Stock Compensation</w:t>
      </w:r>
      <w:r>
        <w:rPr>
          <w:rFonts w:ascii="Times New Roman" w:cs="Times New Roman" w:eastAsia="Times New Roman" w:hAnsi="Times New Roman"/>
          <w:sz w:val="14"/>
          <w:szCs w:val="14"/>
          <w:color w:val="auto"/>
        </w:rPr>
        <w:t>, because it more accurately reflects how the Company’s ongoing equity awards are earned over the service period and is the predominant method used in its industry. The Company applied the change retrospectively adjusting all periods presented and recorded a cumulative effect adjustment to additional paid-in capital, prepaid expenses and other current assets, and accumulated deficit as of September 28, 2025, resulting in a decrease to additional paid-in capital of $44.1 million, a decrease in GreenBox Systems LLC, which is now doing business as Exol (“Exol”) accounts receivable due from the shared services agreement of $5.5 million and a decrease to accumulated deficit of $38.6 million before giving effect to the impact to the noncontrolling interest. For the year ended September 28, 2024, the cumulative effect of the change in accounting principle on additional paid-in capital and accumulated deficit was an increase to additional paid-in capital of $0.8 million and a decrease to accumulated deficit of $0.7 million.</w:t>
      </w:r>
    </w:p>
    <w:p>
      <w:pPr>
        <w:spacing w:after="0" w:line="21" w:lineRule="exact"/>
        <w:rPr>
          <w:sz w:val="20"/>
          <w:szCs w:val="20"/>
          <w:color w:val="auto"/>
        </w:rPr>
      </w:pPr>
    </w:p>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tables present the effect of the change in accounting policy and the impact on the Company’s unaudited condensed consolidated financial statements and the consolidated financial statements for the periods presented (in thousands, except per share data):</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As of December 27, 2025</w:t>
            </w:r>
          </w:p>
        </w:tc>
        <w:tc>
          <w:tcPr>
            <w:tcW w:w="4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r>
      <w:tr>
        <w:trPr>
          <w:trHeight w:val="152"/>
        </w:trPr>
        <w:tc>
          <w:tcPr>
            <w:tcW w:w="4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rPr>
              <w:t>As Computed Under Accelerated Attribution</w:t>
            </w:r>
          </w:p>
        </w:tc>
        <w:tc>
          <w:tcPr>
            <w:tcW w:w="80" w:type="dxa"/>
            <w:vAlign w:val="bottom"/>
          </w:tcPr>
          <w:p>
            <w:pPr>
              <w:spacing w:after="0"/>
              <w:rPr>
                <w:sz w:val="13"/>
                <w:szCs w:val="13"/>
                <w:color w:val="auto"/>
              </w:rPr>
            </w:pPr>
          </w:p>
        </w:tc>
        <w:tc>
          <w:tcPr>
            <w:tcW w:w="22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rPr>
              <w:t>As Computed Under Straight-line Attribution</w:t>
            </w:r>
          </w:p>
        </w:tc>
        <w:tc>
          <w:tcPr>
            <w:tcW w:w="40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167"/>
        </w:trPr>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w w:val="99"/>
              </w:rPr>
              <w:t>Method</w:t>
            </w:r>
          </w:p>
        </w:tc>
        <w:tc>
          <w:tcPr>
            <w:tcW w:w="80" w:type="dxa"/>
            <w:vAlign w:val="bottom"/>
          </w:tcPr>
          <w:p>
            <w:pPr>
              <w:spacing w:after="0"/>
              <w:rPr>
                <w:sz w:val="14"/>
                <w:szCs w:val="14"/>
                <w:color w:val="auto"/>
              </w:rPr>
            </w:pPr>
          </w:p>
        </w:tc>
        <w:tc>
          <w:tcPr>
            <w:tcW w:w="22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w w:val="99"/>
              </w:rPr>
              <w:t>Method</w:t>
            </w:r>
          </w:p>
        </w:tc>
        <w:tc>
          <w:tcPr>
            <w:tcW w:w="400" w:type="dxa"/>
            <w:vAlign w:val="bottom"/>
          </w:tcPr>
          <w:p>
            <w:pPr>
              <w:spacing w:after="0"/>
              <w:rPr>
                <w:sz w:val="14"/>
                <w:szCs w:val="14"/>
                <w:color w:val="auto"/>
              </w:rPr>
            </w:pPr>
          </w:p>
        </w:tc>
        <w:tc>
          <w:tcPr>
            <w:tcW w:w="182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Effect of Change</w:t>
            </w:r>
          </w:p>
        </w:tc>
      </w:tr>
      <w:tr>
        <w:trPr>
          <w:trHeight w:val="203"/>
        </w:trPr>
        <w:tc>
          <w:tcPr>
            <w:tcW w:w="4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72,610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70,393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top w:val="single" w:sz="8" w:color="auto"/>
              <w:bottom w:val="single" w:sz="8" w:color="CCEEFF"/>
            </w:tcBorders>
            <w:shd w:val="clear" w:color="auto" w:fill="CCEEFF"/>
          </w:tcPr>
          <w:p>
            <w:pPr>
              <w:jc w:val="center"/>
              <w:ind w:left="1292"/>
              <w:spacing w:after="0"/>
              <w:rPr>
                <w:sz w:val="20"/>
                <w:szCs w:val="20"/>
                <w:color w:val="auto"/>
              </w:rPr>
            </w:pPr>
            <w:r>
              <w:rPr>
                <w:rFonts w:ascii="Times New Roman" w:cs="Times New Roman" w:eastAsia="Times New Roman" w:hAnsi="Times New Roman"/>
                <w:sz w:val="14"/>
                <w:szCs w:val="14"/>
                <w:color w:val="auto"/>
              </w:rPr>
              <w:t>(2,217)</w:t>
            </w:r>
          </w:p>
        </w:tc>
      </w:tr>
      <w:tr>
        <w:trPr>
          <w:trHeight w:val="191"/>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0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1,999,954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1,997,587</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20" w:type="dxa"/>
            <w:vAlign w:val="bottom"/>
          </w:tcPr>
          <w:p>
            <w:pPr>
              <w:jc w:val="center"/>
              <w:ind w:left="1292"/>
              <w:spacing w:after="0"/>
              <w:rPr>
                <w:sz w:val="20"/>
                <w:szCs w:val="20"/>
                <w:color w:val="auto"/>
              </w:rPr>
            </w:pPr>
            <w:r>
              <w:rPr>
                <w:rFonts w:ascii="Times New Roman" w:cs="Times New Roman" w:eastAsia="Times New Roman" w:hAnsi="Times New Roman"/>
                <w:sz w:val="14"/>
                <w:szCs w:val="14"/>
                <w:color w:val="auto"/>
              </w:rPr>
              <w:t>(2,367)</w:t>
            </w:r>
          </w:p>
        </w:tc>
      </w:tr>
      <w:tr>
        <w:trPr>
          <w:trHeight w:val="32"/>
        </w:trPr>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03"/>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10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(1,332,993)</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(1,331,181)</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center"/>
              <w:ind w:left="1312"/>
              <w:spacing w:after="0"/>
              <w:rPr>
                <w:sz w:val="20"/>
                <w:szCs w:val="20"/>
                <w:color w:val="auto"/>
              </w:rPr>
            </w:pPr>
            <w:r>
              <w:rPr>
                <w:rFonts w:ascii="Times New Roman" w:cs="Times New Roman" w:eastAsia="Times New Roman" w:hAnsi="Times New Roman"/>
                <w:sz w:val="14"/>
                <w:szCs w:val="14"/>
                <w:color w:val="auto"/>
              </w:rPr>
              <w:t>1,812</w:t>
            </w:r>
          </w:p>
        </w:tc>
      </w:tr>
      <w:tr>
        <w:trPr>
          <w:trHeight w:val="191"/>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298,099</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296,437</w:t>
            </w:r>
          </w:p>
        </w:tc>
        <w:tc>
          <w:tcPr>
            <w:tcW w:w="80" w:type="dxa"/>
            <w:vAlign w:val="bottom"/>
          </w:tcPr>
          <w:p>
            <w:pPr>
              <w:spacing w:after="0"/>
              <w:rPr>
                <w:sz w:val="16"/>
                <w:szCs w:val="16"/>
                <w:color w:val="auto"/>
              </w:rPr>
            </w:pP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Pr>
          <w:p>
            <w:pPr>
              <w:jc w:val="center"/>
              <w:ind w:left="1292"/>
              <w:spacing w:after="0"/>
              <w:rPr>
                <w:sz w:val="20"/>
                <w:szCs w:val="20"/>
                <w:color w:val="auto"/>
              </w:rPr>
            </w:pPr>
            <w:r>
              <w:rPr>
                <w:rFonts w:ascii="Times New Roman" w:cs="Times New Roman" w:eastAsia="Times New Roman" w:hAnsi="Times New Roman"/>
                <w:sz w:val="14"/>
                <w:szCs w:val="14"/>
                <w:color w:val="auto"/>
              </w:rPr>
              <w:t>(1,662)</w:t>
            </w:r>
          </w:p>
        </w:tc>
      </w:tr>
      <w:tr>
        <w:trPr>
          <w:trHeight w:val="341"/>
        </w:trPr>
        <w:tc>
          <w:tcPr>
            <w:tcW w:w="44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As of September 27, 2025</w:t>
            </w:r>
          </w:p>
        </w:tc>
        <w:tc>
          <w:tcPr>
            <w:tcW w:w="4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r>
        <w:trPr>
          <w:trHeight w:val="152"/>
        </w:trPr>
        <w:tc>
          <w:tcPr>
            <w:tcW w:w="4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rPr>
              <w:t>As Computed Under Accelerated Attribution</w:t>
            </w:r>
          </w:p>
        </w:tc>
        <w:tc>
          <w:tcPr>
            <w:tcW w:w="80" w:type="dxa"/>
            <w:vAlign w:val="bottom"/>
          </w:tcPr>
          <w:p>
            <w:pPr>
              <w:spacing w:after="0"/>
              <w:rPr>
                <w:sz w:val="13"/>
                <w:szCs w:val="13"/>
                <w:color w:val="auto"/>
              </w:rPr>
            </w:pPr>
          </w:p>
        </w:tc>
        <w:tc>
          <w:tcPr>
            <w:tcW w:w="22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rPr>
              <w:t>As Computed Under Straight-line Attribution</w:t>
            </w:r>
          </w:p>
        </w:tc>
        <w:tc>
          <w:tcPr>
            <w:tcW w:w="40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167"/>
        </w:trPr>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w w:val="99"/>
              </w:rPr>
              <w:t>Method</w:t>
            </w:r>
          </w:p>
        </w:tc>
        <w:tc>
          <w:tcPr>
            <w:tcW w:w="80" w:type="dxa"/>
            <w:vAlign w:val="bottom"/>
          </w:tcPr>
          <w:p>
            <w:pPr>
              <w:spacing w:after="0"/>
              <w:rPr>
                <w:sz w:val="14"/>
                <w:szCs w:val="14"/>
                <w:color w:val="auto"/>
              </w:rPr>
            </w:pPr>
          </w:p>
        </w:tc>
        <w:tc>
          <w:tcPr>
            <w:tcW w:w="22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w w:val="99"/>
              </w:rPr>
              <w:t>Method</w:t>
            </w:r>
          </w:p>
        </w:tc>
        <w:tc>
          <w:tcPr>
            <w:tcW w:w="400" w:type="dxa"/>
            <w:vAlign w:val="bottom"/>
          </w:tcPr>
          <w:p>
            <w:pPr>
              <w:spacing w:after="0"/>
              <w:rPr>
                <w:sz w:val="14"/>
                <w:szCs w:val="14"/>
                <w:color w:val="auto"/>
              </w:rPr>
            </w:pPr>
          </w:p>
        </w:tc>
        <w:tc>
          <w:tcPr>
            <w:tcW w:w="182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Effect of Change</w:t>
            </w:r>
          </w:p>
        </w:tc>
      </w:tr>
      <w:tr>
        <w:trPr>
          <w:trHeight w:val="203"/>
        </w:trPr>
        <w:tc>
          <w:tcPr>
            <w:tcW w:w="4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92,050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86,582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top w:val="single" w:sz="8" w:color="auto"/>
              <w:bottom w:val="single" w:sz="8" w:color="CCEEFF"/>
            </w:tcBorders>
            <w:shd w:val="clear" w:color="auto" w:fill="CCEEFF"/>
          </w:tcPr>
          <w:p>
            <w:pPr>
              <w:jc w:val="center"/>
              <w:ind w:left="1292"/>
              <w:spacing w:after="0"/>
              <w:rPr>
                <w:sz w:val="20"/>
                <w:szCs w:val="20"/>
                <w:color w:val="auto"/>
              </w:rPr>
            </w:pPr>
            <w:r>
              <w:rPr>
                <w:rFonts w:ascii="Times New Roman" w:cs="Times New Roman" w:eastAsia="Times New Roman" w:hAnsi="Times New Roman"/>
                <w:sz w:val="14"/>
                <w:szCs w:val="14"/>
                <w:color w:val="auto"/>
              </w:rPr>
              <w:t>(5,468)</w:t>
            </w:r>
          </w:p>
        </w:tc>
      </w:tr>
      <w:tr>
        <w:trPr>
          <w:trHeight w:val="191"/>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1,564,815</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1,556,611</w:t>
            </w:r>
          </w:p>
        </w:tc>
        <w:tc>
          <w:tcPr>
            <w:tcW w:w="80" w:type="dxa"/>
            <w:vAlign w:val="bottom"/>
          </w:tcPr>
          <w:p>
            <w:pPr>
              <w:spacing w:after="0"/>
              <w:rPr>
                <w:sz w:val="16"/>
                <w:szCs w:val="16"/>
                <w:color w:val="auto"/>
              </w:rPr>
            </w:pP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Pr>
          <w:p>
            <w:pPr>
              <w:jc w:val="center"/>
              <w:ind w:left="1292"/>
              <w:spacing w:after="0"/>
              <w:rPr>
                <w:sz w:val="20"/>
                <w:szCs w:val="20"/>
                <w:color w:val="auto"/>
              </w:rPr>
            </w:pPr>
            <w:r>
              <w:rPr>
                <w:rFonts w:ascii="Times New Roman" w:cs="Times New Roman" w:eastAsia="Times New Roman" w:hAnsi="Times New Roman"/>
                <w:sz w:val="14"/>
                <w:szCs w:val="14"/>
                <w:color w:val="auto"/>
              </w:rPr>
              <w:t>(8,204)</w:t>
            </w:r>
          </w:p>
        </w:tc>
      </w:tr>
      <w:tr>
        <w:trPr>
          <w:trHeight w:val="32"/>
        </w:trPr>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03"/>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10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(1,340,862)</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(1,333,783)</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center"/>
              <w:ind w:left="1312"/>
              <w:spacing w:after="0"/>
              <w:rPr>
                <w:sz w:val="20"/>
                <w:szCs w:val="20"/>
                <w:color w:val="auto"/>
              </w:rPr>
            </w:pPr>
            <w:r>
              <w:rPr>
                <w:rFonts w:ascii="Times New Roman" w:cs="Times New Roman" w:eastAsia="Times New Roman" w:hAnsi="Times New Roman"/>
                <w:sz w:val="14"/>
                <w:szCs w:val="14"/>
                <w:color w:val="auto"/>
              </w:rPr>
              <w:t>7,079</w:t>
            </w:r>
          </w:p>
        </w:tc>
      </w:tr>
      <w:tr>
        <w:trPr>
          <w:trHeight w:val="191"/>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261,895</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257,552</w:t>
            </w:r>
          </w:p>
        </w:tc>
        <w:tc>
          <w:tcPr>
            <w:tcW w:w="80" w:type="dxa"/>
            <w:vAlign w:val="bottom"/>
          </w:tcPr>
          <w:p>
            <w:pPr>
              <w:spacing w:after="0"/>
              <w:rPr>
                <w:sz w:val="16"/>
                <w:szCs w:val="16"/>
                <w:color w:val="auto"/>
              </w:rPr>
            </w:pP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Pr>
          <w:p>
            <w:pPr>
              <w:jc w:val="center"/>
              <w:ind w:left="1292"/>
              <w:spacing w:after="0"/>
              <w:rPr>
                <w:sz w:val="20"/>
                <w:szCs w:val="20"/>
                <w:color w:val="auto"/>
              </w:rPr>
            </w:pPr>
            <w:r>
              <w:rPr>
                <w:rFonts w:ascii="Times New Roman" w:cs="Times New Roman" w:eastAsia="Times New Roman" w:hAnsi="Times New Roman"/>
                <w:sz w:val="14"/>
                <w:szCs w:val="14"/>
                <w:color w:val="auto"/>
              </w:rPr>
              <w:t>(4,343)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17" w:name="page18"/>
    <w:bookmarkEnd w:id="17"/>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4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spacing w:after="0"/>
              <w:rPr>
                <w:sz w:val="13"/>
                <w:szCs w:val="13"/>
                <w:color w:val="auto"/>
              </w:rPr>
            </w:pPr>
          </w:p>
        </w:tc>
      </w:tr>
      <w:tr>
        <w:trPr>
          <w:trHeight w:val="171"/>
        </w:trPr>
        <w:tc>
          <w:tcPr>
            <w:tcW w:w="4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December 27, 2025</w:t>
            </w:r>
          </w:p>
        </w:tc>
        <w:tc>
          <w:tcPr>
            <w:tcW w:w="4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r>
      <w:tr>
        <w:trPr>
          <w:trHeight w:val="152"/>
        </w:trPr>
        <w:tc>
          <w:tcPr>
            <w:tcW w:w="4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rPr>
              <w:t>As Computed Under Accelerated Attribution</w:t>
            </w:r>
          </w:p>
        </w:tc>
        <w:tc>
          <w:tcPr>
            <w:tcW w:w="80" w:type="dxa"/>
            <w:vAlign w:val="bottom"/>
          </w:tcPr>
          <w:p>
            <w:pPr>
              <w:spacing w:after="0"/>
              <w:rPr>
                <w:sz w:val="13"/>
                <w:szCs w:val="13"/>
                <w:color w:val="auto"/>
              </w:rPr>
            </w:pPr>
          </w:p>
        </w:tc>
        <w:tc>
          <w:tcPr>
            <w:tcW w:w="22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rPr>
              <w:t>As Computed Under Straight-line Attribution</w:t>
            </w:r>
          </w:p>
        </w:tc>
        <w:tc>
          <w:tcPr>
            <w:tcW w:w="40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167"/>
        </w:trPr>
        <w:tc>
          <w:tcPr>
            <w:tcW w:w="4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rPr>
              <w:t>Method</w:t>
            </w:r>
          </w:p>
        </w:tc>
        <w:tc>
          <w:tcPr>
            <w:tcW w:w="80" w:type="dxa"/>
            <w:vAlign w:val="bottom"/>
          </w:tcPr>
          <w:p>
            <w:pPr>
              <w:spacing w:after="0"/>
              <w:rPr>
                <w:sz w:val="14"/>
                <w:szCs w:val="14"/>
                <w:color w:val="auto"/>
              </w:rPr>
            </w:pPr>
          </w:p>
        </w:tc>
        <w:tc>
          <w:tcPr>
            <w:tcW w:w="22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w w:val="99"/>
              </w:rPr>
              <w:t>Method</w:t>
            </w:r>
          </w:p>
        </w:tc>
        <w:tc>
          <w:tcPr>
            <w:tcW w:w="400" w:type="dxa"/>
            <w:vAlign w:val="bottom"/>
          </w:tcPr>
          <w:p>
            <w:pPr>
              <w:spacing w:after="0"/>
              <w:rPr>
                <w:sz w:val="14"/>
                <w:szCs w:val="14"/>
                <w:color w:val="auto"/>
              </w:rPr>
            </w:pPr>
          </w:p>
        </w:tc>
        <w:tc>
          <w:tcPr>
            <w:tcW w:w="1800" w:type="dxa"/>
            <w:vAlign w:val="bottom"/>
          </w:tcPr>
          <w:p>
            <w:pPr>
              <w:jc w:val="right"/>
              <w:ind w:right="630"/>
              <w:spacing w:after="0"/>
              <w:rPr>
                <w:sz w:val="20"/>
                <w:szCs w:val="20"/>
                <w:color w:val="auto"/>
              </w:rPr>
            </w:pPr>
            <w:r>
              <w:rPr>
                <w:rFonts w:ascii="Times New Roman" w:cs="Times New Roman" w:eastAsia="Times New Roman" w:hAnsi="Times New Roman"/>
                <w:sz w:val="11"/>
                <w:szCs w:val="11"/>
                <w:color w:val="auto"/>
              </w:rPr>
              <w:t>Effect of Change</w:t>
            </w:r>
          </w:p>
        </w:tc>
      </w:tr>
      <w:tr>
        <w:trPr>
          <w:trHeight w:val="203"/>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Systems cost of revenue</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472,624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469,873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(2,751)</w:t>
            </w:r>
          </w:p>
        </w:tc>
      </w:tr>
      <w:tr>
        <w:trPr>
          <w:trHeight w:val="191"/>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Software maintenance and support cost of revenue</w:t>
            </w:r>
          </w:p>
        </w:tc>
        <w:tc>
          <w:tcPr>
            <w:tcW w:w="10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32"/>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03"/>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Operation services cost of revenue</w:t>
            </w:r>
          </w:p>
        </w:tc>
        <w:tc>
          <w:tcPr>
            <w:tcW w:w="10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23,781</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23,734</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91"/>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cost of revenue</w:t>
            </w:r>
          </w:p>
        </w:tc>
        <w:tc>
          <w:tcPr>
            <w:tcW w:w="10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499,466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496,561</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(2,905)</w:t>
            </w:r>
          </w:p>
        </w:tc>
      </w:tr>
      <w:tr>
        <w:trPr>
          <w:trHeight w:val="32"/>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03"/>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0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130,519</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133,424</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2,905</w:t>
            </w:r>
          </w:p>
        </w:tc>
      </w:tr>
      <w:tr>
        <w:trPr>
          <w:trHeight w:val="191"/>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10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43,770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43,006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w:t>
            </w:r>
          </w:p>
        </w:tc>
      </w:tr>
      <w:tr>
        <w:trPr>
          <w:trHeight w:val="32"/>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03"/>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0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86,853</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81,219</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(5,634)</w:t>
            </w:r>
          </w:p>
        </w:tc>
      </w:tr>
      <w:tr>
        <w:trPr>
          <w:trHeight w:val="191"/>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0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133,296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126,898</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(6,398)</w:t>
            </w:r>
          </w:p>
        </w:tc>
      </w:tr>
      <w:tr>
        <w:trPr>
          <w:trHeight w:val="32"/>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03"/>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10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6,526</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9,303</w:t>
            </w:r>
          </w:p>
        </w:tc>
      </w:tr>
      <w:tr>
        <w:trPr>
          <w:trHeight w:val="191"/>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income tax and equity method investment</w:t>
            </w:r>
          </w:p>
        </w:tc>
        <w:tc>
          <w:tcPr>
            <w:tcW w:w="10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10,469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19,772</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9,303</w:t>
            </w:r>
          </w:p>
        </w:tc>
      </w:tr>
      <w:tr>
        <w:trPr>
          <w:trHeight w:val="32"/>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03"/>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0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13,358</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9,303</w:t>
            </w:r>
          </w:p>
        </w:tc>
      </w:tr>
      <w:tr>
        <w:trPr>
          <w:trHeight w:val="32"/>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03"/>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interests</w:t>
            </w:r>
          </w:p>
        </w:tc>
        <w:tc>
          <w:tcPr>
            <w:tcW w:w="10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3,266</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10,756</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7,490</w:t>
            </w:r>
          </w:p>
        </w:tc>
      </w:tr>
      <w:tr>
        <w:trPr>
          <w:trHeight w:val="191"/>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common stockholders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2,602</w:t>
            </w:r>
          </w:p>
        </w:tc>
        <w:tc>
          <w:tcPr>
            <w:tcW w:w="80" w:type="dxa"/>
            <w:vAlign w:val="bottom"/>
          </w:tcPr>
          <w:p>
            <w:pPr>
              <w:spacing w:after="0"/>
              <w:rPr>
                <w:sz w:val="16"/>
                <w:szCs w:val="16"/>
                <w:color w:val="auto"/>
              </w:rPr>
            </w:pP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1,813</w:t>
            </w:r>
          </w:p>
        </w:tc>
      </w:tr>
      <w:tr>
        <w:trPr>
          <w:trHeight w:val="32"/>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12"/>
        </w:trPr>
        <w:tc>
          <w:tcPr>
            <w:tcW w:w="4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191"/>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per share of Class A Common Stock:</w:t>
            </w:r>
          </w:p>
        </w:tc>
        <w:tc>
          <w:tcPr>
            <w:tcW w:w="1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32"/>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191"/>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r>
      <w:tr>
        <w:trPr>
          <w:trHeight w:val="32"/>
        </w:trPr>
        <w:tc>
          <w:tcPr>
            <w:tcW w:w="4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18" w:name="page19"/>
    <w:bookmarkEnd w:id="18"/>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4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spacing w:after="0"/>
              <w:rPr>
                <w:sz w:val="13"/>
                <w:szCs w:val="13"/>
                <w:color w:val="auto"/>
              </w:rPr>
            </w:pPr>
          </w:p>
        </w:tc>
      </w:tr>
      <w:tr>
        <w:trPr>
          <w:trHeight w:val="171"/>
        </w:trPr>
        <w:tc>
          <w:tcPr>
            <w:tcW w:w="4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December 28, 2024</w:t>
            </w:r>
          </w:p>
        </w:tc>
        <w:tc>
          <w:tcPr>
            <w:tcW w:w="4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r>
      <w:tr>
        <w:trPr>
          <w:trHeight w:val="152"/>
        </w:trPr>
        <w:tc>
          <w:tcPr>
            <w:tcW w:w="4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rPr>
              <w:t>As Computed Under Accelerated Attribution</w:t>
            </w:r>
          </w:p>
        </w:tc>
        <w:tc>
          <w:tcPr>
            <w:tcW w:w="80" w:type="dxa"/>
            <w:vAlign w:val="bottom"/>
          </w:tcPr>
          <w:p>
            <w:pPr>
              <w:spacing w:after="0"/>
              <w:rPr>
                <w:sz w:val="13"/>
                <w:szCs w:val="13"/>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As Computed Under Straight-line Attribution</w:t>
            </w:r>
          </w:p>
        </w:tc>
        <w:tc>
          <w:tcPr>
            <w:tcW w:w="40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167"/>
        </w:trPr>
        <w:tc>
          <w:tcPr>
            <w:tcW w:w="4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rPr>
              <w:t>Method</w:t>
            </w:r>
          </w:p>
        </w:tc>
        <w:tc>
          <w:tcPr>
            <w:tcW w:w="80" w:type="dxa"/>
            <w:vAlign w:val="bottom"/>
          </w:tcPr>
          <w:p>
            <w:pPr>
              <w:spacing w:after="0"/>
              <w:rPr>
                <w:sz w:val="14"/>
                <w:szCs w:val="14"/>
                <w:color w:val="auto"/>
              </w:rPr>
            </w:pPr>
          </w:p>
        </w:tc>
        <w:tc>
          <w:tcPr>
            <w:tcW w:w="22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w w:val="99"/>
              </w:rPr>
              <w:t>Method</w:t>
            </w:r>
          </w:p>
        </w:tc>
        <w:tc>
          <w:tcPr>
            <w:tcW w:w="400" w:type="dxa"/>
            <w:vAlign w:val="bottom"/>
          </w:tcPr>
          <w:p>
            <w:pPr>
              <w:spacing w:after="0"/>
              <w:rPr>
                <w:sz w:val="14"/>
                <w:szCs w:val="14"/>
                <w:color w:val="auto"/>
              </w:rPr>
            </w:pPr>
          </w:p>
        </w:tc>
        <w:tc>
          <w:tcPr>
            <w:tcW w:w="1800" w:type="dxa"/>
            <w:vAlign w:val="bottom"/>
          </w:tcPr>
          <w:p>
            <w:pPr>
              <w:jc w:val="right"/>
              <w:ind w:right="630"/>
              <w:spacing w:after="0"/>
              <w:rPr>
                <w:sz w:val="20"/>
                <w:szCs w:val="20"/>
                <w:color w:val="auto"/>
              </w:rPr>
            </w:pPr>
            <w:r>
              <w:rPr>
                <w:rFonts w:ascii="Times New Roman" w:cs="Times New Roman" w:eastAsia="Times New Roman" w:hAnsi="Times New Roman"/>
                <w:sz w:val="11"/>
                <w:szCs w:val="11"/>
                <w:color w:val="auto"/>
              </w:rPr>
              <w:t>Effect of Change</w:t>
            </w:r>
          </w:p>
        </w:tc>
      </w:tr>
      <w:tr>
        <w:trPr>
          <w:trHeight w:val="203"/>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Systems cost of revenue</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381,819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380,990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w:t>
            </w:r>
          </w:p>
        </w:tc>
      </w:tr>
      <w:tr>
        <w:trPr>
          <w:trHeight w:val="191"/>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Software maintenance and support cost of revenue</w:t>
            </w:r>
          </w:p>
        </w:tc>
        <w:tc>
          <w:tcPr>
            <w:tcW w:w="10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1,858</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32"/>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03"/>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Operation services cost of revenue</w:t>
            </w:r>
          </w:p>
        </w:tc>
        <w:tc>
          <w:tcPr>
            <w:tcW w:w="10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22,951</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22,829</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r>
      <w:tr>
        <w:trPr>
          <w:trHeight w:val="191"/>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cost of revenue</w:t>
            </w:r>
          </w:p>
        </w:tc>
        <w:tc>
          <w:tcPr>
            <w:tcW w:w="10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406,654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405,677</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w:t>
            </w:r>
          </w:p>
        </w:tc>
      </w:tr>
      <w:tr>
        <w:trPr>
          <w:trHeight w:val="32"/>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03"/>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0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80,039</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81,016</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w:t>
            </w:r>
          </w:p>
        </w:tc>
      </w:tr>
      <w:tr>
        <w:trPr>
          <w:trHeight w:val="191"/>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10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43,592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43,279</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r>
      <w:tr>
        <w:trPr>
          <w:trHeight w:val="32"/>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03"/>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0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61,076</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60,705</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r>
      <w:tr>
        <w:trPr>
          <w:trHeight w:val="191"/>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0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104,668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103,984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w:t>
            </w:r>
          </w:p>
        </w:tc>
      </w:tr>
      <w:tr>
        <w:trPr>
          <w:trHeight w:val="32"/>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03"/>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10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(24,629)</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(22,968)</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1,661</w:t>
            </w:r>
          </w:p>
        </w:tc>
      </w:tr>
      <w:tr>
        <w:trPr>
          <w:trHeight w:val="191"/>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before income tax and equity method investment</w:t>
            </w:r>
          </w:p>
        </w:tc>
        <w:tc>
          <w:tcPr>
            <w:tcW w:w="10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(16,806)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(15,145)</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1,661</w:t>
            </w:r>
          </w:p>
        </w:tc>
      </w:tr>
      <w:tr>
        <w:trPr>
          <w:trHeight w:val="32"/>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03"/>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0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(18,520)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(16,859)</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1,661</w:t>
            </w:r>
          </w:p>
        </w:tc>
      </w:tr>
      <w:tr>
        <w:trPr>
          <w:trHeight w:val="32"/>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03"/>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attributable to noncontrolling interests</w:t>
            </w:r>
          </w:p>
        </w:tc>
        <w:tc>
          <w:tcPr>
            <w:tcW w:w="10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(15,044)</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(13,684)</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w:t>
            </w:r>
          </w:p>
        </w:tc>
      </w:tr>
      <w:tr>
        <w:trPr>
          <w:trHeight w:val="191"/>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attributable to common stockholders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(3,476)</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(3,175)</w:t>
            </w:r>
          </w:p>
        </w:tc>
        <w:tc>
          <w:tcPr>
            <w:tcW w:w="80" w:type="dxa"/>
            <w:vAlign w:val="bottom"/>
          </w:tcPr>
          <w:p>
            <w:pPr>
              <w:spacing w:after="0"/>
              <w:rPr>
                <w:sz w:val="16"/>
                <w:szCs w:val="16"/>
                <w:color w:val="auto"/>
              </w:rPr>
            </w:pP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r>
      <w:tr>
        <w:trPr>
          <w:trHeight w:val="32"/>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12"/>
        </w:trPr>
        <w:tc>
          <w:tcPr>
            <w:tcW w:w="4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191"/>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per share of Class A Common Stock:</w:t>
            </w:r>
          </w:p>
        </w:tc>
        <w:tc>
          <w:tcPr>
            <w:tcW w:w="1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32"/>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191"/>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4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19" w:name="page20"/>
    <w:bookmarkEnd w:id="19"/>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4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r>
      <w:tr>
        <w:trPr>
          <w:trHeight w:val="171"/>
        </w:trPr>
        <w:tc>
          <w:tcPr>
            <w:tcW w:w="4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December 27, 2025</w:t>
            </w:r>
          </w:p>
        </w:tc>
        <w:tc>
          <w:tcPr>
            <w:tcW w:w="4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r>
      <w:tr>
        <w:trPr>
          <w:trHeight w:val="152"/>
        </w:trPr>
        <w:tc>
          <w:tcPr>
            <w:tcW w:w="4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rPr>
              <w:t>As Computed Under Accelerated Attribution</w:t>
            </w:r>
          </w:p>
        </w:tc>
        <w:tc>
          <w:tcPr>
            <w:tcW w:w="80" w:type="dxa"/>
            <w:vAlign w:val="bottom"/>
          </w:tcPr>
          <w:p>
            <w:pPr>
              <w:spacing w:after="0"/>
              <w:rPr>
                <w:sz w:val="13"/>
                <w:szCs w:val="13"/>
                <w:color w:val="auto"/>
              </w:rPr>
            </w:pPr>
          </w:p>
        </w:tc>
        <w:tc>
          <w:tcPr>
            <w:tcW w:w="22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rPr>
              <w:t>As Computed Under Straight-line Attribution</w:t>
            </w:r>
          </w:p>
        </w:tc>
        <w:tc>
          <w:tcPr>
            <w:tcW w:w="40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167"/>
        </w:trPr>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w w:val="99"/>
              </w:rPr>
              <w:t>Method</w:t>
            </w:r>
          </w:p>
        </w:tc>
        <w:tc>
          <w:tcPr>
            <w:tcW w:w="80" w:type="dxa"/>
            <w:vAlign w:val="bottom"/>
          </w:tcPr>
          <w:p>
            <w:pPr>
              <w:spacing w:after="0"/>
              <w:rPr>
                <w:sz w:val="14"/>
                <w:szCs w:val="14"/>
                <w:color w:val="auto"/>
              </w:rPr>
            </w:pPr>
          </w:p>
        </w:tc>
        <w:tc>
          <w:tcPr>
            <w:tcW w:w="22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w w:val="99"/>
              </w:rPr>
              <w:t>Method</w:t>
            </w:r>
          </w:p>
        </w:tc>
        <w:tc>
          <w:tcPr>
            <w:tcW w:w="400" w:type="dxa"/>
            <w:vAlign w:val="bottom"/>
          </w:tcPr>
          <w:p>
            <w:pPr>
              <w:spacing w:after="0"/>
              <w:rPr>
                <w:sz w:val="14"/>
                <w:szCs w:val="14"/>
                <w:color w:val="auto"/>
              </w:rPr>
            </w:pPr>
          </w:p>
        </w:tc>
        <w:tc>
          <w:tcPr>
            <w:tcW w:w="1820" w:type="dxa"/>
            <w:vAlign w:val="bottom"/>
          </w:tcPr>
          <w:p>
            <w:pPr>
              <w:jc w:val="right"/>
              <w:ind w:right="650"/>
              <w:spacing w:after="0"/>
              <w:rPr>
                <w:sz w:val="20"/>
                <w:szCs w:val="20"/>
                <w:color w:val="auto"/>
              </w:rPr>
            </w:pPr>
            <w:r>
              <w:rPr>
                <w:rFonts w:ascii="Times New Roman" w:cs="Times New Roman" w:eastAsia="Times New Roman" w:hAnsi="Times New Roman"/>
                <w:sz w:val="11"/>
                <w:szCs w:val="11"/>
                <w:color w:val="auto"/>
              </w:rPr>
              <w:t>Effect of Change</w:t>
            </w:r>
          </w:p>
        </w:tc>
      </w:tr>
      <w:tr>
        <w:trPr>
          <w:trHeight w:val="180"/>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0" w:type="dxa"/>
            <w:vAlign w:val="bottom"/>
            <w:tcBorders>
              <w:top w:val="single" w:sz="8" w:color="auto"/>
            </w:tcBorders>
          </w:tcPr>
          <w:p>
            <w:pPr>
              <w:spacing w:after="0"/>
              <w:rPr>
                <w:sz w:val="15"/>
                <w:szCs w:val="15"/>
                <w:color w:val="auto"/>
              </w:rPr>
            </w:pPr>
          </w:p>
        </w:tc>
        <w:tc>
          <w:tcPr>
            <w:tcW w:w="2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1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tcPr>
          <w:p>
            <w:pPr>
              <w:spacing w:after="0"/>
              <w:rPr>
                <w:sz w:val="15"/>
                <w:szCs w:val="15"/>
                <w:color w:val="auto"/>
              </w:rPr>
            </w:pPr>
          </w:p>
        </w:tc>
      </w:tr>
      <w:tr>
        <w:trPr>
          <w:trHeight w:val="32"/>
        </w:trPr>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03"/>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4,055</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13,358</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9,303</w:t>
            </w:r>
          </w:p>
        </w:tc>
      </w:tr>
      <w:tr>
        <w:trPr>
          <w:trHeight w:val="187"/>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w:t>
            </w:r>
          </w:p>
        </w:tc>
        <w:tc>
          <w:tcPr>
            <w:tcW w:w="1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184"/>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activities:</w:t>
            </w:r>
          </w:p>
        </w:tc>
        <w:tc>
          <w:tcPr>
            <w:tcW w:w="1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2"/>
        </w:trPr>
        <w:tc>
          <w:tcPr>
            <w:tcW w:w="4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03"/>
        </w:trPr>
        <w:tc>
          <w:tcPr>
            <w:tcW w:w="4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8,704</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8,704</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4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 of leases</w:t>
            </w:r>
          </w:p>
        </w:tc>
        <w:tc>
          <w:tcPr>
            <w:tcW w:w="10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1,388</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03"/>
        </w:trPr>
        <w:tc>
          <w:tcPr>
            <w:tcW w:w="4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equity method investment</w:t>
            </w:r>
          </w:p>
        </w:tc>
        <w:tc>
          <w:tcPr>
            <w:tcW w:w="10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5,799</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5,799</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4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Foreign currency losses</w:t>
            </w:r>
          </w:p>
        </w:tc>
        <w:tc>
          <w:tcPr>
            <w:tcW w:w="10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03"/>
        </w:trPr>
        <w:tc>
          <w:tcPr>
            <w:tcW w:w="4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Provision for excess and obsolete inventory</w:t>
            </w:r>
          </w:p>
        </w:tc>
        <w:tc>
          <w:tcPr>
            <w:tcW w:w="10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4,832</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4,832</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4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57,461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45,941</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(11,520)</w:t>
            </w:r>
          </w:p>
        </w:tc>
      </w:tr>
      <w:tr>
        <w:trPr>
          <w:trHeight w:val="32"/>
        </w:trPr>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03"/>
        </w:trPr>
        <w:tc>
          <w:tcPr>
            <w:tcW w:w="4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 from strategic investment fair value adjustment</w:t>
            </w:r>
          </w:p>
        </w:tc>
        <w:tc>
          <w:tcPr>
            <w:tcW w:w="10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(1,661)</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(1,661)</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32"/>
        </w:trPr>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03"/>
        </w:trPr>
        <w:tc>
          <w:tcPr>
            <w:tcW w:w="4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receivable</w:t>
            </w:r>
          </w:p>
        </w:tc>
        <w:tc>
          <w:tcPr>
            <w:tcW w:w="10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79,090</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79,090</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4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Inventories</w:t>
            </w:r>
          </w:p>
        </w:tc>
        <w:tc>
          <w:tcPr>
            <w:tcW w:w="10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(24,122)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(24,122)</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03"/>
        </w:trPr>
        <w:tc>
          <w:tcPr>
            <w:tcW w:w="4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(53,943)</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(51,726)</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2,217</w:t>
            </w:r>
          </w:p>
        </w:tc>
      </w:tr>
      <w:tr>
        <w:trPr>
          <w:trHeight w:val="191"/>
        </w:trPr>
        <w:tc>
          <w:tcPr>
            <w:tcW w:w="4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expenses</w:t>
            </w:r>
          </w:p>
        </w:tc>
        <w:tc>
          <w:tcPr>
            <w:tcW w:w="10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(7,275)</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03"/>
        </w:trPr>
        <w:tc>
          <w:tcPr>
            <w:tcW w:w="4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assets</w:t>
            </w:r>
          </w:p>
        </w:tc>
        <w:tc>
          <w:tcPr>
            <w:tcW w:w="10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2,335</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2,335</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4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10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(23,857)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(23,857)</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03"/>
        </w:trPr>
        <w:tc>
          <w:tcPr>
            <w:tcW w:w="4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0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8,718</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8,718</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4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revenue</w:t>
            </w:r>
          </w:p>
        </w:tc>
        <w:tc>
          <w:tcPr>
            <w:tcW w:w="10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132,244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132,244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23"/>
        </w:trPr>
        <w:tc>
          <w:tcPr>
            <w:tcW w:w="4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liabilities</w:t>
            </w:r>
          </w:p>
        </w:tc>
        <w:tc>
          <w:tcPr>
            <w:tcW w:w="100" w:type="dxa"/>
            <w:vAlign w:val="bottom"/>
            <w:tcBorders>
              <w:bottom w:val="single" w:sz="8" w:color="CCEEFF"/>
            </w:tcBorders>
            <w:shd w:val="clear" w:color="auto" w:fill="CCEEFF"/>
          </w:tcPr>
          <w:p>
            <w:pPr>
              <w:spacing w:after="0"/>
              <w:rPr>
                <w:sz w:val="19"/>
                <w:szCs w:val="19"/>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(2,255)</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(2,255)</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44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191,540</w:t>
            </w: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191,540</w:t>
            </w:r>
          </w:p>
        </w:tc>
        <w:tc>
          <w:tcPr>
            <w:tcW w:w="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4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20" w:name="page21"/>
    <w:bookmarkEnd w:id="20"/>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7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left="460"/>
              <w:spacing w:after="0"/>
              <w:rPr>
                <w:sz w:val="20"/>
                <w:szCs w:val="20"/>
                <w:color w:val="auto"/>
              </w:rPr>
            </w:pPr>
            <w:r>
              <w:rPr>
                <w:rFonts w:ascii="Times New Roman" w:cs="Times New Roman" w:eastAsia="Times New Roman" w:hAnsi="Times New Roman"/>
                <w:sz w:val="11"/>
                <w:szCs w:val="11"/>
                <w:b w:val="1"/>
                <w:bCs w:val="1"/>
                <w:color w:val="auto"/>
              </w:rPr>
              <w:t>December 28, 2024</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320" w:type="dxa"/>
            <w:vAlign w:val="bottom"/>
            <w:gridSpan w:val="6"/>
          </w:tcPr>
          <w:p>
            <w:pPr>
              <w:jc w:val="center"/>
              <w:ind w:right="80"/>
              <w:spacing w:after="0"/>
              <w:rPr>
                <w:sz w:val="20"/>
                <w:szCs w:val="20"/>
                <w:color w:val="auto"/>
              </w:rPr>
            </w:pPr>
            <w:r>
              <w:rPr>
                <w:rFonts w:ascii="Times New Roman" w:cs="Times New Roman" w:eastAsia="Times New Roman" w:hAnsi="Times New Roman"/>
                <w:sz w:val="11"/>
                <w:szCs w:val="11"/>
                <w:color w:val="auto"/>
              </w:rPr>
              <w:t>As Computed Under Accelerated Attribution</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20" w:type="dxa"/>
            <w:vAlign w:val="bottom"/>
            <w:gridSpan w:val="5"/>
          </w:tcPr>
          <w:p>
            <w:pPr>
              <w:jc w:val="center"/>
              <w:ind w:right="160"/>
              <w:spacing w:after="0"/>
              <w:rPr>
                <w:sz w:val="20"/>
                <w:szCs w:val="20"/>
                <w:color w:val="auto"/>
              </w:rPr>
            </w:pPr>
            <w:r>
              <w:rPr>
                <w:rFonts w:ascii="Times New Roman" w:cs="Times New Roman" w:eastAsia="Times New Roman" w:hAnsi="Times New Roman"/>
                <w:sz w:val="11"/>
                <w:szCs w:val="11"/>
                <w:color w:val="auto"/>
              </w:rPr>
              <w:t>As Computed Under Straight-line Attribution</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1"/>
                <w:szCs w:val="11"/>
                <w:color w:val="auto"/>
                <w:w w:val="99"/>
              </w:rPr>
              <w:t>Method</w:t>
            </w: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left="480"/>
              <w:spacing w:after="0"/>
              <w:rPr>
                <w:sz w:val="20"/>
                <w:szCs w:val="20"/>
                <w:color w:val="auto"/>
              </w:rPr>
            </w:pPr>
            <w:r>
              <w:rPr>
                <w:rFonts w:ascii="Times New Roman" w:cs="Times New Roman" w:eastAsia="Times New Roman" w:hAnsi="Times New Roman"/>
                <w:sz w:val="11"/>
                <w:szCs w:val="11"/>
                <w:color w:val="auto"/>
                <w:w w:val="99"/>
              </w:rPr>
              <w:t>Method</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1"/>
                <w:szCs w:val="11"/>
                <w:color w:val="auto"/>
              </w:rPr>
              <w:t>Effect of Change</w:t>
            </w:r>
          </w:p>
        </w:tc>
        <w:tc>
          <w:tcPr>
            <w:tcW w:w="0" w:type="dxa"/>
            <w:vAlign w:val="bottom"/>
          </w:tcPr>
          <w:p>
            <w:pPr>
              <w:spacing w:after="0"/>
              <w:rPr>
                <w:sz w:val="1"/>
                <w:szCs w:val="1"/>
                <w:color w:val="auto"/>
              </w:rPr>
            </w:pPr>
          </w:p>
        </w:tc>
      </w:tr>
      <w:tr>
        <w:trPr>
          <w:trHeight w:val="180"/>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2"/>
            <w:shd w:val="clear" w:color="auto" w:fill="CCEEFF"/>
          </w:tcPr>
          <w:p>
            <w:pPr>
              <w:jc w:val="right"/>
              <w:ind w:right="714"/>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(18,520)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(16,859)</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1,661</w:t>
            </w:r>
          </w:p>
        </w:tc>
        <w:tc>
          <w:tcPr>
            <w:tcW w:w="0" w:type="dxa"/>
            <w:vAlign w:val="bottom"/>
          </w:tcPr>
          <w:p>
            <w:pPr>
              <w:spacing w:after="0"/>
              <w:rPr>
                <w:sz w:val="1"/>
                <w:szCs w:val="1"/>
                <w:color w:val="auto"/>
              </w:rPr>
            </w:pPr>
          </w:p>
        </w:tc>
      </w:tr>
      <w:tr>
        <w:trPr>
          <w:trHeight w:val="191"/>
        </w:trPr>
        <w:tc>
          <w:tcPr>
            <w:tcW w:w="5820" w:type="dxa"/>
            <w:vAlign w:val="bottom"/>
            <w:gridSpan w:val="8"/>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2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6,860</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8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Amortization of leases</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2"/>
        </w:trPr>
        <w:tc>
          <w:tcPr>
            <w:tcW w:w="2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equity method investment</w:t>
            </w: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1,564</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1,564</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8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Foreign currency (gains) losses</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2"/>
        </w:trPr>
        <w:tc>
          <w:tcPr>
            <w:tcW w:w="2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disposal of assets</w:t>
            </w: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8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Provision for excess and obsolete inventory</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2"/>
        </w:trPr>
        <w:tc>
          <w:tcPr>
            <w:tcW w:w="2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26,773</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24,603</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w:t>
            </w:r>
          </w:p>
        </w:tc>
        <w:tc>
          <w:tcPr>
            <w:tcW w:w="0" w:type="dxa"/>
            <w:vAlign w:val="bottom"/>
          </w:tcPr>
          <w:p>
            <w:pPr>
              <w:spacing w:after="0"/>
              <w:rPr>
                <w:sz w:val="1"/>
                <w:szCs w:val="1"/>
                <w:color w:val="auto"/>
              </w:rPr>
            </w:pPr>
          </w:p>
        </w:tc>
      </w:tr>
      <w:tr>
        <w:trPr>
          <w:trHeight w:val="191"/>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2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receivable</w:t>
            </w: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67,376</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67,376</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8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Inventories</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(10,425)</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2"/>
        </w:trPr>
        <w:tc>
          <w:tcPr>
            <w:tcW w:w="2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10,317</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10,826</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0" w:type="dxa"/>
            <w:vAlign w:val="bottom"/>
          </w:tcPr>
          <w:p>
            <w:pPr>
              <w:spacing w:after="0"/>
              <w:rPr>
                <w:sz w:val="1"/>
                <w:szCs w:val="1"/>
                <w:color w:val="auto"/>
              </w:rPr>
            </w:pPr>
          </w:p>
        </w:tc>
      </w:tr>
      <w:tr>
        <w:trPr>
          <w:trHeight w:val="191"/>
        </w:trPr>
        <w:tc>
          <w:tcPr>
            <w:tcW w:w="28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Deferred expenses</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(2,164)</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2"/>
        </w:trPr>
        <w:tc>
          <w:tcPr>
            <w:tcW w:w="2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assets</w:t>
            </w: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(2,643)</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(2,643)</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8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31,145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31,145</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2"/>
        </w:trPr>
        <w:tc>
          <w:tcPr>
            <w:tcW w:w="2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45,540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45,540</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8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Deferred revenue</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58,336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58,336</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2"/>
        </w:trPr>
        <w:tc>
          <w:tcPr>
            <w:tcW w:w="2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8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liabilities</w:t>
            </w:r>
          </w:p>
        </w:tc>
        <w:tc>
          <w:tcPr>
            <w:tcW w:w="9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(10,774)</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(10,774)</w:t>
            </w:r>
          </w:p>
        </w:tc>
        <w:tc>
          <w:tcPr>
            <w:tcW w:w="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28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205,027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205,027</w:t>
            </w:r>
          </w:p>
        </w:tc>
        <w:tc>
          <w:tcPr>
            <w:tcW w:w="8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2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3. Noncontrolling Interests</w:t>
            </w: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9"/>
        </w:trPr>
        <w:tc>
          <w:tcPr>
            <w:tcW w:w="288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8360" w:type="dxa"/>
            <w:vAlign w:val="bottom"/>
            <w:gridSpan w:val="16"/>
          </w:tcPr>
          <w:p>
            <w:pPr>
              <w:ind w:left="260"/>
              <w:spacing w:after="0"/>
              <w:rPr>
                <w:sz w:val="20"/>
                <w:szCs w:val="20"/>
                <w:color w:val="auto"/>
              </w:rPr>
            </w:pPr>
            <w:r>
              <w:rPr>
                <w:rFonts w:ascii="Times New Roman" w:cs="Times New Roman" w:eastAsia="Times New Roman" w:hAnsi="Times New Roman"/>
                <w:sz w:val="14"/>
                <w:szCs w:val="14"/>
                <w:color w:val="auto"/>
              </w:rPr>
              <w:t>Noncontrolling interests represent the portion of net assets in consolidated entities that are not owned by the Company.</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360" w:type="dxa"/>
            <w:vAlign w:val="bottom"/>
            <w:gridSpan w:val="16"/>
          </w:tcPr>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ownership of the stock of the Company for the three months ended December 27, 2025.</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500" w:type="dxa"/>
            <w:vAlign w:val="bottom"/>
          </w:tcPr>
          <w:p>
            <w:pPr>
              <w:spacing w:after="0"/>
              <w:rPr>
                <w:sz w:val="20"/>
                <w:szCs w:val="20"/>
                <w:color w:val="auto"/>
              </w:rPr>
            </w:pPr>
          </w:p>
        </w:tc>
        <w:tc>
          <w:tcPr>
            <w:tcW w:w="138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Class A Common</w:t>
            </w:r>
          </w:p>
        </w:tc>
        <w:tc>
          <w:tcPr>
            <w:tcW w:w="1940" w:type="dxa"/>
            <w:vAlign w:val="bottom"/>
            <w:gridSpan w:val="4"/>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w w:val="97"/>
              </w:rPr>
              <w:t>Class V-1 and Class V-3</w:t>
            </w: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3"/>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w w:val="97"/>
              </w:rPr>
              <w:t>Class V-1 and Class V-3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940" w:type="dxa"/>
            <w:vAlign w:val="bottom"/>
            <w:gridSpan w:val="4"/>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1420" w:type="dxa"/>
            <w:vAlign w:val="bottom"/>
            <w:gridSpan w:val="3"/>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jc w:val="right"/>
              <w:ind w:right="49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6"/>
        </w:trPr>
        <w:tc>
          <w:tcPr>
            <w:tcW w:w="25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27, 2025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112,635,932</w:t>
            </w:r>
          </w:p>
        </w:tc>
        <w:tc>
          <w:tcPr>
            <w:tcW w:w="8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478,252,507</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590,888,439</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8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Issuances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8,878,719</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8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8,878,719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2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Exchanges</w:t>
            </w:r>
          </w:p>
        </w:tc>
        <w:tc>
          <w:tcPr>
            <w:tcW w:w="3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1,711,103</w:t>
            </w:r>
          </w:p>
        </w:tc>
        <w:tc>
          <w:tcPr>
            <w:tcW w:w="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(1,711,103)</w:t>
            </w: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27, 2025</w:t>
            </w:r>
          </w:p>
        </w:tc>
        <w:tc>
          <w:tcPr>
            <w:tcW w:w="3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123,225,754</w:t>
            </w:r>
          </w:p>
        </w:tc>
        <w:tc>
          <w:tcPr>
            <w:tcW w:w="80" w:type="dxa"/>
            <w:vAlign w:val="bottom"/>
          </w:tcPr>
          <w:p>
            <w:pPr>
              <w:spacing w:after="0"/>
              <w:rPr>
                <w:sz w:val="18"/>
                <w:szCs w:val="18"/>
                <w:color w:val="auto"/>
              </w:rPr>
            </w:pP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476,541,404</w:t>
            </w:r>
          </w:p>
        </w:tc>
        <w:tc>
          <w:tcPr>
            <w:tcW w:w="8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599,767,158</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20.5 %</w:t>
            </w: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79.5 %</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21" w:name="page22"/>
    <w:bookmarkEnd w:id="21"/>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ownership of the stock of the Company for the three months ended December 28, 2024.</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500" w:type="dxa"/>
            <w:vAlign w:val="bottom"/>
          </w:tcPr>
          <w:p>
            <w:pPr>
              <w:spacing w:after="0"/>
              <w:rPr>
                <w:sz w:val="13"/>
                <w:szCs w:val="13"/>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Class A Common</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Class V-1 and Class V-3</w:t>
            </w: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Class V-1 and Class V-3</w:t>
            </w:r>
          </w:p>
        </w:tc>
        <w:tc>
          <w:tcPr>
            <w:tcW w:w="1400" w:type="dxa"/>
            <w:vAlign w:val="bottom"/>
          </w:tcPr>
          <w:p>
            <w:pPr>
              <w:spacing w:after="0"/>
              <w:rPr>
                <w:sz w:val="13"/>
                <w:szCs w:val="13"/>
                <w:color w:val="auto"/>
              </w:rPr>
            </w:pPr>
          </w:p>
        </w:tc>
      </w:tr>
      <w:tr>
        <w:trPr>
          <w:trHeight w:val="167"/>
        </w:trPr>
        <w:tc>
          <w:tcPr>
            <w:tcW w:w="2500" w:type="dxa"/>
            <w:vAlign w:val="bottom"/>
          </w:tcPr>
          <w:p>
            <w:pPr>
              <w:spacing w:after="0"/>
              <w:rPr>
                <w:sz w:val="14"/>
                <w:szCs w:val="14"/>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5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140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1400" w:type="dxa"/>
            <w:vAlign w:val="bottom"/>
          </w:tcPr>
          <w:p>
            <w:pPr>
              <w:jc w:val="right"/>
              <w:ind w:right="49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6"/>
        </w:trPr>
        <w:tc>
          <w:tcPr>
            <w:tcW w:w="25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3"/>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28, 2024</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104,689,377</w:t>
            </w:r>
          </w:p>
        </w:tc>
        <w:tc>
          <w:tcPr>
            <w:tcW w:w="8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481,274,582</w:t>
            </w:r>
          </w:p>
        </w:tc>
        <w:tc>
          <w:tcPr>
            <w:tcW w:w="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585,963,959</w:t>
            </w: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r>
      <w:tr>
        <w:trPr>
          <w:trHeight w:val="191"/>
        </w:trPr>
        <w:tc>
          <w:tcPr>
            <w:tcW w:w="2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Issuances</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1,652,671</w:t>
            </w:r>
          </w:p>
        </w:tc>
        <w:tc>
          <w:tcPr>
            <w:tcW w:w="80" w:type="dxa"/>
            <w:vAlign w:val="bottom"/>
          </w:tcPr>
          <w:p>
            <w:pPr>
              <w:spacing w:after="0"/>
              <w:rPr>
                <w:sz w:val="16"/>
                <w:szCs w:val="16"/>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1,652,671</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32"/>
        </w:trPr>
        <w:tc>
          <w:tcPr>
            <w:tcW w:w="2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03"/>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Exchanges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179,867</w:t>
            </w:r>
          </w:p>
        </w:tc>
        <w:tc>
          <w:tcPr>
            <w:tcW w:w="8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(179,867)</w:t>
            </w:r>
          </w:p>
        </w:tc>
        <w:tc>
          <w:tcPr>
            <w:tcW w:w="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r>
      <w:tr>
        <w:trPr>
          <w:trHeight w:val="191"/>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Cancellations</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(196,901)</w:t>
            </w: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(196,901)</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32"/>
        </w:trPr>
        <w:tc>
          <w:tcPr>
            <w:tcW w:w="25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3"/>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28, 2024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106,521,915</w:t>
            </w:r>
          </w:p>
        </w:tc>
        <w:tc>
          <w:tcPr>
            <w:tcW w:w="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480,897,814</w:t>
            </w:r>
          </w:p>
        </w:tc>
        <w:tc>
          <w:tcPr>
            <w:tcW w:w="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587,419,729</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18.1 %</w:t>
            </w:r>
          </w:p>
        </w:tc>
        <w:tc>
          <w:tcPr>
            <w:tcW w:w="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81.9 %</w:t>
            </w:r>
          </w:p>
        </w:tc>
        <w:tc>
          <w:tcPr>
            <w:tcW w:w="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Revenue</w:t>
      </w:r>
    </w:p>
    <w:p>
      <w:pPr>
        <w:spacing w:after="0" w:line="53" w:lineRule="exact"/>
        <w:rPr>
          <w:sz w:val="20"/>
          <w:szCs w:val="20"/>
          <w:color w:val="auto"/>
        </w:rPr>
      </w:pPr>
    </w:p>
    <w:p>
      <w:pPr>
        <w:ind w:right="80" w:firstLine="255"/>
        <w:spacing w:after="0" w:line="259" w:lineRule="auto"/>
        <w:rPr>
          <w:sz w:val="20"/>
          <w:szCs w:val="20"/>
          <w:color w:val="auto"/>
        </w:rPr>
      </w:pPr>
      <w:r>
        <w:rPr>
          <w:rFonts w:ascii="Times New Roman" w:cs="Times New Roman" w:eastAsia="Times New Roman" w:hAnsi="Times New Roman"/>
          <w:sz w:val="14"/>
          <w:szCs w:val="14"/>
          <w:color w:val="auto"/>
        </w:rPr>
        <w:t>The Company generates revenue through its design and installation of supply chain automation systems (the “System”) to automate customers’ depalletizing, storage, selection, and palletization warehousing processes. The System has both a hardware component and an essential software component that enables the System to be programmed to operate within specific customer environments. The Company enters into contracts with customers that can include various combinations of services to design and install the System. These services are generally distinct and accounted for as separate performance obligations. As a result, each customer contract may contain multiple performance obligations. The Company determines whether performance obligations are distinct based on whether the customer can benefit from the good or service on its own or together with other resources that are readily available and whether the Company’s commitment to provide the goods or services to the customer is separately identifiable from other obligations in the contract.</w:t>
      </w:r>
    </w:p>
    <w:p>
      <w:pPr>
        <w:spacing w:after="0" w:line="19"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4"/>
          <w:szCs w:val="14"/>
          <w:color w:val="auto"/>
        </w:rPr>
        <w:t>The Company recognizes revenue upon transfer of control of promised goods or services in a contract with a customer, generally as title and risk of loss pass to the customer, in an amount that reflects the consideration the Company expects to receive in exchange for those goods or services. The Company considers the contractual consideration payable by the customer and assesses variable consideration that may affect the total transaction price, including contractual discounts, changes in total System contract cost estimates, contract incentive payments, shipping fees, inflation adjustments, and other sources of variable consideration, when determining the transaction price of each contract. The Company accounts for all consideration payable to a customer as a reduction of revenue. Consideration payable to a customer may include cash amounts that the Company is obligated to pay or expects to pay a customer, as well as credits or other items that can be applied against amounts owed to the Company from the customer. Variable consideration revenue is recognized only to the extent that it is probable that a significant reversal of revenue will not occur and when collection is considered probable. In instances where the timing of revenue recognition differs from the timing of invoicing, the Company has determined its contracts do not include a significant financing component. Taxes collected from customers, which are subsequently remitted to governmental authorities, are excluded from revenue. Shipping and handling costs billed to customers are included in revenue and the related costs are included in cost of revenue when incurred. The Company presents amounts collected from customers for sales and other taxes net of the related amounts remitted.</w:t>
      </w:r>
    </w:p>
    <w:p>
      <w:pPr>
        <w:spacing w:after="0" w:line="23" w:lineRule="exact"/>
        <w:rPr>
          <w:sz w:val="20"/>
          <w:szCs w:val="20"/>
          <w:color w:val="auto"/>
        </w:rPr>
      </w:pPr>
    </w:p>
    <w:p>
      <w:pPr>
        <w:jc w:val="both"/>
        <w:ind w:right="60" w:firstLine="255"/>
        <w:spacing w:after="0" w:line="261" w:lineRule="auto"/>
        <w:rPr>
          <w:sz w:val="20"/>
          <w:szCs w:val="20"/>
          <w:color w:val="auto"/>
        </w:rPr>
      </w:pPr>
      <w:r>
        <w:rPr>
          <w:rFonts w:ascii="Times New Roman" w:cs="Times New Roman" w:eastAsia="Times New Roman" w:hAnsi="Times New Roman"/>
          <w:sz w:val="14"/>
          <w:szCs w:val="14"/>
          <w:color w:val="auto"/>
        </w:rPr>
        <w:t>The design, assembly, and installation of a System includes substantive customer-specified acceptance criteria that allow the customer to accept or reject Systems that do not meet the customer’s specifications. When the Company cannot objectively determine that acceptance criteria will be met upon contract inception, revenue relating to Systems is deferred and recognized at a point in time upon final acceptance from the customer. If acceptance can be reasonably certain upon contract inception, revenue is recognized over time based on an input method, using a cost-to-cost measure of progress. Under this method, revenue is recorded based on the ratio of costs incurred over total estimated contract costs. This method provides a faithful depiction of the transfer of the System to the customer because the costs incurred represent the Company’s inputs towards satisfying the performance obligation.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Disaggregation of Revenue</w:t>
      </w:r>
    </w:p>
    <w:p>
      <w:pPr>
        <w:spacing w:after="0" w:line="53" w:lineRule="exact"/>
        <w:rPr>
          <w:sz w:val="20"/>
          <w:szCs w:val="20"/>
          <w:color w:val="auto"/>
        </w:rPr>
      </w:pPr>
    </w:p>
    <w:p>
      <w:pPr>
        <w:ind w:right="220" w:firstLine="255"/>
        <w:spacing w:after="0" w:line="287" w:lineRule="auto"/>
        <w:rPr>
          <w:sz w:val="20"/>
          <w:szCs w:val="20"/>
          <w:color w:val="auto"/>
        </w:rPr>
      </w:pPr>
      <w:r>
        <w:rPr>
          <w:rFonts w:ascii="Times New Roman" w:cs="Times New Roman" w:eastAsia="Times New Roman" w:hAnsi="Times New Roman"/>
          <w:sz w:val="14"/>
          <w:szCs w:val="14"/>
          <w:color w:val="auto"/>
        </w:rPr>
        <w:t>The Company provides disaggregation of revenue based on product and service type on the condensed consolidated statements of operations as it believes these categories best depict how the nature, amount, timing, and uncertainty of revenue and cash flows are affected by economic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22" w:name="page23"/>
    <w:bookmarkEnd w:id="22"/>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 Balances</w:t>
      </w:r>
    </w:p>
    <w:p>
      <w:pPr>
        <w:spacing w:after="0" w:line="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information about accounts receivable, unbilled accounts receivable, and contract liabilities from contracts with customers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27, 2025</w:t>
            </w:r>
          </w:p>
        </w:tc>
        <w:tc>
          <w:tcPr>
            <w:tcW w:w="280" w:type="dxa"/>
            <w:vAlign w:val="bottom"/>
          </w:tcPr>
          <w:p>
            <w:pPr>
              <w:spacing w:after="0"/>
              <w:rPr>
                <w:sz w:val="14"/>
                <w:szCs w:val="14"/>
                <w:color w:val="auto"/>
              </w:rPr>
            </w:pPr>
          </w:p>
        </w:tc>
        <w:tc>
          <w:tcPr>
            <w:tcW w:w="1740" w:type="dxa"/>
            <w:vAlign w:val="bottom"/>
          </w:tcPr>
          <w:p>
            <w:pPr>
              <w:jc w:val="right"/>
              <w:ind w:right="411"/>
              <w:spacing w:after="0"/>
              <w:rPr>
                <w:sz w:val="20"/>
                <w:szCs w:val="20"/>
                <w:color w:val="auto"/>
              </w:rPr>
            </w:pPr>
            <w:r>
              <w:rPr>
                <w:rFonts w:ascii="Times New Roman" w:cs="Times New Roman" w:eastAsia="Times New Roman" w:hAnsi="Times New Roman"/>
                <w:sz w:val="13"/>
                <w:szCs w:val="13"/>
                <w:b w:val="1"/>
                <w:bCs w:val="1"/>
                <w:color w:val="auto"/>
              </w:rPr>
              <w:t>September 27, 2025</w:t>
            </w:r>
          </w:p>
        </w:tc>
      </w:tr>
      <w:tr>
        <w:trPr>
          <w:trHeight w:val="26"/>
        </w:trPr>
        <w:tc>
          <w:tcPr>
            <w:tcW w:w="7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93"/>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w:t>
            </w: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107,631</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186,705</w:t>
            </w:r>
          </w:p>
        </w:tc>
      </w:tr>
      <w:tr>
        <w:trPr>
          <w:trHeight w:val="191"/>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Unbilled accounts receivable</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249,589</w:t>
            </w:r>
          </w:p>
        </w:tc>
        <w:tc>
          <w:tcPr>
            <w:tcW w:w="8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181,658</w:t>
            </w:r>
          </w:p>
        </w:tc>
      </w:tr>
      <w:tr>
        <w:trPr>
          <w:trHeight w:val="32"/>
        </w:trPr>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191"/>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liabilities</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1,499,497</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1,367,244</w:t>
            </w:r>
          </w:p>
        </w:tc>
      </w:tr>
      <w:tr>
        <w:trPr>
          <w:trHeight w:val="32"/>
        </w:trPr>
        <w:tc>
          <w:tcPr>
            <w:tcW w:w="7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102" w:lineRule="exact"/>
        <w:rPr>
          <w:sz w:val="20"/>
          <w:szCs w:val="20"/>
          <w:color w:val="auto"/>
        </w:rPr>
      </w:pPr>
    </w:p>
    <w:p>
      <w:pPr>
        <w:ind w:right="20" w:firstLine="255"/>
        <w:spacing w:after="0" w:line="259" w:lineRule="auto"/>
        <w:rPr>
          <w:sz w:val="20"/>
          <w:szCs w:val="20"/>
          <w:color w:val="auto"/>
        </w:rPr>
      </w:pPr>
      <w:r>
        <w:rPr>
          <w:rFonts w:ascii="Times New Roman" w:cs="Times New Roman" w:eastAsia="Times New Roman" w:hAnsi="Times New Roman"/>
          <w:sz w:val="14"/>
          <w:szCs w:val="14"/>
          <w:color w:val="auto"/>
        </w:rPr>
        <w:t>The change in the opening and closing balances of the Company’s accounts receivable primarily results from the increase in customer System implementations in the current fiscal year as well as the timing of when customer payments are due. The change in the opening and closing balances of the Company’s unbilled accounts receivable and contract liabilities primarily results from the timing difference between the Company’s performance and customer payments. The Company’s performance obligations are typically satisfied over time as work is performed. Payment from customers can vary and is often received in advance of satisfaction of the performance obligations, resulting in a contract liability balance. When satisfaction of the performance obligations occurs in advance of invoicing or payment being received, an unbilled accounts receivable is generated. During the three months ended December 27, 2025, the Company recognized $408.2 million of the contract liability balance at September 27, 2025, as revenue upon transfer of the products or services to customers.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Remaining Performance Obligations</w:t>
      </w:r>
    </w:p>
    <w:p>
      <w:pPr>
        <w:spacing w:after="0" w:line="53"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4"/>
          <w:szCs w:val="14"/>
          <w:color w:val="auto"/>
        </w:rPr>
        <w:t>Remaining performance obligations represent the aggregate amount of the transaction price allocated to performance obligations not delivered, or partially undelivered, at the end of the reporting period. Remaining performance obligations include deferred revenue plus unbilled amounts not yet recorded in deferred revenue. Remaining performance obligation estimates are subject to change and are affected by several factors, including terminations, changes in scope of contracts, periodic revalidation, adjustments for revenue that have not materialized, adjustments for inflation, and adjustments for currency. The definition of remaining performance obligations excludes those contracts that provide the customer with the right to cancel or terminate the contract without incurring a substantial penalty. For contracts with a duration of greater than one year, the transaction price allocated to performance obligations that are unsatisfied as of December 27, 2025 was $22.3 billion, which is primarily comprised of undelivered or partially undelivered Systems under contract, and which a substantial majority relates to undelivered or partially undelivered Systems in connection with the Master Automation Agreement (“MAA”) with Walmart Inc. (“Walmart”) to implement Systems in all of Walmart’s 42 regional distribution centers (“2025 Walmart MAA”), and in connection with the Commercial Agreement with Exol, under which Symbotic will implement its System into Exol distribution center locations. As the Company accounts for Exol as an equity method investment, the remaining performance obligation includes the Company’s proportionate share of unconsolidated variable interest entity contracts. In addition, the contingent promise to purchase 400 automated systems for online pickup and delivery at Walmart stores under the 2025 Walmart MAA could increase the Company’s future remaining performance obligation by more than $5.0 billion. The Company expects to recognize approximately 13% of its remaining performance obligations as revenue in the next 12 months, approximately 62% of its remaining performance obligations as revenue within the following 13 to 60 months, and the remaining thereafter, which is dependent on the timing of System installation timelines. The Company does not disclose the value of remaining performance obligations for contracts with an original expected duration of one year or less or for performance obligations where revenue is recognized under the right to invoice practical expedient.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Significant Customers</w:t>
      </w:r>
    </w:p>
    <w:p>
      <w:pPr>
        <w:spacing w:after="0" w:line="53" w:lineRule="exact"/>
        <w:rPr>
          <w:sz w:val="20"/>
          <w:szCs w:val="20"/>
          <w:color w:val="auto"/>
        </w:rPr>
      </w:pPr>
    </w:p>
    <w:p>
      <w:pPr>
        <w:ind w:right="220" w:firstLine="255"/>
        <w:spacing w:after="0" w:line="287" w:lineRule="auto"/>
        <w:rPr>
          <w:sz w:val="20"/>
          <w:szCs w:val="20"/>
          <w:color w:val="auto"/>
        </w:rPr>
      </w:pPr>
      <w:r>
        <w:rPr>
          <w:rFonts w:ascii="Times New Roman" w:cs="Times New Roman" w:eastAsia="Times New Roman" w:hAnsi="Times New Roman"/>
          <w:sz w:val="14"/>
          <w:szCs w:val="14"/>
          <w:color w:val="auto"/>
        </w:rPr>
        <w:t>For the three months ended December 27, 2025 and December 28, 2024, there was one customer, including all affiliates, subsidiaries, and consolidated entities, that individually accounted for 10% or more of total revenue. The following table represents this customer’s aggregate percent of total revenue.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80" w:type="dxa"/>
            <w:vAlign w:val="bottom"/>
          </w:tcPr>
          <w:p>
            <w:pPr>
              <w:spacing w:after="0"/>
              <w:rPr>
                <w:sz w:val="14"/>
                <w:szCs w:val="14"/>
                <w:color w:val="auto"/>
              </w:rPr>
            </w:pPr>
          </w:p>
        </w:tc>
        <w:tc>
          <w:tcPr>
            <w:tcW w:w="3200" w:type="dxa"/>
            <w:vAlign w:val="bottom"/>
            <w:gridSpan w:val="3"/>
          </w:tcPr>
          <w:p>
            <w:pPr>
              <w:jc w:val="right"/>
              <w:ind w:right="953"/>
              <w:spacing w:after="0"/>
              <w:rPr>
                <w:sz w:val="20"/>
                <w:szCs w:val="20"/>
                <w:color w:val="auto"/>
              </w:rPr>
            </w:pPr>
            <w:r>
              <w:rPr>
                <w:rFonts w:ascii="Times New Roman" w:cs="Times New Roman" w:eastAsia="Times New Roman" w:hAnsi="Times New Roman"/>
                <w:sz w:val="13"/>
                <w:szCs w:val="13"/>
                <w:b w:val="1"/>
                <w:bCs w:val="1"/>
                <w:color w:val="auto"/>
              </w:rPr>
              <w:t>Three Months Ended</w:t>
            </w:r>
          </w:p>
        </w:tc>
      </w:tr>
      <w:tr>
        <w:trPr>
          <w:trHeight w:val="26"/>
        </w:trPr>
        <w:tc>
          <w:tcPr>
            <w:tcW w:w="808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67"/>
        </w:trPr>
        <w:tc>
          <w:tcPr>
            <w:tcW w:w="8080" w:type="dxa"/>
            <w:vAlign w:val="bottom"/>
          </w:tcPr>
          <w:p>
            <w:pPr>
              <w:spacing w:after="0"/>
              <w:rPr>
                <w:sz w:val="14"/>
                <w:szCs w:val="14"/>
                <w:color w:val="auto"/>
              </w:rPr>
            </w:pPr>
          </w:p>
        </w:tc>
        <w:tc>
          <w:tcPr>
            <w:tcW w:w="164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December 27, 2025</w:t>
            </w:r>
          </w:p>
        </w:tc>
        <w:tc>
          <w:tcPr>
            <w:tcW w:w="1560" w:type="dxa"/>
            <w:vAlign w:val="bottom"/>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December 28, 2024</w:t>
            </w:r>
          </w:p>
        </w:tc>
      </w:tr>
      <w:tr>
        <w:trPr>
          <w:trHeight w:val="26"/>
        </w:trPr>
        <w:tc>
          <w:tcPr>
            <w:tcW w:w="80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1"/>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A</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85.6 %</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86.1 %</w:t>
            </w:r>
          </w:p>
        </w:tc>
      </w:tr>
      <w:tr>
        <w:trPr>
          <w:trHeight w:val="32"/>
        </w:trPr>
        <w:tc>
          <w:tcPr>
            <w:tcW w:w="80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23" w:name="page24"/>
    <w:bookmarkEnd w:id="23"/>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80" w:firstLine="255"/>
        <w:spacing w:after="0" w:line="270" w:lineRule="auto"/>
        <w:rPr>
          <w:sz w:val="20"/>
          <w:szCs w:val="20"/>
          <w:color w:val="auto"/>
        </w:rPr>
      </w:pPr>
      <w:r>
        <w:rPr>
          <w:rFonts w:ascii="Times New Roman" w:cs="Times New Roman" w:eastAsia="Times New Roman" w:hAnsi="Times New Roman"/>
          <w:sz w:val="14"/>
          <w:szCs w:val="14"/>
          <w:color w:val="auto"/>
        </w:rPr>
        <w:t>At December 27, 2025, three customers accounted for over 10% of the Company’s accounts receivable balance. At September 27, 2025, one customer accounted for over 10% of the Company’s accounts receivable balance. The following table represents these customers’ aggregate percent of total accounts receivable. The symbol “n/a” indicates that such customer’s accounts receivable balance at the period indicated within the table did not exceed 10% of the Company’s accounts receivable balance.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000" w:type="dxa"/>
            <w:vAlign w:val="bottom"/>
          </w:tcPr>
          <w:p>
            <w:pPr>
              <w:spacing w:after="0"/>
              <w:rPr>
                <w:sz w:val="14"/>
                <w:szCs w:val="14"/>
                <w:color w:val="auto"/>
              </w:rPr>
            </w:pPr>
          </w:p>
        </w:tc>
        <w:tc>
          <w:tcPr>
            <w:tcW w:w="1620" w:type="dxa"/>
            <w:vAlign w:val="bottom"/>
          </w:tcPr>
          <w:p>
            <w:pPr>
              <w:ind w:left="540"/>
              <w:spacing w:after="0"/>
              <w:rPr>
                <w:sz w:val="20"/>
                <w:szCs w:val="20"/>
                <w:color w:val="auto"/>
              </w:rPr>
            </w:pPr>
            <w:r>
              <w:rPr>
                <w:rFonts w:ascii="Times New Roman" w:cs="Times New Roman" w:eastAsia="Times New Roman" w:hAnsi="Times New Roman"/>
                <w:sz w:val="13"/>
                <w:szCs w:val="13"/>
                <w:b w:val="1"/>
                <w:bCs w:val="1"/>
                <w:color w:val="auto"/>
              </w:rPr>
              <w:t>December 27, 2025</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tcPr>
          <w:p>
            <w:pPr>
              <w:jc w:val="right"/>
              <w:ind w:right="451"/>
              <w:spacing w:after="0"/>
              <w:rPr>
                <w:sz w:val="20"/>
                <w:szCs w:val="20"/>
                <w:color w:val="auto"/>
              </w:rPr>
            </w:pPr>
            <w:r>
              <w:rPr>
                <w:rFonts w:ascii="Times New Roman" w:cs="Times New Roman" w:eastAsia="Times New Roman" w:hAnsi="Times New Roman"/>
                <w:sz w:val="13"/>
                <w:szCs w:val="13"/>
                <w:b w:val="1"/>
                <w:bCs w:val="1"/>
                <w:color w:val="auto"/>
              </w:rPr>
              <w:t>September 27, 2025</w:t>
            </w:r>
          </w:p>
        </w:tc>
      </w:tr>
      <w:tr>
        <w:trPr>
          <w:trHeight w:val="26"/>
        </w:trPr>
        <w:tc>
          <w:tcPr>
            <w:tcW w:w="7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193"/>
        </w:trPr>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A</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25.6 %</w:t>
            </w:r>
          </w:p>
        </w:tc>
        <w:tc>
          <w:tcPr>
            <w:tcW w:w="8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75.8 %</w:t>
            </w:r>
          </w:p>
        </w:tc>
      </w:tr>
      <w:tr>
        <w:trPr>
          <w:trHeight w:val="191"/>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Customer B</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41.4 %</w:t>
            </w:r>
          </w:p>
        </w:tc>
        <w:tc>
          <w:tcPr>
            <w:tcW w:w="80" w:type="dxa"/>
            <w:vAlign w:val="bottom"/>
          </w:tcPr>
          <w:p>
            <w:pPr>
              <w:spacing w:after="0"/>
              <w:rPr>
                <w:sz w:val="16"/>
                <w:szCs w:val="16"/>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32"/>
        </w:trPr>
        <w:tc>
          <w:tcPr>
            <w:tcW w:w="7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191"/>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C</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16.7 %</w:t>
            </w:r>
          </w:p>
        </w:tc>
        <w:tc>
          <w:tcPr>
            <w:tcW w:w="80" w:type="dxa"/>
            <w:vAlign w:val="bottom"/>
            <w:shd w:val="clear" w:color="auto" w:fill="CCEEFF"/>
          </w:tcPr>
          <w:p>
            <w:pPr>
              <w:spacing w:after="0"/>
              <w:rPr>
                <w:sz w:val="16"/>
                <w:szCs w:val="16"/>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32"/>
        </w:trPr>
        <w:tc>
          <w:tcPr>
            <w:tcW w:w="70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r>
    </w:tbl>
    <w:p>
      <w:pPr>
        <w:spacing w:after="0" w:line="102" w:lineRule="exact"/>
        <w:rPr>
          <w:sz w:val="20"/>
          <w:szCs w:val="20"/>
          <w:color w:val="auto"/>
        </w:rPr>
      </w:pPr>
    </w:p>
    <w:p>
      <w:pPr>
        <w:jc w:val="both"/>
        <w:ind w:right="380" w:firstLine="255"/>
        <w:spacing w:after="0" w:line="270" w:lineRule="auto"/>
        <w:rPr>
          <w:sz w:val="20"/>
          <w:szCs w:val="20"/>
          <w:color w:val="auto"/>
        </w:rPr>
      </w:pPr>
      <w:r>
        <w:rPr>
          <w:rFonts w:ascii="Times New Roman" w:cs="Times New Roman" w:eastAsia="Times New Roman" w:hAnsi="Times New Roman"/>
          <w:sz w:val="14"/>
          <w:szCs w:val="14"/>
          <w:color w:val="auto"/>
        </w:rPr>
        <w:t>The concentration in the volume of business transacted with these customers may lead to a material impact on the Company’s results from operations if a total or partial loss of the business relationship were to occur. As of the date of the issuance of these financial statements, the Company is not aware of any specific event or circumstance which would result in a material adverse impact to its results of operations or liquidity and financial condition.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Leases</w:t>
      </w:r>
    </w:p>
    <w:p>
      <w:pPr>
        <w:spacing w:after="0" w:line="53" w:lineRule="exact"/>
        <w:rPr>
          <w:sz w:val="20"/>
          <w:szCs w:val="20"/>
          <w:color w:val="auto"/>
        </w:rPr>
      </w:pPr>
    </w:p>
    <w:p>
      <w:pPr>
        <w:jc w:val="both"/>
        <w:ind w:right="280" w:firstLine="255"/>
        <w:spacing w:after="0" w:line="284" w:lineRule="auto"/>
        <w:rPr>
          <w:sz w:val="20"/>
          <w:szCs w:val="20"/>
          <w:color w:val="auto"/>
        </w:rPr>
      </w:pPr>
      <w:r>
        <w:rPr>
          <w:rFonts w:ascii="Times New Roman" w:cs="Times New Roman" w:eastAsia="Times New Roman" w:hAnsi="Times New Roman"/>
          <w:sz w:val="14"/>
          <w:szCs w:val="14"/>
          <w:color w:val="auto"/>
        </w:rPr>
        <w:t>The Company leases office space in Wilmington, Massachusetts, Montreal, Canada, Plant City, Florida, Andover, Massachusetts, Milpitas, California, Coppell, Texas, and Ho Chi Minh City, Vietnam through operating lease arrangements. The Company has no finance lease agreements. The operating lease arrangements expire at various dates through December 2030.</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the balance sheet location of the Company’s operating leases for each of the periods presented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1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27, 2025</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jc w:val="right"/>
              <w:ind w:right="411"/>
              <w:spacing w:after="0"/>
              <w:rPr>
                <w:sz w:val="20"/>
                <w:szCs w:val="20"/>
                <w:color w:val="auto"/>
              </w:rPr>
            </w:pPr>
            <w:r>
              <w:rPr>
                <w:rFonts w:ascii="Times New Roman" w:cs="Times New Roman" w:eastAsia="Times New Roman" w:hAnsi="Times New Roman"/>
                <w:sz w:val="13"/>
                <w:szCs w:val="13"/>
                <w:b w:val="1"/>
                <w:bCs w:val="1"/>
                <w:color w:val="auto"/>
              </w:rPr>
              <w:t>September 27, 2025</w:t>
            </w:r>
          </w:p>
        </w:tc>
      </w:tr>
      <w:tr>
        <w:trPr>
          <w:trHeight w:val="26"/>
        </w:trPr>
        <w:tc>
          <w:tcPr>
            <w:tcW w:w="716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83"/>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ROU assets:</w:t>
            </w:r>
          </w:p>
        </w:tc>
        <w:tc>
          <w:tcPr>
            <w:tcW w:w="15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spacing w:after="0"/>
              <w:rPr>
                <w:sz w:val="15"/>
                <w:szCs w:val="15"/>
                <w:color w:val="auto"/>
              </w:rPr>
            </w:pPr>
          </w:p>
        </w:tc>
      </w:tr>
      <w:tr>
        <w:trPr>
          <w:trHeight w:val="191"/>
        </w:trPr>
        <w:tc>
          <w:tcPr>
            <w:tcW w:w="7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assets</w:t>
            </w:r>
          </w:p>
        </w:tc>
        <w:tc>
          <w:tcPr>
            <w:tcW w:w="1560" w:type="dxa"/>
            <w:vAlign w:val="bottom"/>
          </w:tcPr>
          <w:p>
            <w:pPr>
              <w:jc w:val="right"/>
              <w:ind w:right="1391"/>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22,082</w:t>
            </w:r>
          </w:p>
        </w:tc>
        <w:tc>
          <w:tcPr>
            <w:tcW w:w="8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23,469</w:t>
            </w:r>
          </w:p>
        </w:tc>
      </w:tr>
      <w:tr>
        <w:trPr>
          <w:trHeight w:val="32"/>
        </w:trPr>
        <w:tc>
          <w:tcPr>
            <w:tcW w:w="7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12"/>
        </w:trPr>
        <w:tc>
          <w:tcPr>
            <w:tcW w:w="7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191"/>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1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32"/>
        </w:trPr>
        <w:tc>
          <w:tcPr>
            <w:tcW w:w="7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03"/>
        </w:trPr>
        <w:tc>
          <w:tcPr>
            <w:tcW w:w="7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560" w:type="dxa"/>
            <w:vAlign w:val="bottom"/>
            <w:tcBorders>
              <w:bottom w:val="single" w:sz="8" w:color="CCEEFF"/>
            </w:tcBorders>
            <w:shd w:val="clear" w:color="auto" w:fill="CCEEFF"/>
          </w:tcPr>
          <w:p>
            <w:pPr>
              <w:jc w:val="right"/>
              <w:ind w:right="1391"/>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8,069</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7,722</w:t>
            </w:r>
          </w:p>
        </w:tc>
      </w:tr>
      <w:tr>
        <w:trPr>
          <w:trHeight w:val="191"/>
        </w:trPr>
        <w:tc>
          <w:tcPr>
            <w:tcW w:w="7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liabilities</w:t>
            </w:r>
          </w:p>
        </w:tc>
        <w:tc>
          <w:tcPr>
            <w:tcW w:w="15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21,951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23,958</w:t>
            </w:r>
          </w:p>
        </w:tc>
      </w:tr>
      <w:tr>
        <w:trPr>
          <w:trHeight w:val="32"/>
        </w:trPr>
        <w:tc>
          <w:tcPr>
            <w:tcW w:w="716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3"/>
        </w:trPr>
        <w:tc>
          <w:tcPr>
            <w:tcW w:w="7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lease liabilities</w:t>
            </w:r>
          </w:p>
        </w:tc>
        <w:tc>
          <w:tcPr>
            <w:tcW w:w="1560" w:type="dxa"/>
            <w:vAlign w:val="bottom"/>
            <w:tcBorders>
              <w:bottom w:val="single" w:sz="8" w:color="auto"/>
            </w:tcBorders>
            <w:shd w:val="clear" w:color="auto" w:fill="CCEEFF"/>
          </w:tcPr>
          <w:p>
            <w:pPr>
              <w:jc w:val="right"/>
              <w:ind w:right="1391"/>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30,020</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31,680</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The following table presents maturities of the Company’s operating lease liabilities as of December 27, 2025, presented under ASC Topic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jc w:val="right"/>
              <w:ind w:right="430"/>
              <w:spacing w:after="0"/>
              <w:rPr>
                <w:sz w:val="20"/>
                <w:szCs w:val="20"/>
                <w:color w:val="auto"/>
              </w:rPr>
            </w:pPr>
            <w:r>
              <w:rPr>
                <w:rFonts w:ascii="Times New Roman" w:cs="Times New Roman" w:eastAsia="Times New Roman" w:hAnsi="Times New Roman"/>
                <w:sz w:val="13"/>
                <w:szCs w:val="13"/>
                <w:b w:val="1"/>
                <w:bCs w:val="1"/>
                <w:color w:val="auto"/>
              </w:rPr>
              <w:t>December 27, 2025</w:t>
            </w:r>
          </w:p>
        </w:tc>
      </w:tr>
      <w:tr>
        <w:trPr>
          <w:trHeight w:val="26"/>
        </w:trPr>
        <w:tc>
          <w:tcPr>
            <w:tcW w:w="9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93"/>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Remaining fiscal year 2026</w:t>
            </w: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7,525</w:t>
            </w:r>
          </w:p>
        </w:tc>
      </w:tr>
      <w:tr>
        <w:trPr>
          <w:trHeight w:val="191"/>
        </w:trPr>
        <w:tc>
          <w:tcPr>
            <w:tcW w:w="9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year 2027</w:t>
            </w:r>
          </w:p>
        </w:tc>
        <w:tc>
          <w:tcPr>
            <w:tcW w:w="3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9,395</w:t>
            </w:r>
          </w:p>
        </w:tc>
      </w:tr>
      <w:tr>
        <w:trPr>
          <w:trHeight w:val="32"/>
        </w:trPr>
        <w:tc>
          <w:tcPr>
            <w:tcW w:w="9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03"/>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year 2028</w:t>
            </w:r>
          </w:p>
        </w:tc>
        <w:tc>
          <w:tcPr>
            <w:tcW w:w="30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5,595</w:t>
            </w:r>
          </w:p>
        </w:tc>
      </w:tr>
      <w:tr>
        <w:trPr>
          <w:trHeight w:val="191"/>
        </w:trPr>
        <w:tc>
          <w:tcPr>
            <w:tcW w:w="9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year 2029</w:t>
            </w:r>
          </w:p>
        </w:tc>
        <w:tc>
          <w:tcPr>
            <w:tcW w:w="3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5,473</w:t>
            </w:r>
          </w:p>
        </w:tc>
      </w:tr>
      <w:tr>
        <w:trPr>
          <w:trHeight w:val="32"/>
        </w:trPr>
        <w:tc>
          <w:tcPr>
            <w:tcW w:w="9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year 2030 and thereafter</w:t>
            </w:r>
          </w:p>
        </w:tc>
        <w:tc>
          <w:tcPr>
            <w:tcW w:w="3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7,099</w:t>
            </w:r>
          </w:p>
        </w:tc>
      </w:tr>
      <w:tr>
        <w:trPr>
          <w:trHeight w:val="181"/>
        </w:trPr>
        <w:tc>
          <w:tcPr>
            <w:tcW w:w="9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future minimum payments</w:t>
            </w:r>
          </w:p>
        </w:tc>
        <w:tc>
          <w:tcPr>
            <w:tcW w:w="30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35,087</w:t>
            </w:r>
          </w:p>
        </w:tc>
      </w:tr>
      <w:tr>
        <w:trPr>
          <w:trHeight w:val="32"/>
        </w:trPr>
        <w:tc>
          <w:tcPr>
            <w:tcW w:w="9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9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Less: Implied interest</w:t>
            </w:r>
          </w:p>
        </w:tc>
        <w:tc>
          <w:tcPr>
            <w:tcW w:w="3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(5,067)</w:t>
            </w:r>
          </w:p>
        </w:tc>
      </w:tr>
      <w:tr>
        <w:trPr>
          <w:trHeight w:val="208"/>
        </w:trPr>
        <w:tc>
          <w:tcPr>
            <w:tcW w:w="9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lease liabilities</w:t>
            </w: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30,020</w:t>
            </w:r>
          </w:p>
        </w:tc>
      </w:tr>
      <w:tr>
        <w:trPr>
          <w:trHeight w:val="20"/>
        </w:trPr>
        <w:tc>
          <w:tcPr>
            <w:tcW w:w="9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jc w:val="both"/>
        <w:ind w:right="260" w:firstLine="255"/>
        <w:spacing w:after="0" w:line="270" w:lineRule="auto"/>
        <w:rPr>
          <w:sz w:val="20"/>
          <w:szCs w:val="20"/>
          <w:color w:val="auto"/>
        </w:rPr>
      </w:pPr>
      <w:r>
        <w:rPr>
          <w:rFonts w:ascii="Times New Roman" w:cs="Times New Roman" w:eastAsia="Times New Roman" w:hAnsi="Times New Roman"/>
          <w:sz w:val="14"/>
          <w:szCs w:val="14"/>
          <w:color w:val="auto"/>
        </w:rPr>
        <w:t>The Company uses its estimated incremental borrowing rate, which is derived from information available at the lease commencement date, in determining the present value of operating lease payments. To determine the estimated incremental borrowing rate, the Company uses publicly available credit ratings for peer companies. The Company estimates the incremental borrowing rate using yields for maturities that are in line with the duration of the lease payments. The weighted average discount rate for operating leases as of December 27, 2025 was 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24" w:name="page25"/>
    <w:bookmarkEnd w:id="24"/>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560" w:firstLine="255"/>
        <w:spacing w:after="0" w:line="287" w:lineRule="auto"/>
        <w:rPr>
          <w:sz w:val="20"/>
          <w:szCs w:val="20"/>
          <w:color w:val="auto"/>
        </w:rPr>
      </w:pPr>
      <w:r>
        <w:rPr>
          <w:rFonts w:ascii="Times New Roman" w:cs="Times New Roman" w:eastAsia="Times New Roman" w:hAnsi="Times New Roman"/>
          <w:sz w:val="14"/>
          <w:szCs w:val="14"/>
          <w:color w:val="auto"/>
        </w:rPr>
        <w:t>As of December 27, 2025, the weighted-average remaining lease term of the Company’s operating leases was approximately 2.6 years. Operating cash flows for amounts included in the measurement of the Company’s operating lease liabilities were $1.7 million for the three months ended December 27, 2025.</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Inventories</w:t>
      </w:r>
    </w:p>
    <w:p>
      <w:pPr>
        <w:spacing w:after="0" w:line="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Inventories at December 27, 2025 and September 27, 2025 consist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3"/>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27, 2025</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September 27, 2025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 and components</w:t>
            </w:r>
          </w:p>
        </w:tc>
        <w:tc>
          <w:tcPr>
            <w:tcW w:w="300" w:type="dxa"/>
            <w:vAlign w:val="bottom"/>
            <w:tcBorders>
              <w:bottom w:val="single" w:sz="8" w:color="CCEEFF"/>
            </w:tcBorders>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127,133</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56,547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inventories</w:t>
            </w:r>
          </w:p>
        </w:tc>
        <w:tc>
          <w:tcPr>
            <w:tcW w:w="300" w:type="dxa"/>
            <w:vAlign w:val="bottom"/>
            <w:tcBorders>
              <w:bottom w:val="single" w:sz="8" w:color="CCEEFF"/>
            </w:tcBorders>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183,680</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7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7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7. Property and Equipment</w:t>
            </w: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1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Property and equipment at December 27, 2025 and September 27, 2025 consists of the following (in thousands):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December 27, 2025</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September 27, 2025</w:t>
            </w:r>
          </w:p>
        </w:tc>
        <w:tc>
          <w:tcPr>
            <w:tcW w:w="0" w:type="dxa"/>
            <w:vAlign w:val="bottom"/>
          </w:tcPr>
          <w:p>
            <w:pPr>
              <w:spacing w:after="0"/>
              <w:rPr>
                <w:sz w:val="1"/>
                <w:szCs w:val="1"/>
                <w:color w:val="auto"/>
              </w:rPr>
            </w:pPr>
          </w:p>
        </w:tc>
      </w:tr>
      <w:tr>
        <w:trPr>
          <w:trHeight w:val="26"/>
        </w:trPr>
        <w:tc>
          <w:tcPr>
            <w:tcW w:w="714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equipment and software, furniture and fixtures, test equipment, and other equipment</w:t>
            </w:r>
          </w:p>
        </w:tc>
        <w:tc>
          <w:tcPr>
            <w:tcW w:w="30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153,836</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151,729</w:t>
            </w: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Internal use software</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7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12,068</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10,641</w:t>
            </w:r>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property and equipment</w:t>
            </w:r>
          </w:p>
        </w:tc>
        <w:tc>
          <w:tcPr>
            <w:tcW w:w="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170,957</w:t>
            </w:r>
          </w:p>
        </w:tc>
        <w:tc>
          <w:tcPr>
            <w:tcW w:w="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167,960</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7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(55,257)</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(50,311)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0" w:type="dxa"/>
            <w:vAlign w:val="bottom"/>
          </w:tcPr>
          <w:p>
            <w:pPr>
              <w:spacing w:after="0"/>
              <w:rPr>
                <w:sz w:val="15"/>
                <w:szCs w:val="15"/>
                <w:color w:val="auto"/>
              </w:rPr>
            </w:pPr>
          </w:p>
        </w:tc>
        <w:tc>
          <w:tcPr>
            <w:tcW w:w="28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115,700</w:t>
            </w:r>
          </w:p>
        </w:tc>
        <w:tc>
          <w:tcPr>
            <w:tcW w:w="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117,649</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the three months ended December 27, 2025 and December 28, 2024, depreciation expense was $4.9 million and $6.2 million, respectively.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Business Acquisitions</w:t>
      </w:r>
    </w:p>
    <w:p>
      <w:pPr>
        <w:spacing w:after="0" w:line="53" w:lineRule="exact"/>
        <w:rPr>
          <w:sz w:val="20"/>
          <w:szCs w:val="20"/>
          <w:color w:val="auto"/>
        </w:rPr>
      </w:pPr>
    </w:p>
    <w:p>
      <w:pPr>
        <w:ind w:right="180" w:firstLine="255"/>
        <w:spacing w:after="0" w:line="287" w:lineRule="auto"/>
        <w:rPr>
          <w:sz w:val="20"/>
          <w:szCs w:val="20"/>
          <w:color w:val="auto"/>
        </w:rPr>
      </w:pPr>
      <w:r>
        <w:rPr>
          <w:rFonts w:ascii="Times New Roman" w:cs="Times New Roman" w:eastAsia="Times New Roman" w:hAnsi="Times New Roman"/>
          <w:sz w:val="14"/>
          <w:szCs w:val="14"/>
          <w:color w:val="auto"/>
        </w:rPr>
        <w:t>An immaterial amount of business acquisition-related costs were incurred during the three months ended December 27, 2025. Separate financial results and pro forma financial information for ASR (defined below) have not been presented as the effect of this acquisition was not material to the Company’s financial results.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Advanced Systems &amp; Robotics Inc.</w:t>
      </w:r>
    </w:p>
    <w:p>
      <w:pPr>
        <w:spacing w:after="0" w:line="53"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On January 27, 2025, the Company acquired all of the outstanding equity interests of Walmart’s Advanced Systems &amp; Robotics Inc. (“ASR”) for $200.0 million in cash (the “ASR Acquisition) pursuant to a Purchase and Sale Agreement with Walmart (the “ASR Purchase Agreement”). The ASR Acquisition is intended to expand the long-standing relationship between Walmart and the Company with the aim of developing an integrated automated supply chain, which is expected to broaden the Company’s product offering beyond the traditional warehouse to eCommerce settings for last mile delivery. As of December 27, 2025, the purchase price allocation is preliminary, pending finalization of valuations and the impact of income taxes. There were no measurement period adjustments during the three months ended December 27, 2025.</w:t>
      </w:r>
    </w:p>
    <w:p>
      <w:pPr>
        <w:spacing w:after="0" w:line="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preliminary allocation of the purchase price for ASR and fair values of the assets acquired and liabilities assumed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25" w:name="page26"/>
    <w:bookmarkEnd w:id="25"/>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594360</wp:posOffset>
            </wp:positionV>
            <wp:extent cx="7161530" cy="141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purchase price</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Consideration payable to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7161530" cy="141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Employee cost reimbursement asset</w:t>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Purchase price -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7161530" cy="134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Allocation of the purchase price -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7161530" cy="141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Inventories</w:t>
      </w:r>
    </w:p>
    <w:p>
      <w:pPr>
        <w:spacing w:after="0" w:line="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7161530" cy="141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Property and equipment, net</w:t>
      </w:r>
    </w:p>
    <w:p>
      <w:pPr>
        <w:spacing w:after="0" w:line="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7161530" cy="141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Other assets</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Total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7161530" cy="147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147955"/>
                    </a:xfrm>
                    <a:prstGeom prst="rect">
                      <a:avLst/>
                    </a:prstGeom>
                    <a:noFill/>
                  </pic:spPr>
                </pic:pic>
              </a:graphicData>
            </a:graphic>
          </wp:anchor>
        </w:drawing>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Accrued expenses and other current assets</w:t>
      </w:r>
    </w:p>
    <w:p>
      <w:pPr>
        <w:spacing w:after="0" w:line="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Other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140" w:hanging="1139"/>
        <w:spacing w:after="0"/>
        <w:tabs>
          <w:tab w:leader="none" w:pos="11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200,000</w:t>
      </w:r>
    </w:p>
    <w:p>
      <w:pPr>
        <w:spacing w:after="0" w:line="61" w:lineRule="exact"/>
        <w:rPr>
          <w:rFonts w:ascii="Times New Roman" w:cs="Times New Roman" w:eastAsia="Times New Roman" w:hAnsi="Times New Roman"/>
          <w:sz w:val="14"/>
          <w:szCs w:val="14"/>
          <w:color w:val="auto"/>
        </w:rPr>
      </w:pPr>
    </w:p>
    <w:p>
      <w:pPr>
        <w:ind w:left="11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(45,000)</w:t>
      </w:r>
    </w:p>
    <w:p>
      <w:pPr>
        <w:spacing w:after="0" w:line="61" w:lineRule="exact"/>
        <w:rPr>
          <w:rFonts w:ascii="Times New Roman" w:cs="Times New Roman" w:eastAsia="Times New Roman" w:hAnsi="Times New Roman"/>
          <w:sz w:val="14"/>
          <w:szCs w:val="14"/>
          <w:color w:val="auto"/>
        </w:rPr>
      </w:pPr>
    </w:p>
    <w:p>
      <w:pPr>
        <w:ind w:left="11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34925</wp:posOffset>
            </wp:positionV>
            <wp:extent cx="106426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64260" cy="6985"/>
                    </a:xfrm>
                    <a:prstGeom prst="rect">
                      <a:avLst/>
                    </a:prstGeom>
                    <a:noFill/>
                  </pic:spPr>
                </pic:pic>
              </a:graphicData>
            </a:graphic>
          </wp:anchor>
        </w:drawing>
      </w:r>
    </w:p>
    <w:p>
      <w:pPr>
        <w:spacing w:after="0" w:line="52" w:lineRule="exact"/>
        <w:rPr>
          <w:sz w:val="20"/>
          <w:szCs w:val="20"/>
          <w:color w:val="auto"/>
        </w:rPr>
      </w:pPr>
    </w:p>
    <w:p>
      <w:pPr>
        <w:ind w:left="1140" w:hanging="1139"/>
        <w:spacing w:after="0"/>
        <w:tabs>
          <w:tab w:leader="none" w:pos="11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141,831</w:t>
      </w:r>
    </w:p>
    <w:p>
      <w:pPr>
        <w:spacing w:after="0" w:line="200" w:lineRule="exact"/>
        <w:rPr>
          <w:sz w:val="20"/>
          <w:szCs w:val="20"/>
          <w:color w:val="auto"/>
        </w:rPr>
      </w:pPr>
    </w:p>
    <w:p>
      <w:pPr>
        <w:spacing w:after="0" w:line="297" w:lineRule="exact"/>
        <w:rPr>
          <w:sz w:val="20"/>
          <w:szCs w:val="20"/>
          <w:color w:val="auto"/>
        </w:rPr>
      </w:pPr>
    </w:p>
    <w:p>
      <w:pPr>
        <w:ind w:left="1220" w:hanging="1219"/>
        <w:spacing w:after="0"/>
        <w:tabs>
          <w:tab w:leader="none" w:pos="1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13,749</w:t>
      </w:r>
    </w:p>
    <w:p>
      <w:pPr>
        <w:spacing w:after="0" w:line="61" w:lineRule="exact"/>
        <w:rPr>
          <w:rFonts w:ascii="Times New Roman" w:cs="Times New Roman" w:eastAsia="Times New Roman" w:hAnsi="Times New Roman"/>
          <w:sz w:val="14"/>
          <w:szCs w:val="14"/>
          <w:color w:val="auto"/>
        </w:rPr>
      </w:pPr>
    </w:p>
    <w:p>
      <w:pPr>
        <w:ind w:left="12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24,634</w:t>
      </w:r>
    </w:p>
    <w:p>
      <w:pPr>
        <w:spacing w:after="0" w:line="61" w:lineRule="exact"/>
        <w:rPr>
          <w:rFonts w:ascii="Times New Roman" w:cs="Times New Roman" w:eastAsia="Times New Roman" w:hAnsi="Times New Roman"/>
          <w:sz w:val="14"/>
          <w:szCs w:val="14"/>
          <w:color w:val="auto"/>
        </w:rPr>
      </w:pPr>
    </w:p>
    <w:p>
      <w:pPr>
        <w:ind w:left="12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4,261</w:t>
      </w:r>
    </w:p>
    <w:p>
      <w:pPr>
        <w:spacing w:after="0" w:line="61" w:lineRule="exact"/>
        <w:rPr>
          <w:rFonts w:ascii="Times New Roman" w:cs="Times New Roman" w:eastAsia="Times New Roman" w:hAnsi="Times New Roman"/>
          <w:sz w:val="14"/>
          <w:szCs w:val="14"/>
          <w:color w:val="auto"/>
        </w:rPr>
      </w:pPr>
    </w:p>
    <w:p>
      <w:pPr>
        <w:ind w:left="12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78,000</w:t>
      </w:r>
    </w:p>
    <w:p>
      <w:pPr>
        <w:spacing w:after="0" w:line="61" w:lineRule="exact"/>
        <w:rPr>
          <w:rFonts w:ascii="Times New Roman" w:cs="Times New Roman" w:eastAsia="Times New Roman" w:hAnsi="Times New Roman"/>
          <w:sz w:val="14"/>
          <w:szCs w:val="14"/>
          <w:color w:val="auto"/>
        </w:rPr>
      </w:pPr>
    </w:p>
    <w:p>
      <w:pPr>
        <w:ind w:left="12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34925</wp:posOffset>
            </wp:positionV>
            <wp:extent cx="106426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64260" cy="6985"/>
                    </a:xfrm>
                    <a:prstGeom prst="rect">
                      <a:avLst/>
                    </a:prstGeom>
                    <a:noFill/>
                  </pic:spPr>
                </pic:pic>
              </a:graphicData>
            </a:graphic>
          </wp:anchor>
        </w:drawing>
      </w:r>
    </w:p>
    <w:p>
      <w:pPr>
        <w:spacing w:after="0" w:line="5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122,867</w:t>
      </w:r>
    </w:p>
    <w:p>
      <w:pPr>
        <w:spacing w:after="0" w:line="7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38,296</w:t>
      </w:r>
    </w:p>
    <w:p>
      <w:pPr>
        <w:spacing w:after="0" w:line="6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2,611</w:t>
      </w:r>
    </w:p>
    <w:p>
      <w:pPr>
        <w:spacing w:after="0" w:line="35" w:lineRule="exact"/>
        <w:rPr>
          <w:sz w:val="20"/>
          <w:szCs w:val="20"/>
          <w:color w:val="auto"/>
        </w:rPr>
      </w:pPr>
    </w:p>
    <w:p>
      <w:pPr>
        <w:sectPr>
          <w:pgSz w:w="11900" w:h="16838" w:orient="portrait"/>
          <w:cols w:equalWidth="0" w:num="2">
            <w:col w:w="8900" w:space="720"/>
            <w:col w:w="1660"/>
          </w:cols>
          <w:pgMar w:left="300" w:top="167" w:right="319" w:bottom="1440" w:gutter="0" w:footer="0" w:header="0"/>
        </w:sectPr>
      </w:pPr>
    </w:p>
    <w:tbl>
      <w:tblPr>
        <w:tblLayout w:type="fixed"/>
        <w:tblInd w:w="0" w:type="dxa"/>
        <w:tblCellMar>
          <w:top w:w="0" w:type="dxa"/>
          <w:left w:w="0" w:type="dxa"/>
          <w:bottom w:w="0" w:type="dxa"/>
          <w:right w:w="0" w:type="dxa"/>
        </w:tblCellMar>
      </w:tblPr>
      <w:tr>
        <w:trPr>
          <w:trHeight w:val="233"/>
        </w:trPr>
        <w:tc>
          <w:tcPr>
            <w:tcW w:w="96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62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40,907</w:t>
            </w:r>
          </w:p>
        </w:tc>
      </w:tr>
      <w:tr>
        <w:trPr>
          <w:trHeight w:val="181"/>
        </w:trPr>
        <w:tc>
          <w:tcPr>
            <w:tcW w:w="9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Identifiable net assets acquired</w:t>
            </w:r>
          </w:p>
        </w:tc>
        <w:tc>
          <w:tcPr>
            <w:tcW w:w="6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81,960</w:t>
            </w:r>
          </w:p>
        </w:tc>
      </w:tr>
      <w:tr>
        <w:trPr>
          <w:trHeight w:val="32"/>
        </w:trPr>
        <w:tc>
          <w:tcPr>
            <w:tcW w:w="96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3"/>
        </w:trPr>
        <w:tc>
          <w:tcPr>
            <w:tcW w:w="9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Goodwill</w:t>
            </w:r>
          </w:p>
        </w:tc>
        <w:tc>
          <w:tcPr>
            <w:tcW w:w="6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59,871</w:t>
            </w:r>
          </w:p>
        </w:tc>
      </w:tr>
      <w:tr>
        <w:trPr>
          <w:trHeight w:val="208"/>
        </w:trPr>
        <w:tc>
          <w:tcPr>
            <w:tcW w:w="9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purchase price allocation</w:t>
            </w:r>
          </w:p>
        </w:tc>
        <w:tc>
          <w:tcPr>
            <w:tcW w:w="62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141,831</w:t>
            </w:r>
          </w:p>
        </w:tc>
      </w:tr>
      <w:tr>
        <w:trPr>
          <w:trHeight w:val="20"/>
        </w:trPr>
        <w:tc>
          <w:tcPr>
            <w:tcW w:w="96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ind w:right="460" w:firstLine="255"/>
        <w:spacing w:after="0" w:line="284" w:lineRule="auto"/>
        <w:rPr>
          <w:sz w:val="20"/>
          <w:szCs w:val="20"/>
          <w:color w:val="auto"/>
        </w:rPr>
      </w:pPr>
      <w:r>
        <w:rPr>
          <w:rFonts w:ascii="Times New Roman" w:cs="Times New Roman" w:eastAsia="Times New Roman" w:hAnsi="Times New Roman"/>
          <w:sz w:val="14"/>
          <w:szCs w:val="14"/>
          <w:color w:val="auto"/>
        </w:rPr>
        <w:t>The value of the goodwill can be attributed to a number of business factors, including a trained technical workforce, and revenue and cost synergies expected to be realized. The Company expects that most of the goodwill related to the ASR Acquisition will not be deductible for tax purposes.</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identified intangible asset acquired is developed technology, which has a gross carrying amount of $78.0 million and has an estimated useful life of 7 years.</w:t>
      </w:r>
    </w:p>
    <w:p>
      <w:pPr>
        <w:spacing w:after="0" w:line="51" w:lineRule="exact"/>
        <w:rPr>
          <w:sz w:val="20"/>
          <w:szCs w:val="20"/>
          <w:color w:val="auto"/>
        </w:rPr>
      </w:pPr>
    </w:p>
    <w:p>
      <w:pPr>
        <w:ind w:right="280" w:firstLine="255"/>
        <w:spacing w:after="0" w:line="287" w:lineRule="auto"/>
        <w:rPr>
          <w:sz w:val="20"/>
          <w:szCs w:val="20"/>
          <w:color w:val="auto"/>
        </w:rPr>
      </w:pPr>
      <w:r>
        <w:rPr>
          <w:rFonts w:ascii="Times New Roman" w:cs="Times New Roman" w:eastAsia="Times New Roman" w:hAnsi="Times New Roman"/>
          <w:sz w:val="14"/>
          <w:szCs w:val="14"/>
          <w:color w:val="auto"/>
        </w:rPr>
        <w:t>The Company applied the multi-period excess earnings method to estimate the fair value of the intangible asset. The total weighted average amortization period for the developed technology intangible asset acquired from Walmart is 7 years. The intangible asset began amortization on the date of acquisition and is amortized on a straight-line basis over its useful life.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Intangible Assets and Goodwill</w:t>
      </w:r>
    </w:p>
    <w:p>
      <w:pPr>
        <w:spacing w:after="0" w:line="53" w:lineRule="exact"/>
        <w:rPr>
          <w:sz w:val="20"/>
          <w:szCs w:val="20"/>
          <w:color w:val="auto"/>
        </w:rPr>
      </w:pPr>
    </w:p>
    <w:p>
      <w:pPr>
        <w:ind w:right="20" w:firstLine="255"/>
        <w:spacing w:after="0" w:line="284" w:lineRule="auto"/>
        <w:rPr>
          <w:sz w:val="20"/>
          <w:szCs w:val="20"/>
          <w:color w:val="auto"/>
        </w:rPr>
      </w:pPr>
      <w:r>
        <w:rPr>
          <w:rFonts w:ascii="Times New Roman" w:cs="Times New Roman" w:eastAsia="Times New Roman" w:hAnsi="Times New Roman"/>
          <w:sz w:val="14"/>
          <w:szCs w:val="14"/>
          <w:color w:val="auto"/>
        </w:rPr>
        <w:t>In connection with asset acquisitions in fiscal year 2024 and 2025, and the ASR Acquisition in January 2025, the Company acquired developed technology intangible assets. The intangible assets will be amortized over a useful life of 3 to 7 years on a straight-line basis. The estimated weighted average useful life of the intangible assets is 6.5 years.</w:t>
      </w:r>
    </w:p>
    <w:p>
      <w:pPr>
        <w:spacing w:after="0" w:line="1" w:lineRule="exact"/>
        <w:rPr>
          <w:sz w:val="20"/>
          <w:szCs w:val="20"/>
          <w:color w:val="auto"/>
        </w:rPr>
      </w:pPr>
    </w:p>
    <w:p>
      <w:pPr>
        <w:ind w:right="420"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 presents acquired intangible assets that are subject to amortization as of December 27, 2025 (in thousands). There were no acquired intangible assets that are subject to amortization as of December 28, 2024.</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December 27, 2025</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4340" w:type="dxa"/>
            <w:vAlign w:val="bottom"/>
          </w:tcPr>
          <w:p>
            <w:pPr>
              <w:spacing w:after="0"/>
              <w:rPr>
                <w:sz w:val="2"/>
                <w:szCs w:val="2"/>
                <w:color w:val="auto"/>
              </w:rPr>
            </w:pPr>
          </w:p>
        </w:tc>
        <w:tc>
          <w:tcPr>
            <w:tcW w:w="1820" w:type="dxa"/>
            <w:vAlign w:val="bottom"/>
            <w:vMerge w:val="restart"/>
          </w:tcPr>
          <w:p>
            <w:pPr>
              <w:jc w:val="center"/>
              <w:ind w:left="136"/>
              <w:spacing w:after="0"/>
              <w:rPr>
                <w:sz w:val="20"/>
                <w:szCs w:val="20"/>
                <w:color w:val="auto"/>
              </w:rPr>
            </w:pPr>
            <w:r>
              <w:rPr>
                <w:rFonts w:ascii="Times New Roman" w:cs="Times New Roman" w:eastAsia="Times New Roman" w:hAnsi="Times New Roman"/>
                <w:sz w:val="13"/>
                <w:szCs w:val="13"/>
                <w:b w:val="1"/>
                <w:bCs w:val="1"/>
                <w:color w:val="auto"/>
                <w:w w:val="97"/>
              </w:rPr>
              <w:t>Weighted Average Remaining</w:t>
            </w: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340" w:type="dxa"/>
            <w:vAlign w:val="bottom"/>
          </w:tcPr>
          <w:p>
            <w:pPr>
              <w:spacing w:after="0"/>
              <w:rPr>
                <w:sz w:val="14"/>
                <w:szCs w:val="14"/>
                <w:color w:val="auto"/>
              </w:rPr>
            </w:pPr>
          </w:p>
        </w:tc>
        <w:tc>
          <w:tcPr>
            <w:tcW w:w="1820" w:type="dxa"/>
            <w:vAlign w:val="bottom"/>
          </w:tcPr>
          <w:p>
            <w:pPr>
              <w:jc w:val="center"/>
              <w:ind w:left="116"/>
              <w:spacing w:after="0"/>
              <w:rPr>
                <w:sz w:val="20"/>
                <w:szCs w:val="20"/>
                <w:color w:val="auto"/>
              </w:rPr>
            </w:pPr>
            <w:r>
              <w:rPr>
                <w:rFonts w:ascii="Times New Roman" w:cs="Times New Roman" w:eastAsia="Times New Roman" w:hAnsi="Times New Roman"/>
                <w:sz w:val="13"/>
                <w:szCs w:val="13"/>
                <w:b w:val="1"/>
                <w:bCs w:val="1"/>
                <w:color w:val="auto"/>
                <w:w w:val="97"/>
              </w:rPr>
              <w:t>Useful Life (in Years)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Gross Carrying Amount</w:t>
            </w:r>
          </w:p>
        </w:tc>
        <w:tc>
          <w:tcPr>
            <w:tcW w:w="16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Accumulated Amortization</w:t>
            </w:r>
          </w:p>
        </w:tc>
        <w:tc>
          <w:tcPr>
            <w:tcW w:w="220" w:type="dxa"/>
            <w:vAlign w:val="bottom"/>
          </w:tcPr>
          <w:p>
            <w:pPr>
              <w:spacing w:after="0"/>
              <w:rPr>
                <w:sz w:val="14"/>
                <w:szCs w:val="14"/>
                <w:color w:val="auto"/>
              </w:rPr>
            </w:pPr>
          </w:p>
        </w:tc>
        <w:tc>
          <w:tcPr>
            <w:tcW w:w="1340" w:type="dxa"/>
            <w:vAlign w:val="bottom"/>
          </w:tcPr>
          <w:p>
            <w:pPr>
              <w:jc w:val="right"/>
              <w:ind w:right="292"/>
              <w:spacing w:after="0"/>
              <w:rPr>
                <w:sz w:val="20"/>
                <w:szCs w:val="20"/>
                <w:color w:val="auto"/>
              </w:rPr>
            </w:pPr>
            <w:r>
              <w:rPr>
                <w:rFonts w:ascii="Times New Roman" w:cs="Times New Roman" w:eastAsia="Times New Roman" w:hAnsi="Times New Roman"/>
                <w:sz w:val="13"/>
                <w:szCs w:val="13"/>
                <w:b w:val="1"/>
                <w:bCs w:val="1"/>
                <w:color w:val="auto"/>
              </w:rPr>
              <w:t>Net Book Value</w:t>
            </w:r>
          </w:p>
        </w:tc>
        <w:tc>
          <w:tcPr>
            <w:tcW w:w="0" w:type="dxa"/>
            <w:vAlign w:val="bottom"/>
          </w:tcPr>
          <w:p>
            <w:pPr>
              <w:spacing w:after="0"/>
              <w:rPr>
                <w:sz w:val="1"/>
                <w:szCs w:val="1"/>
                <w:color w:val="auto"/>
              </w:rPr>
            </w:pPr>
          </w:p>
        </w:tc>
      </w:tr>
      <w:tr>
        <w:trPr>
          <w:trHeight w:val="26"/>
        </w:trPr>
        <w:tc>
          <w:tcPr>
            <w:tcW w:w="43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6.5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89,943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(14,567)</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75,376</w:t>
            </w:r>
          </w:p>
        </w:tc>
        <w:tc>
          <w:tcPr>
            <w:tcW w:w="0" w:type="dxa"/>
            <w:vAlign w:val="bottom"/>
          </w:tcPr>
          <w:p>
            <w:pPr>
              <w:spacing w:after="0"/>
              <w:rPr>
                <w:sz w:val="1"/>
                <w:szCs w:val="1"/>
                <w:color w:val="auto"/>
              </w:rPr>
            </w:pPr>
          </w:p>
        </w:tc>
      </w:tr>
      <w:tr>
        <w:trPr>
          <w:trHeight w:val="208"/>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89,943</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(14,567)</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75,376</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the three months ended December 27, 2025 and December 28, 2024, amortization expense was $3.8 million and $0.7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type w:val="continuous"/>
        </w:sectPr>
      </w:pPr>
    </w:p>
    <w:bookmarkStart w:id="26" w:name="page27"/>
    <w:bookmarkEnd w:id="26"/>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the estimated future annual pre-tax amortization expense of definite-lived intangible assets as of the date indicated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Developed Technology</w:t>
            </w:r>
          </w:p>
        </w:tc>
      </w:tr>
      <w:tr>
        <w:trPr>
          <w:trHeight w:val="26"/>
        </w:trPr>
        <w:tc>
          <w:tcPr>
            <w:tcW w:w="9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93"/>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Remaining fiscal year 2026</w:t>
            </w: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11,317</w:t>
            </w:r>
          </w:p>
        </w:tc>
      </w:tr>
      <w:tr>
        <w:trPr>
          <w:trHeight w:val="191"/>
        </w:trPr>
        <w:tc>
          <w:tcPr>
            <w:tcW w:w="9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year 2027</w:t>
            </w:r>
          </w:p>
        </w:tc>
        <w:tc>
          <w:tcPr>
            <w:tcW w:w="26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15,089</w:t>
            </w:r>
          </w:p>
        </w:tc>
      </w:tr>
      <w:tr>
        <w:trPr>
          <w:trHeight w:val="32"/>
        </w:trPr>
        <w:tc>
          <w:tcPr>
            <w:tcW w:w="9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03"/>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year 2028</w:t>
            </w:r>
          </w:p>
        </w:tc>
        <w:tc>
          <w:tcPr>
            <w:tcW w:w="26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12,016</w:t>
            </w:r>
          </w:p>
        </w:tc>
      </w:tr>
      <w:tr>
        <w:trPr>
          <w:trHeight w:val="191"/>
        </w:trPr>
        <w:tc>
          <w:tcPr>
            <w:tcW w:w="9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year 2029</w:t>
            </w:r>
          </w:p>
        </w:tc>
        <w:tc>
          <w:tcPr>
            <w:tcW w:w="26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11,108</w:t>
            </w:r>
          </w:p>
        </w:tc>
      </w:tr>
      <w:tr>
        <w:trPr>
          <w:trHeight w:val="32"/>
        </w:trPr>
        <w:tc>
          <w:tcPr>
            <w:tcW w:w="9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23"/>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year 2030 and thereafter</w:t>
            </w:r>
          </w:p>
        </w:tc>
        <w:tc>
          <w:tcPr>
            <w:tcW w:w="26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25,846</w:t>
            </w:r>
          </w:p>
        </w:tc>
      </w:tr>
      <w:tr>
        <w:trPr>
          <w:trHeight w:val="208"/>
        </w:trPr>
        <w:tc>
          <w:tcPr>
            <w:tcW w:w="9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75,376</w:t>
            </w:r>
          </w:p>
        </w:tc>
      </w:tr>
      <w:tr>
        <w:trPr>
          <w:trHeight w:val="20"/>
        </w:trPr>
        <w:tc>
          <w:tcPr>
            <w:tcW w:w="9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jc w:val="both"/>
        <w:ind w:right="160" w:firstLine="255"/>
        <w:spacing w:after="0" w:line="270" w:lineRule="auto"/>
        <w:rPr>
          <w:sz w:val="20"/>
          <w:szCs w:val="20"/>
          <w:color w:val="auto"/>
        </w:rPr>
      </w:pPr>
      <w:r>
        <w:rPr>
          <w:rFonts w:ascii="Times New Roman" w:cs="Times New Roman" w:eastAsia="Times New Roman" w:hAnsi="Times New Roman"/>
          <w:sz w:val="14"/>
          <w:szCs w:val="14"/>
          <w:color w:val="auto"/>
        </w:rPr>
        <w:t>The carrying amount of goodwill at December 27, 2025 was $59.9 million. As a result of the ASR Acquisition, the Company recorded $59.9 million of goodwill. Prior to the ASR Acquisition, the Company did not have goodwill on its consolidated balance sheets. The Company tests goodwill for impairment at least annually. Through the date the interim condensed consolidated financial statements were issued, no triggering events have occurred that would indicate that a potential impairment exists.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Restructuring Charges</w:t>
      </w:r>
    </w:p>
    <w:p>
      <w:pPr>
        <w:spacing w:after="0" w:line="53"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4"/>
          <w:szCs w:val="14"/>
          <w:color w:val="auto"/>
        </w:rPr>
        <w:t xml:space="preserve">During the third quarter of fiscal year 2025, management committed to a reduction of the Company’s workforce by approximately 325 employees primarily related to employees that joined the Company’s workforce in connection with the ASR Acquisition. This workforce reduction was substantially completed by December 27, 2025. In the first quarter of fiscal year 2026, management committed to a reduction of the Company’s workforce by approximately 115 employees across the organization to align resource investment to business needs. This workforce reduction is expected to be substantially completed in the second quarter of fiscal year 2026. The costs incurred related to employee severance are recorded as a liability when it is probable that employees will be entitled to termination benefits and the amounts can be reasonably estimated. The liability related to these charges is included in accrued expenses and other current liabilities in the Company’s condensed consolidated balance sheets. As the ASR Purchase Agreement contemplated reimbursement for certain types of restructuring costs, a receivable was recorded as part of purchase accounting, which is included within prepaid expenses and other current assets in the purchase price allocation in Note 8, </w:t>
      </w:r>
      <w:r>
        <w:rPr>
          <w:rFonts w:ascii="Times New Roman" w:cs="Times New Roman" w:eastAsia="Times New Roman" w:hAnsi="Times New Roman"/>
          <w:sz w:val="14"/>
          <w:szCs w:val="14"/>
          <w:i w:val="1"/>
          <w:iCs w:val="1"/>
          <w:color w:val="auto"/>
        </w:rPr>
        <w:t>Business Acquisitions</w:t>
      </w:r>
      <w:r>
        <w:rPr>
          <w:rFonts w:ascii="Times New Roman" w:cs="Times New Roman" w:eastAsia="Times New Roman" w:hAnsi="Times New Roman"/>
          <w:sz w:val="14"/>
          <w:szCs w:val="14"/>
          <w:color w:val="auto"/>
        </w:rPr>
        <w:t>.</w:t>
      </w:r>
    </w:p>
    <w:p>
      <w:pPr>
        <w:spacing w:after="0" w:line="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the activity related to the Company’s severance liability as of December 27, 2025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jc w:val="right"/>
              <w:ind w:right="431"/>
              <w:spacing w:after="0"/>
              <w:rPr>
                <w:sz w:val="20"/>
                <w:szCs w:val="20"/>
                <w:color w:val="auto"/>
              </w:rPr>
            </w:pPr>
            <w:r>
              <w:rPr>
                <w:rFonts w:ascii="Times New Roman" w:cs="Times New Roman" w:eastAsia="Times New Roman" w:hAnsi="Times New Roman"/>
                <w:sz w:val="13"/>
                <w:szCs w:val="13"/>
                <w:b w:val="1"/>
                <w:bCs w:val="1"/>
                <w:color w:val="auto"/>
              </w:rPr>
              <w:t>December 27, 2025</w:t>
            </w:r>
          </w:p>
        </w:tc>
      </w:tr>
      <w:tr>
        <w:trPr>
          <w:trHeight w:val="26"/>
        </w:trPr>
        <w:tc>
          <w:tcPr>
            <w:tcW w:w="9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93"/>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Severance liability at September 27, 2025</w:t>
            </w: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w:t>
            </w:r>
          </w:p>
        </w:tc>
      </w:tr>
      <w:tr>
        <w:trPr>
          <w:trHeight w:val="191"/>
        </w:trPr>
        <w:tc>
          <w:tcPr>
            <w:tcW w:w="9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Severance charges</w:t>
            </w:r>
          </w:p>
        </w:tc>
        <w:tc>
          <w:tcPr>
            <w:tcW w:w="3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2,813</w:t>
            </w:r>
          </w:p>
        </w:tc>
      </w:tr>
      <w:tr>
        <w:trPr>
          <w:trHeight w:val="32"/>
        </w:trPr>
        <w:tc>
          <w:tcPr>
            <w:tcW w:w="9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9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paid and other</w:t>
            </w:r>
          </w:p>
        </w:tc>
        <w:tc>
          <w:tcPr>
            <w:tcW w:w="3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r>
      <w:tr>
        <w:trPr>
          <w:trHeight w:val="208"/>
        </w:trPr>
        <w:tc>
          <w:tcPr>
            <w:tcW w:w="9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Severance liability at December 27, 2025</w:t>
            </w: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3,588</w:t>
            </w:r>
          </w:p>
        </w:tc>
      </w:tr>
      <w:tr>
        <w:trPr>
          <w:trHeight w:val="20"/>
        </w:trPr>
        <w:tc>
          <w:tcPr>
            <w:tcW w:w="9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The Company did not have material severance activity for the three months ended December 28, 2024. For the three months ended December 27, 2025, the Company recognized $2.7 million of restructuring expense, which is included within restructuring charges on the Company’s condensed consolidated statements of operations.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Income Taxes</w:t>
      </w:r>
    </w:p>
    <w:p>
      <w:pPr>
        <w:spacing w:after="0" w:line="53" w:lineRule="exact"/>
        <w:rPr>
          <w:sz w:val="20"/>
          <w:szCs w:val="20"/>
          <w:color w:val="auto"/>
        </w:rPr>
      </w:pPr>
    </w:p>
    <w:p>
      <w:pPr>
        <w:jc w:val="both"/>
        <w:ind w:right="340" w:firstLine="255"/>
        <w:spacing w:after="0" w:line="270" w:lineRule="auto"/>
        <w:rPr>
          <w:sz w:val="20"/>
          <w:szCs w:val="20"/>
          <w:color w:val="auto"/>
        </w:rPr>
      </w:pPr>
      <w:r>
        <w:rPr>
          <w:rFonts w:ascii="Times New Roman" w:cs="Times New Roman" w:eastAsia="Times New Roman" w:hAnsi="Times New Roman"/>
          <w:sz w:val="14"/>
          <w:szCs w:val="14"/>
          <w:color w:val="auto"/>
        </w:rPr>
        <w:t>The Company is subject to U.S. federal income taxes, in addition to state and local income taxes, with respect to its allocable share of any taxable income or loss of Symbotic Holdings. The remaining share of Symbotic Holdings income or loss is non-taxable to the Company and is not reflected in current or deferred income taxes. The Company’s foreign subsidiaries are subject to income tax in their local jurisdictions.</w:t>
      </w:r>
    </w:p>
    <w:p>
      <w:pPr>
        <w:spacing w:after="0" w:line="8"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For the three months ended December 27, 2025 and December 28, 2024, the Company recorded a current income tax expense of $0.6 million and $0.2 million, respectively. For the three months ended December 27, 2025, the Company incurred a pre-tax profit, and for the three months ended December 28, 2024, the Company incurred a pre-tax loss. The Company recorded a full valuation allowance against its domestic deferred tax assets and a partial valuation allowance against its foreign deferred tax assets. The Company incurs state tax expense by Symbotic LLC at the flow-through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27" w:name="page28"/>
    <w:bookmarkEnd w:id="27"/>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level and foreign tax expense at its foreign subsidiaries. The effective tax rate for the three months ended December 27, 2025 was 4.4% as compared to an effective tax rate of (0.8)% for the three months ended December 28, 2024. The effective tax rate differs from the federal statutory income tax rate primarily due to the flow-through entity level taxes and the effect of the valuation allowance against the Company’s net federal, state, and foreign deferred income taxes.</w:t>
      </w:r>
    </w:p>
    <w:p>
      <w:pPr>
        <w:spacing w:after="0" w:line="8" w:lineRule="exact"/>
        <w:rPr>
          <w:sz w:val="20"/>
          <w:szCs w:val="20"/>
          <w:color w:val="auto"/>
        </w:rPr>
      </w:pPr>
    </w:p>
    <w:p>
      <w:pPr>
        <w:ind w:right="100" w:firstLine="255"/>
        <w:spacing w:after="0" w:line="259" w:lineRule="auto"/>
        <w:rPr>
          <w:sz w:val="20"/>
          <w:szCs w:val="20"/>
          <w:color w:val="auto"/>
        </w:rPr>
      </w:pPr>
      <w:r>
        <w:rPr>
          <w:rFonts w:ascii="Times New Roman" w:cs="Times New Roman" w:eastAsia="Times New Roman" w:hAnsi="Times New Roman"/>
          <w:sz w:val="14"/>
          <w:szCs w:val="14"/>
          <w:color w:val="auto"/>
        </w:rPr>
        <w:t>As of December 27, 2025, the Company continues to conclude that the negative evidence regarding its ability to realize its deferred tax assets outweighs the positive evidence, and the Company has a full valuation allowance against its domestic, federal, and state net deferred tax assets and a partial valuation allowance against its foreign net deferred tax assets. The Company has a history of cumulative pre-tax losses for the three previous fiscal years which it believes represents significant negative evidence in evaluating whether its deferred tax assets are realizable. Given these cumulative losses, lack of forecast history, the competitive environment, and uncertainty of general economic conditions, the Company does not believe it can rely on projections of future taxable income exclusive of reversing taxable temporary differences to support the realization of its deferred tax assets. In upcoming quarters, the Company will continue to evaluate both the positive and negative evidence surrounding its ability to realize its deferred tax assets.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Tax Receivable Agreement</w:t>
      </w:r>
    </w:p>
    <w:p>
      <w:pPr>
        <w:spacing w:after="0" w:line="53"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As of December 27, 2025, future payments under the Tax Receivable Agreement (“TRA”) with respect to the purchase of Symbotic Holdings units which occurred as part of or subsequent to the Business Combination are expected to be $464.7 million. Payments made under the TRA represent payments that otherwise would have been made to taxing authorities in the absence of attributes obtained by the Company as a result of exchanges by its pre-IPO members. Such amounts will be paid only when a cash tax savings is realized as a result of attributes subject to the TRA. That is, payments under the TRA are only expected to be made in periods following the filing of a tax return in which the Company is able to utilize certain tax benefits to reduce its cash taxes paid to a taxing authority. The impact of any changes in the projected obligations under the TRA as a result of changes in the geographic mix of the Company’s earnings, changes in tax legislation and tax rates or other factors that may impact the Company’s tax savings will be reflected in income or loss before taxes on the condensed consolidated statements of operations in the period in which the change occurs. As of December 27, 2025, no TRA liability was recorded based on the amount expected to be paid for cash tax savings related to fiscal year 2026. No TRA liability was recorded for periods after fiscal year 2026 based on current projections or future taxable income and taking into consideration the Company’s full valuation allowance against its net deferred tax asset.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Fair Value Measures</w:t>
      </w:r>
    </w:p>
    <w:p>
      <w:pPr>
        <w:spacing w:after="0" w:line="53" w:lineRule="exact"/>
        <w:rPr>
          <w:sz w:val="20"/>
          <w:szCs w:val="20"/>
          <w:color w:val="auto"/>
        </w:rPr>
      </w:pPr>
    </w:p>
    <w:p>
      <w:pPr>
        <w:ind w:right="180" w:firstLine="255"/>
        <w:spacing w:after="0" w:line="270" w:lineRule="auto"/>
        <w:rPr>
          <w:sz w:val="20"/>
          <w:szCs w:val="20"/>
          <w:color w:val="auto"/>
        </w:rPr>
      </w:pPr>
      <w:r>
        <w:rPr>
          <w:rFonts w:ascii="Times New Roman" w:cs="Times New Roman" w:eastAsia="Times New Roman" w:hAnsi="Times New Roman"/>
          <w:sz w:val="14"/>
          <w:szCs w:val="14"/>
          <w:color w:val="auto"/>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spacing w:after="0" w:line="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Level 1 – inputs to the valuation methodology are quoted prices (unadjusted) for an identical asset or liability in an active market</w:t>
      </w:r>
    </w:p>
    <w:p>
      <w:pPr>
        <w:spacing w:after="0" w:line="51" w:lineRule="exact"/>
        <w:rPr>
          <w:sz w:val="20"/>
          <w:szCs w:val="20"/>
          <w:color w:val="auto"/>
        </w:rPr>
      </w:pPr>
    </w:p>
    <w:p>
      <w:pPr>
        <w:ind w:right="180" w:firstLine="255"/>
        <w:spacing w:after="0" w:line="284" w:lineRule="auto"/>
        <w:rPr>
          <w:sz w:val="20"/>
          <w:szCs w:val="20"/>
          <w:color w:val="auto"/>
        </w:rPr>
      </w:pPr>
      <w:r>
        <w:rPr>
          <w:rFonts w:ascii="Times New Roman" w:cs="Times New Roman" w:eastAsia="Times New Roman" w:hAnsi="Times New Roman"/>
          <w:sz w:val="14"/>
          <w:szCs w:val="14"/>
          <w:color w:val="auto"/>
        </w:rPr>
        <w:t>Level 2 – inputs to the valuation methodology include quoted prices for a similar asset or liability in an active market or model-derived valuations in which all significant inputs are observable for substantially the full term of the asset or liability</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Level 3 – inputs to the valuation methodology are unobservable and significant to the fair value measurement of the asset or liability</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the Company’s financial assets measured and recorded at fair value on a recurring basis using the above input categories as of December 27, 2025 and September 27,</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2025 (in thousands):</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2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December 27, 2025</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5"/>
          </w:tcPr>
          <w:p>
            <w:pPr>
              <w:ind w:left="300"/>
              <w:spacing w:after="0"/>
              <w:rPr>
                <w:sz w:val="20"/>
                <w:szCs w:val="20"/>
                <w:color w:val="auto"/>
              </w:rPr>
            </w:pPr>
            <w:r>
              <w:rPr>
                <w:rFonts w:ascii="Times New Roman" w:cs="Times New Roman" w:eastAsia="Times New Roman" w:hAnsi="Times New Roman"/>
                <w:sz w:val="13"/>
                <w:szCs w:val="13"/>
                <w:b w:val="1"/>
                <w:bCs w:val="1"/>
                <w:color w:val="auto"/>
              </w:rPr>
              <w:t>September 27, 2025</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6"/>
        </w:trPr>
        <w:tc>
          <w:tcPr>
            <w:tcW w:w="2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67"/>
        </w:trPr>
        <w:tc>
          <w:tcPr>
            <w:tcW w:w="2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8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0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4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Pr>
          <w:p>
            <w:pPr>
              <w:spacing w:after="0"/>
              <w:rPr>
                <w:sz w:val="14"/>
                <w:szCs w:val="14"/>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0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0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40" w:type="dxa"/>
            <w:vAlign w:val="bottom"/>
          </w:tcPr>
          <w:p>
            <w:pPr>
              <w:spacing w:after="0"/>
              <w:rPr>
                <w:sz w:val="14"/>
                <w:szCs w:val="14"/>
                <w:color w:val="auto"/>
              </w:rPr>
            </w:pPr>
          </w:p>
        </w:tc>
        <w:tc>
          <w:tcPr>
            <w:tcW w:w="860" w:type="dxa"/>
            <w:vAlign w:val="bottom"/>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6"/>
        </w:trPr>
        <w:tc>
          <w:tcPr>
            <w:tcW w:w="2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3"/>
        </w:trPr>
        <w:tc>
          <w:tcPr>
            <w:tcW w:w="2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Assets:</w:t>
            </w:r>
          </w:p>
        </w:tc>
        <w:tc>
          <w:tcPr>
            <w:tcW w:w="2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r>
      <w:tr>
        <w:trPr>
          <w:trHeight w:val="191"/>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Money market funds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1,572,537</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1,572,537</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1,193,375</w:t>
            </w: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1,193,375</w:t>
            </w:r>
          </w:p>
        </w:tc>
      </w:tr>
      <w:tr>
        <w:trPr>
          <w:trHeight w:val="32"/>
        </w:trPr>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3"/>
        </w:trPr>
        <w:tc>
          <w:tcPr>
            <w:tcW w:w="2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 fair value</w:t>
            </w: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16,789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16,789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16,789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16,789</w:t>
            </w:r>
          </w:p>
        </w:tc>
      </w:tr>
      <w:tr>
        <w:trPr>
          <w:trHeight w:val="191"/>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Strategic investments</w:t>
            </w:r>
          </w:p>
        </w:tc>
        <w:tc>
          <w:tcPr>
            <w:tcW w:w="2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44,995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44,995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43,334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43,334</w:t>
            </w:r>
          </w:p>
        </w:tc>
      </w:tr>
      <w:tr>
        <w:trPr>
          <w:trHeight w:val="32"/>
        </w:trPr>
        <w:tc>
          <w:tcPr>
            <w:tcW w:w="2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8"/>
        </w:trPr>
        <w:tc>
          <w:tcPr>
            <w:tcW w:w="2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1,572,537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16,789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44,995</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1,634,321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1,193,375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16,789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43,334</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1,253,498</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28" w:name="page29"/>
    <w:bookmarkEnd w:id="28"/>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had no liabilities measured and recorded at fair value on a recurring basis as of December 27, 2025 and September 27, 2025.</w:t>
      </w:r>
    </w:p>
    <w:p>
      <w:pPr>
        <w:spacing w:after="0" w:line="51"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4"/>
          <w:szCs w:val="14"/>
          <w:color w:val="auto"/>
        </w:rPr>
        <w:t xml:space="preserve">The Company considers all highly liquid investments purchased with an original maturity of three months or less to be cash equivalents. The fair value of the Company’s investments in certain money market funds is their face value and such instruments are classified as Level 1 and are included in cash and cash equivalents on the condensed consolidated balance sheets. At December 27, 2025, the fair value of the warrant issued as described in Note 13, </w:t>
      </w:r>
      <w:r>
        <w:rPr>
          <w:rFonts w:ascii="Times New Roman" w:cs="Times New Roman" w:eastAsia="Times New Roman" w:hAnsi="Times New Roman"/>
          <w:sz w:val="14"/>
          <w:szCs w:val="14"/>
          <w:i w:val="1"/>
          <w:iCs w:val="1"/>
          <w:color w:val="auto"/>
        </w:rPr>
        <w:t>Derivative Instruments,</w:t>
      </w:r>
      <w:r>
        <w:rPr>
          <w:rFonts w:ascii="Times New Roman" w:cs="Times New Roman" w:eastAsia="Times New Roman" w:hAnsi="Times New Roman"/>
          <w:sz w:val="14"/>
          <w:szCs w:val="14"/>
          <w:color w:val="auto"/>
        </w:rPr>
        <w:t xml:space="preserve"> is classified as Level 2. Level 2 securities are priced by pricing vendors. These pricing vendors utilize the most recent observable market information in pricing these securities or, if specific prices are not available for these securities, use other observable inputs like market transactions involving identical or comparable securities. Certain non-marketable strategic investments measured at fair value on a non-recurring basis are classified as Level 3 as their fair value measurements may include a combination of observable and unobservable inputs. Other certain non-marketable strategic investments are carried at cost and are subject to remeasurement only upon the occurrence of a triggering event.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Strategic Investments</w:t>
      </w:r>
    </w:p>
    <w:p>
      <w:pPr>
        <w:spacing w:after="0" w:line="53" w:lineRule="exact"/>
        <w:rPr>
          <w:sz w:val="20"/>
          <w:szCs w:val="20"/>
          <w:color w:val="auto"/>
        </w:rPr>
      </w:pPr>
    </w:p>
    <w:p>
      <w:pPr>
        <w:ind w:right="60" w:firstLine="255"/>
        <w:spacing w:after="0" w:line="259" w:lineRule="auto"/>
        <w:rPr>
          <w:sz w:val="20"/>
          <w:szCs w:val="20"/>
          <w:color w:val="auto"/>
        </w:rPr>
      </w:pPr>
      <w:r>
        <w:rPr>
          <w:rFonts w:ascii="Times New Roman" w:cs="Times New Roman" w:eastAsia="Times New Roman" w:hAnsi="Times New Roman"/>
          <w:sz w:val="14"/>
          <w:szCs w:val="14"/>
          <w:color w:val="auto"/>
        </w:rPr>
        <w:t>Strategic investments that consist of non-controlling equity investments without readily determinable fair values in privately held companies for which the Company does not have the ability to exercise significant influence are measured under the measurement alternative method. The Company has not elected the fair value option for these investments. These investments are accounted for under the cost method of accounting. Under the cost method of accounting, the non-marketable equity securities are carried at cost less any impairment, plus or minus adjustments resulting from observable price changes in orderly transactions for the identical or a similar investment of the same issuer, which is recorded within the consolidated statements of operations. The Company held $21.7 million of strategic investments without readily determinable fair values at December 27, 2025 and $20.0 million of strategic investments without readily determinable fair values at September 27, 2025. These investments are included in other assets on the consolidated balance sheets.</w:t>
      </w:r>
    </w:p>
    <w:p>
      <w:pPr>
        <w:spacing w:after="0" w:line="19" w:lineRule="exact"/>
        <w:rPr>
          <w:sz w:val="20"/>
          <w:szCs w:val="20"/>
          <w:color w:val="auto"/>
        </w:rPr>
      </w:pPr>
    </w:p>
    <w:p>
      <w:pPr>
        <w:ind w:right="200" w:firstLine="255"/>
        <w:spacing w:after="0" w:line="284" w:lineRule="auto"/>
        <w:rPr>
          <w:sz w:val="20"/>
          <w:szCs w:val="20"/>
          <w:color w:val="auto"/>
        </w:rPr>
      </w:pPr>
      <w:r>
        <w:rPr>
          <w:rFonts w:ascii="Times New Roman" w:cs="Times New Roman" w:eastAsia="Times New Roman" w:hAnsi="Times New Roman"/>
          <w:sz w:val="14"/>
          <w:szCs w:val="14"/>
          <w:color w:val="auto"/>
        </w:rPr>
        <w:t>The Company adjusts the fair values of its strategic investments based on observable price changes. A fair value adjustment resulting from an increase in fair value on strategic investments of $1.7 million was recorded to “other income, net” for the three months ended December 27, 2025. There were no losses, or impairments recorded for the three months ended December 27, 2025.</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has certain other non-marketable strategic investments measured at fair value on a non-recurring basis. The Company has not elected the fair value option for these investments.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held $23.3 million of these investments at December 27, 2025 and September 27, 2025. These investments are included in other assets on the consolidated balance sheets.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Derivative Instruments</w:t>
      </w:r>
    </w:p>
    <w:p>
      <w:pPr>
        <w:spacing w:after="0" w:line="53"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During fiscal year 2024, the Company entered into warrant agreements and a development and supply agreement with a supplier which, subject to meeting certain conditions, will entitle the Company to acquire a fixed number of shares of the supplier during the period of time set forth in the warrant agreements. The warrants vest in a series of tranches, at a specified price per share, upon meeting certain development and production-based milestones. If, and when, the relevant milestone is reached, the corresponding tranche of warrant will become exercisable up until the expiration date of the warrants in May 2044.</w:t>
      </w:r>
    </w:p>
    <w:p>
      <w:pPr>
        <w:spacing w:after="0" w:line="11" w:lineRule="exact"/>
        <w:rPr>
          <w:sz w:val="20"/>
          <w:szCs w:val="20"/>
          <w:color w:val="auto"/>
        </w:rPr>
      </w:pPr>
    </w:p>
    <w:p>
      <w:pPr>
        <w:ind w:right="20" w:firstLine="255"/>
        <w:spacing w:after="0" w:line="260" w:lineRule="auto"/>
        <w:rPr>
          <w:sz w:val="20"/>
          <w:szCs w:val="20"/>
          <w:color w:val="auto"/>
        </w:rPr>
      </w:pPr>
      <w:r>
        <w:rPr>
          <w:rFonts w:ascii="Times New Roman" w:cs="Times New Roman" w:eastAsia="Times New Roman" w:hAnsi="Times New Roman"/>
          <w:sz w:val="14"/>
          <w:szCs w:val="14"/>
          <w:color w:val="auto"/>
        </w:rPr>
        <w:t xml:space="preserve">The warrants are accounted for as a derivative under ASC Topic 815, </w:t>
      </w:r>
      <w:r>
        <w:rPr>
          <w:rFonts w:ascii="Times New Roman" w:cs="Times New Roman" w:eastAsia="Times New Roman" w:hAnsi="Times New Roman"/>
          <w:sz w:val="14"/>
          <w:szCs w:val="14"/>
          <w:i w:val="1"/>
          <w:iCs w:val="1"/>
          <w:color w:val="auto"/>
        </w:rPr>
        <w:t>Derivatives and Hedging</w:t>
      </w:r>
      <w:r>
        <w:rPr>
          <w:rFonts w:ascii="Times New Roman" w:cs="Times New Roman" w:eastAsia="Times New Roman" w:hAnsi="Times New Roman"/>
          <w:sz w:val="14"/>
          <w:szCs w:val="14"/>
          <w:color w:val="auto"/>
        </w:rPr>
        <w:t>, as a result of certain net settlement provisions in the warrant agreements. The Company reports the warrants at their fair values within “other assets” in its condensed consolidated balance sheets and changes in the fair value of the warrants are recognized in “other income, net” on its condensed consolidated statements of operations. The day-one value attributable to the other side of the warrants is reported within “other liabilities” in the Company’s condensed consolidated balance sheets and will be amortized over the life of the applicable development and production milestones as determined in the development and supply agreement. The fair value of the warrants recognized within “other assets” on the Company’s condensed consolidated balance sheets at December 27, 2025 is $16.8 million. There is no impact recorded to “other income, net” on the Company’s condensed consolidated statements of operations for the three months ended December 27, 2025 as there has been no change to the fair value of the warrants during the three months ended December 27, 2025.</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Related Party Transactions</w:t>
      </w:r>
    </w:p>
    <w:p>
      <w:pPr>
        <w:spacing w:after="0" w:line="51" w:lineRule="exact"/>
        <w:rPr>
          <w:sz w:val="20"/>
          <w:szCs w:val="20"/>
          <w:color w:val="auto"/>
        </w:rPr>
      </w:pPr>
    </w:p>
    <w:p>
      <w:pPr>
        <w:ind w:right="400" w:firstLine="255"/>
        <w:spacing w:after="0" w:line="290" w:lineRule="auto"/>
        <w:rPr>
          <w:sz w:val="20"/>
          <w:szCs w:val="20"/>
          <w:color w:val="auto"/>
        </w:rPr>
      </w:pPr>
      <w:r>
        <w:rPr>
          <w:rFonts w:ascii="Times New Roman" w:cs="Times New Roman" w:eastAsia="Times New Roman" w:hAnsi="Times New Roman"/>
          <w:sz w:val="14"/>
          <w:szCs w:val="14"/>
          <w:color w:val="auto"/>
        </w:rPr>
        <w:t xml:space="preserve">ASC Topic 850, </w:t>
      </w:r>
      <w:r>
        <w:rPr>
          <w:rFonts w:ascii="Times New Roman" w:cs="Times New Roman" w:eastAsia="Times New Roman" w:hAnsi="Times New Roman"/>
          <w:sz w:val="14"/>
          <w:szCs w:val="14"/>
          <w:i w:val="1"/>
          <w:iCs w:val="1"/>
          <w:color w:val="auto"/>
        </w:rPr>
        <w:t>Related Party Disclosures</w:t>
      </w:r>
      <w:r>
        <w:rPr>
          <w:rFonts w:ascii="Times New Roman" w:cs="Times New Roman" w:eastAsia="Times New Roman" w:hAnsi="Times New Roman"/>
          <w:sz w:val="14"/>
          <w:szCs w:val="14"/>
          <w:color w:val="auto"/>
        </w:rPr>
        <w:t xml:space="preserve"> (“ASC Topic 850”) provides guidance for the identification of related parties and the disclosure of related party transactions. Related parties are generally defined as (i) affiliates of the Company;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67" w:right="339" w:bottom="1440" w:gutter="0" w:footer="0" w:header="0"/>
        </w:sectPr>
      </w:pPr>
    </w:p>
    <w:bookmarkStart w:id="29" w:name="page30"/>
    <w:bookmarkEnd w:id="29"/>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owners of more than 10% of the voting interests of the Company and members of their immediate families; (iii) management of the Company and members of their immediate families; (iv) other parties which directly or indirectly control, are controlled by, or are under common control with the Company; or (v) other parties who can significantly influence the financial and operating decisions of the Company. A transaction is considered to be a related party transaction when there is a transfer of resources or obligations between related parties. The Company assesses related parties each reporting period. For the period ending December 27, 2025, the Company determined that C&amp;S Wholesale Grocers, Inc. (“C&amp;S”), Exol, and certain current holders of Symbotic Holdings were each a related party under ASC Topic 850. The following transactions were related party transactions under ASC Topic 850.</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Aircraft Time Sharing Agreement</w:t>
      </w:r>
    </w:p>
    <w:p>
      <w:pPr>
        <w:spacing w:after="0" w:line="53"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In December 2021 and May 2022, the Company entered into aircraft time-sharing agreements with C&amp;S with respect to private aircraft owned by them, whereby the Company’s executives may utilize two C&amp;S aircraft on an as-needed and as-available basis, with no minimum usage being required. As there is no defined period of time stated within these aircraft time-sharing agreements, the Company does not consider these to meet the definition of a lease, and as such, records payments in the period in which the obligation for the payment is incurred. For the three months ended December 27, 2025 and December 28, 2024, the Company incurred expense of $0.5 million and $0.4 million, respectively, related to these aircraft time-sharing agreements.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Usage of Facility and Employee Services</w:t>
      </w:r>
    </w:p>
    <w:p>
      <w:pPr>
        <w:spacing w:after="0" w:line="53"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The Company has a license arrangement with C&amp;S whereby C&amp;S is providing receiving and logistics services for the Company within a C&amp;S distribution facility. The arrangement also provides for C&amp;S employees assisting with certain of the Company’s operations. For the three months ended December 27, 2025 and December 28, 2024, the Company incurred expense of $0.4 million and $0.4 million, respectively, related to this arrangement.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Lease Agreements</w:t>
      </w:r>
    </w:p>
    <w:p>
      <w:pPr>
        <w:spacing w:after="0" w:line="53" w:lineRule="exact"/>
        <w:rPr>
          <w:sz w:val="20"/>
          <w:szCs w:val="20"/>
          <w:color w:val="auto"/>
        </w:rPr>
      </w:pPr>
    </w:p>
    <w:p>
      <w:pPr>
        <w:ind w:right="160" w:firstLine="255"/>
        <w:spacing w:after="0" w:line="270" w:lineRule="auto"/>
        <w:rPr>
          <w:sz w:val="20"/>
          <w:szCs w:val="20"/>
          <w:color w:val="auto"/>
        </w:rPr>
      </w:pPr>
      <w:r>
        <w:rPr>
          <w:rFonts w:ascii="Times New Roman" w:cs="Times New Roman" w:eastAsia="Times New Roman" w:hAnsi="Times New Roman"/>
          <w:sz w:val="14"/>
          <w:szCs w:val="14"/>
          <w:color w:val="auto"/>
        </w:rPr>
        <w:t>In fiscal year 2025, the Company entered into lease agreements with C&amp;S for the lease of warehouse space in Plant City, FL and Coppell, TX. The Company’s estimated lease term for these lease agreements is for 2 years. Combined, the Company recognized $0.6 million and less than $0.1 million in rent expense for the three months ended December 27, 2025 and December 28, 2024, respectively.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Customer Contracts</w:t>
      </w:r>
    </w:p>
    <w:p>
      <w:pPr>
        <w:spacing w:after="0" w:line="53" w:lineRule="exact"/>
        <w:rPr>
          <w:sz w:val="20"/>
          <w:szCs w:val="20"/>
          <w:color w:val="auto"/>
        </w:rPr>
      </w:pPr>
    </w:p>
    <w:p>
      <w:pPr>
        <w:ind w:right="260" w:firstLine="255"/>
        <w:spacing w:after="0" w:line="284" w:lineRule="auto"/>
        <w:rPr>
          <w:sz w:val="20"/>
          <w:szCs w:val="20"/>
          <w:color w:val="auto"/>
        </w:rPr>
      </w:pPr>
      <w:r>
        <w:rPr>
          <w:rFonts w:ascii="Times New Roman" w:cs="Times New Roman" w:eastAsia="Times New Roman" w:hAnsi="Times New Roman"/>
          <w:sz w:val="14"/>
          <w:szCs w:val="14"/>
          <w:color w:val="auto"/>
        </w:rPr>
        <w:t>The Company has customer contracts with C&amp;S relating to System implementations, software maintenance services and the operations of Systems. For the three months ended December 27, 2025 and December 28, 2024, revenue of $1.1 million and $2.2 million was recognized, respectively, relating to these customer contracts.</w:t>
      </w:r>
    </w:p>
    <w:p>
      <w:pPr>
        <w:spacing w:after="0" w:line="1" w:lineRule="exact"/>
        <w:rPr>
          <w:sz w:val="20"/>
          <w:szCs w:val="20"/>
          <w:color w:val="auto"/>
        </w:rPr>
      </w:pPr>
    </w:p>
    <w:p>
      <w:pPr>
        <w:ind w:right="260" w:firstLine="255"/>
        <w:spacing w:after="0" w:line="284" w:lineRule="auto"/>
        <w:rPr>
          <w:sz w:val="20"/>
          <w:szCs w:val="20"/>
          <w:color w:val="auto"/>
        </w:rPr>
      </w:pPr>
      <w:r>
        <w:rPr>
          <w:rFonts w:ascii="Times New Roman" w:cs="Times New Roman" w:eastAsia="Times New Roman" w:hAnsi="Times New Roman"/>
          <w:sz w:val="14"/>
          <w:szCs w:val="14"/>
          <w:color w:val="auto"/>
        </w:rPr>
        <w:t>There was $4.3 million unbilled accounts receivable and accounts receivable due from C&amp;S at December 27, 2025, and $2.4 million unbilled accounts receivable and accounts receivable due from C&amp;S at September 27, 2025.</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There was $2.2 million and $0.5 million of deferred revenue related to contracts with C&amp;S at December 27, 2025 and September 27, 2025, respectively.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Exol</w:t>
      </w:r>
    </w:p>
    <w:p>
      <w:pPr>
        <w:spacing w:after="0" w:line="53" w:lineRule="exact"/>
        <w:rPr>
          <w:sz w:val="20"/>
          <w:szCs w:val="20"/>
          <w:color w:val="auto"/>
        </w:rPr>
      </w:pPr>
    </w:p>
    <w:p>
      <w:pPr>
        <w:ind w:right="260" w:firstLine="255"/>
        <w:spacing w:after="0" w:line="284" w:lineRule="auto"/>
        <w:rPr>
          <w:sz w:val="20"/>
          <w:szCs w:val="20"/>
          <w:color w:val="auto"/>
        </w:rPr>
      </w:pPr>
      <w:r>
        <w:rPr>
          <w:rFonts w:ascii="Times New Roman" w:cs="Times New Roman" w:eastAsia="Times New Roman" w:hAnsi="Times New Roman"/>
          <w:sz w:val="14"/>
          <w:szCs w:val="14"/>
          <w:color w:val="auto"/>
        </w:rPr>
        <w:t>The Company has a customer contract relating to System implementations and shared services with Exol. For the three months ended December 27, 2025 and December 28, 2024, revenue of $38.2 million and $2.7 million was recognized, respectively, relating to this customer contract.</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There was $69.7 million and $0.6 million unbilled accounts receivable and accounts receivable due from the customer contract at December 27, 2025, and September 27, 2025, respectively.</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There was $0.9 million and $13.1 million accounts receivable due from the shared service agreement at December 27, 2025 and September 27, 2025, respectively.</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There was $175.1 million and $142.7 million of deferred revenue related to contracts with Exol at December 27, 2025 and September 27, 2025, respectively.</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transaction price allocated to performance obligations that are unsatisfied as of December 27, 2025 was $11.6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30" w:name="page31"/>
    <w:bookmarkEnd w:id="30"/>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80" w:firstLine="255"/>
        <w:spacing w:after="0" w:line="290" w:lineRule="auto"/>
        <w:rPr>
          <w:sz w:val="20"/>
          <w:szCs w:val="20"/>
          <w:color w:val="auto"/>
        </w:rPr>
      </w:pPr>
      <w:r>
        <w:rPr>
          <w:rFonts w:ascii="Times New Roman" w:cs="Times New Roman" w:eastAsia="Times New Roman" w:hAnsi="Times New Roman"/>
          <w:sz w:val="14"/>
          <w:szCs w:val="14"/>
          <w:color w:val="auto"/>
        </w:rPr>
        <w:t xml:space="preserve">Cash funding of $38.5 million and $6.8 million was made by the Company to Exol in relation to the VIE (as further described in Note 16, </w:t>
      </w:r>
      <w:r>
        <w:rPr>
          <w:rFonts w:ascii="Times New Roman" w:cs="Times New Roman" w:eastAsia="Times New Roman" w:hAnsi="Times New Roman"/>
          <w:sz w:val="14"/>
          <w:szCs w:val="14"/>
          <w:i w:val="1"/>
          <w:iCs w:val="1"/>
          <w:color w:val="auto"/>
        </w:rPr>
        <w:t>Variable Interest Entities</w:t>
      </w:r>
      <w:r>
        <w:rPr>
          <w:rFonts w:ascii="Times New Roman" w:cs="Times New Roman" w:eastAsia="Times New Roman" w:hAnsi="Times New Roman"/>
          <w:sz w:val="14"/>
          <w:szCs w:val="14"/>
          <w:color w:val="auto"/>
        </w:rPr>
        <w:t>) for the three months ended December 27, 2025 and December 28, 2024, respectively.</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Tax Distribution to Symbotic Holdings LLC partners</w:t>
      </w:r>
    </w:p>
    <w:p>
      <w:pPr>
        <w:spacing w:after="0" w:line="53"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Pursuant to the Second Amended and Restated Limited Liability Company Agreement of Symbotic Holdings, Symbotic LLC makes pro rata tax distributions to the holders of Symbotic Holdings’ units in an amount sufficient to fund all or part of their tax obligations with respect to the taxable income of Symbotic Holdings that is allocated to them. For the three months ended December 27, 2025 and December 28, 2024, there were $1.2 million and $0.9 million of tax distributions made by the Company to or on behalf of its members, of which $1.2 million and $0.8 million was distributed to or on behalf of those who met the definition of a related party in accordance with ASC Topic 850,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Commitments and Contingencies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Purchase Obligations</w:t>
      </w:r>
    </w:p>
    <w:p>
      <w:pPr>
        <w:spacing w:after="0" w:line="53" w:lineRule="exact"/>
        <w:rPr>
          <w:sz w:val="20"/>
          <w:szCs w:val="20"/>
          <w:color w:val="auto"/>
        </w:rPr>
      </w:pPr>
    </w:p>
    <w:p>
      <w:pPr>
        <w:ind w:right="80" w:firstLine="255"/>
        <w:spacing w:after="0" w:line="287" w:lineRule="auto"/>
        <w:rPr>
          <w:sz w:val="20"/>
          <w:szCs w:val="20"/>
          <w:color w:val="auto"/>
        </w:rPr>
      </w:pPr>
      <w:r>
        <w:rPr>
          <w:rFonts w:ascii="Times New Roman" w:cs="Times New Roman" w:eastAsia="Times New Roman" w:hAnsi="Times New Roman"/>
          <w:sz w:val="14"/>
          <w:szCs w:val="14"/>
          <w:color w:val="auto"/>
        </w:rPr>
        <w:t>The Company has contractual obligations to purchase goods or services, which specify significant terms, including fixed or minimum quantities to be purchased and fixed, minimum, or variable price provisions. As of December 27, 2025, the purchase commitments covered by these arrangements are $781.3 million in the aggregate, of which $710.9 million are less than one year.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Lease Commitments</w:t>
      </w:r>
    </w:p>
    <w:p>
      <w:pPr>
        <w:spacing w:after="0" w:line="51" w:lineRule="exact"/>
        <w:rPr>
          <w:sz w:val="20"/>
          <w:szCs w:val="20"/>
          <w:color w:val="auto"/>
        </w:rPr>
      </w:pPr>
    </w:p>
    <w:p>
      <w:pPr>
        <w:ind w:right="80" w:firstLine="255"/>
        <w:spacing w:after="0" w:line="290" w:lineRule="auto"/>
        <w:rPr>
          <w:sz w:val="20"/>
          <w:szCs w:val="20"/>
          <w:color w:val="auto"/>
        </w:rPr>
      </w:pPr>
      <w:r>
        <w:rPr>
          <w:rFonts w:ascii="Times New Roman" w:cs="Times New Roman" w:eastAsia="Times New Roman" w:hAnsi="Times New Roman"/>
          <w:sz w:val="14"/>
          <w:szCs w:val="14"/>
          <w:color w:val="auto"/>
        </w:rPr>
        <w:t xml:space="preserve">The Company leases certain of its facilities under operating leases expiring in various years through 2030. Refer to Note 5,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for a schedule of future lease payments under non-cancellable leases as of December 27, 2025.</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Warranty</w:t>
      </w:r>
    </w:p>
    <w:p>
      <w:pPr>
        <w:spacing w:after="0" w:line="53" w:lineRule="exact"/>
        <w:rPr>
          <w:sz w:val="20"/>
          <w:szCs w:val="20"/>
          <w:color w:val="auto"/>
        </w:rPr>
      </w:pPr>
    </w:p>
    <w:p>
      <w:pPr>
        <w:ind w:right="300" w:firstLine="255"/>
        <w:spacing w:after="0" w:line="284" w:lineRule="auto"/>
        <w:rPr>
          <w:sz w:val="20"/>
          <w:szCs w:val="20"/>
          <w:color w:val="auto"/>
        </w:rPr>
      </w:pPr>
      <w:r>
        <w:rPr>
          <w:rFonts w:ascii="Times New Roman" w:cs="Times New Roman" w:eastAsia="Times New Roman" w:hAnsi="Times New Roman"/>
          <w:sz w:val="14"/>
          <w:szCs w:val="14"/>
          <w:color w:val="auto"/>
        </w:rPr>
        <w:t>The Company provides a limited warranty on its Systems and has established a reserve for warranty obligations based on estimated warranty costs. The reserve is included as part of accrued expenses and other long-term liabilities in the accompanying condensed consolidated balance sheets.</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Activity related to the warranty accrual is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gridSpan w:val="4"/>
          </w:tcPr>
          <w:p>
            <w:pPr>
              <w:jc w:val="right"/>
              <w:ind w:right="851"/>
              <w:spacing w:after="0"/>
              <w:rPr>
                <w:sz w:val="20"/>
                <w:szCs w:val="20"/>
                <w:color w:val="auto"/>
              </w:rPr>
            </w:pPr>
            <w:r>
              <w:rPr>
                <w:rFonts w:ascii="Times New Roman" w:cs="Times New Roman" w:eastAsia="Times New Roman" w:hAnsi="Times New Roman"/>
                <w:sz w:val="13"/>
                <w:szCs w:val="13"/>
                <w:b w:val="1"/>
                <w:bCs w:val="1"/>
                <w:color w:val="auto"/>
              </w:rPr>
              <w:t>Three Months Ended</w:t>
            </w:r>
          </w:p>
        </w:tc>
      </w:tr>
      <w:tr>
        <w:trPr>
          <w:trHeight w:val="26"/>
        </w:trPr>
        <w:tc>
          <w:tcPr>
            <w:tcW w:w="8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67"/>
        </w:trPr>
        <w:tc>
          <w:tcPr>
            <w:tcW w:w="8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27, 2025</w:t>
            </w:r>
          </w:p>
        </w:tc>
        <w:tc>
          <w:tcPr>
            <w:tcW w:w="160" w:type="dxa"/>
            <w:vAlign w:val="bottom"/>
          </w:tcPr>
          <w:p>
            <w:pPr>
              <w:spacing w:after="0"/>
              <w:rPr>
                <w:sz w:val="14"/>
                <w:szCs w:val="14"/>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3"/>
                <w:szCs w:val="13"/>
                <w:b w:val="1"/>
                <w:bCs w:val="1"/>
                <w:color w:val="auto"/>
              </w:rPr>
              <w:t>December 28, 2024</w:t>
            </w:r>
          </w:p>
        </w:tc>
      </w:tr>
      <w:tr>
        <w:trPr>
          <w:trHeight w:val="26"/>
        </w:trPr>
        <w:tc>
          <w:tcPr>
            <w:tcW w:w="8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3"/>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43,607</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31,935</w:t>
            </w:r>
          </w:p>
        </w:tc>
      </w:tr>
      <w:tr>
        <w:trPr>
          <w:trHeight w:val="19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7,320</w:t>
            </w: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Warranty usage</w:t>
            </w: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(2,893)</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(2,392)</w:t>
            </w:r>
          </w:p>
        </w:tc>
      </w:tr>
      <w:tr>
        <w:trPr>
          <w:trHeight w:val="18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44,163</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36,863</w:t>
            </w:r>
          </w:p>
        </w:tc>
      </w:tr>
      <w:tr>
        <w:trPr>
          <w:trHeight w:val="32"/>
        </w:trPr>
        <w:tc>
          <w:tcPr>
            <w:tcW w:w="8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53" w:lineRule="exact"/>
        <w:rPr>
          <w:sz w:val="20"/>
          <w:szCs w:val="20"/>
          <w:color w:val="auto"/>
        </w:rPr>
      </w:pPr>
    </w:p>
    <w:p>
      <w:pPr>
        <w:ind w:right="180" w:firstLine="255"/>
        <w:spacing w:after="0" w:line="284" w:lineRule="auto"/>
        <w:rPr>
          <w:sz w:val="20"/>
          <w:szCs w:val="20"/>
          <w:color w:val="auto"/>
        </w:rPr>
      </w:pPr>
      <w:r>
        <w:rPr>
          <w:rFonts w:ascii="Times New Roman" w:cs="Times New Roman" w:eastAsia="Times New Roman" w:hAnsi="Times New Roman"/>
          <w:sz w:val="14"/>
          <w:szCs w:val="14"/>
          <w:color w:val="auto"/>
        </w:rPr>
        <w:t>The Company is subject from time to time to various claims, lawsuits and other legal and administrative proceedings. Some of these claims, lawsuits and other proceedings may involve highly complex issues that are subject to substantial uncertainties, and could result in damages, fines and penalties, non-monetary sanctions or relief.</w:t>
      </w:r>
    </w:p>
    <w:p>
      <w:pPr>
        <w:spacing w:after="0" w:line="1" w:lineRule="exact"/>
        <w:rPr>
          <w:sz w:val="20"/>
          <w:szCs w:val="20"/>
          <w:color w:val="auto"/>
        </w:rPr>
      </w:pPr>
    </w:p>
    <w:p>
      <w:pPr>
        <w:ind w:right="160" w:firstLine="255"/>
        <w:spacing w:after="0" w:line="287" w:lineRule="auto"/>
        <w:rPr>
          <w:sz w:val="20"/>
          <w:szCs w:val="20"/>
          <w:color w:val="auto"/>
        </w:rPr>
      </w:pPr>
      <w:r>
        <w:rPr>
          <w:rFonts w:ascii="Times New Roman" w:cs="Times New Roman" w:eastAsia="Times New Roman" w:hAnsi="Times New Roman"/>
          <w:sz w:val="14"/>
          <w:szCs w:val="14"/>
          <w:color w:val="auto"/>
        </w:rPr>
        <w:t>The Company recognizes provisions for claims or pending litigation when it is determined that an unfavorable outcome is probable, and the amount of loss can be reasonably estimated. Due to the inherent uncertain nature of litigation, the ultimate outcome or actual cost of settlement may materially vary from estimates.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Securities Class Actions</w:t>
      </w:r>
    </w:p>
    <w:p>
      <w:pPr>
        <w:spacing w:after="0" w:line="53"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On December 3, 2024, a putative class action captioned Decker v. Symbotic Inc. et al., Case No. 24-cv-12976 was filed in the United States District Court for the District of Massachusetts by an alleged purchaser of the Company’s common stock. The complaint asserted claims for violations of federal securities laws against the Company and three of its officers on the grounds that the Company made false and/or misleading statements related to its revenue recognition and the effectiveness of its disclosure controls and procedures. Based on these allegations, the plaintiff brought claims seeking unspecified damages, attorneys’ fees, expert fees, and other costs and relief on behalf of himself and a putative class of persons who purchased the Company’s stock between February 8, 2024 and November 26, 2024. On May 5, 2025, the court entered an order appointing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31" w:name="page32"/>
    <w:bookmarkEnd w:id="31"/>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lead plaintiff pursuant to the Private Securities Litigation Reform Act and setting a schedule for the filing of an amended complaint and the Company’s response to the complaint.</w:t>
      </w:r>
    </w:p>
    <w:p>
      <w:pPr>
        <w:spacing w:after="0" w:line="51" w:lineRule="exact"/>
        <w:rPr>
          <w:sz w:val="20"/>
          <w:szCs w:val="20"/>
          <w:color w:val="auto"/>
        </w:rPr>
      </w:pPr>
    </w:p>
    <w:p>
      <w:pPr>
        <w:ind w:right="160" w:firstLine="255"/>
        <w:spacing w:after="0" w:line="264" w:lineRule="auto"/>
        <w:rPr>
          <w:sz w:val="20"/>
          <w:szCs w:val="20"/>
          <w:color w:val="auto"/>
        </w:rPr>
      </w:pPr>
      <w:r>
        <w:rPr>
          <w:rFonts w:ascii="Times New Roman" w:cs="Times New Roman" w:eastAsia="Times New Roman" w:hAnsi="Times New Roman"/>
          <w:sz w:val="14"/>
          <w:szCs w:val="14"/>
          <w:color w:val="auto"/>
        </w:rPr>
        <w:t>On July 11, 2025, plaintiffs filed an amended complaint captioned Traina v. Symbotic Inc. et al., Case No. 24-cv-12196. Like the Decker complaint, the amended complaint asserts claims for violations of federal securities laws against the Company and four officers of the Company on the grounds that the Company made false and/or misleading statements or omissions related to its financial results, deployment times, revenue recognition, and internal controls. Based on these allegations, the plaintiffs bring claims seeking unspecified damages, attorneys’ fees, expert fees, and other costs and relief on behalf of themselves and a putative class of persons who purchased stock of the Company between November 20, 2023 and February 5, 2025.</w:t>
      </w:r>
    </w:p>
    <w:p>
      <w:pPr>
        <w:spacing w:after="0" w:line="13" w:lineRule="exact"/>
        <w:rPr>
          <w:sz w:val="20"/>
          <w:szCs w:val="20"/>
          <w:color w:val="auto"/>
        </w:rPr>
      </w:pPr>
    </w:p>
    <w:p>
      <w:pPr>
        <w:ind w:right="20" w:firstLine="255"/>
        <w:spacing w:after="0" w:line="284" w:lineRule="auto"/>
        <w:rPr>
          <w:sz w:val="20"/>
          <w:szCs w:val="20"/>
          <w:color w:val="auto"/>
        </w:rPr>
      </w:pPr>
      <w:r>
        <w:rPr>
          <w:rFonts w:ascii="Times New Roman" w:cs="Times New Roman" w:eastAsia="Times New Roman" w:hAnsi="Times New Roman"/>
          <w:sz w:val="14"/>
          <w:szCs w:val="14"/>
          <w:color w:val="auto"/>
        </w:rPr>
        <w:t>The Company filed a motion to dismiss the amended complaint on September 11, 2025. The plaintiffs filed an opposition to the motion to dismiss on November 11, 2025. The Company filed its reply brief in support of its motion to dismiss on December 11, 2025. A hearing on the motion to dismiss was held on December 16, 2025.</w:t>
      </w:r>
    </w:p>
    <w:p>
      <w:pPr>
        <w:spacing w:after="0" w:line="1" w:lineRule="exact"/>
        <w:rPr>
          <w:sz w:val="20"/>
          <w:szCs w:val="20"/>
          <w:color w:val="auto"/>
        </w:rPr>
      </w:pPr>
    </w:p>
    <w:p>
      <w:pPr>
        <w:ind w:right="20" w:firstLine="255"/>
        <w:spacing w:after="0" w:line="259" w:lineRule="auto"/>
        <w:rPr>
          <w:sz w:val="20"/>
          <w:szCs w:val="20"/>
          <w:color w:val="auto"/>
        </w:rPr>
      </w:pPr>
      <w:r>
        <w:rPr>
          <w:rFonts w:ascii="Times New Roman" w:cs="Times New Roman" w:eastAsia="Times New Roman" w:hAnsi="Times New Roman"/>
          <w:sz w:val="14"/>
          <w:szCs w:val="14"/>
          <w:color w:val="auto"/>
        </w:rPr>
        <w:t>The Company intends to vigorously defend these cases. If a court ultimately determines that the Company is liable in either or both of these cases, the Company may be subject to substantial damages. The Company cannot predict with any degree of certainty the outcome of these matters or determine the extent of any potential liabilities. The Company also cannot provide an estimate of the possible loss or range of loss. Any adverse outcome in these matters could expose the Company to substantial damages that may have a material adverse impact on the Company’s operations and cash flows. Despite the potential for significant damages, the Company does not believe, based on currently available information, that the outcome of these proceedings will have a material adverse effect on the Company’s financial condition, although the outcome could be material to the Company’s operating results for any particular period, depending, in part, upon the operating results for such period.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Shareholder Derivative Actions</w:t>
      </w:r>
    </w:p>
    <w:p>
      <w:pPr>
        <w:spacing w:after="0" w:line="53"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4"/>
          <w:szCs w:val="14"/>
          <w:color w:val="auto"/>
        </w:rPr>
        <w:t>On October 2, 2024, two putative shareholder derivative actions captioned Austen v. Cohen et al., 24-cv-12522 and Kukreja v. Cohen et al., 24-cv-12523 were filed in the United States District Court for the District of Massachusetts by the Company’s alleged shareholders. The actions assert claims on behalf of the Company against certain senior officers and members of its board of directors for, among others, breach of fiduciary duty, unjust enrichment, and violations of federal securities laws based primarily on allegations that the defendants caused or allowed the Company to disseminate misleading and inaccurate information to shareholders in connection with the Company’s expected earnings for the third quarter of fiscal year 2024. The actions seek compensatory damages, changes to corporate governance and internal procedures, restitution, costs and attorneys’ fees, and other unspecified relief. Motions to consolidate the two actions into a single matter, appoint lead plaintiffs’ counsel, and stay any obligation of the defendants to respond to the complaint based on the pendency of the related securities class action lawsuit were granted on November 24, 2025.</w:t>
      </w:r>
    </w:p>
    <w:p>
      <w:pPr>
        <w:spacing w:after="0" w:line="19"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The Company intends to vigorously defend these cases. If a court ultimately determines that the Company is liable, the Company may be subject to substantial damages. The Company cannot predict with any degree of certainty the outcome of this matter or determine the extent of any potential liabilities. The Company also cannot provide an estimate of the possible loss or range of loss. Any adverse outcome in this matter could expose the Company to substantial damages that may have a material adverse impact on the Company’s operations and cash flows. Despite the potential for significant damages, the Company does not believe, based on currently available information, that the outcome of this proceeding will have a material adverse effect on the Company’s financial condition, although the outcome could be material to the Company’s operating results for any particular period, depending, in part, upon the operating results for such period.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Contingencies</w:t>
      </w:r>
    </w:p>
    <w:p>
      <w:pPr>
        <w:spacing w:after="0" w:line="53"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Liabilities for any loss contingencies arising from claims, assessments, litigation, fines, penalties, and other matters are recorded when it is probable that the liability has been incurred and the amount of the liability can be reasonably estimated. Legal costs associated with loss contingencies are expensed as incurred. As of December 27, 2025, the Company has made appropriate provisions related to such matters and does not believe that such matters will have a material adverse effect on the Company’s consolidated operations, financial position,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67" w:right="379" w:bottom="1440" w:gutter="0" w:footer="0" w:header="0"/>
        </w:sectPr>
      </w:pPr>
    </w:p>
    <w:bookmarkStart w:id="32" w:name="page33"/>
    <w:bookmarkEnd w:id="32"/>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Indemnifications</w:t>
      </w:r>
    </w:p>
    <w:p>
      <w:pPr>
        <w:spacing w:after="0" w:line="53"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In the ordinary course of business, the Company enters into various contracts under which it may agree to indemnify other parties for losses incurred from certain events as defined in the relevant contract, such as litigation, regulatory penalties, or claims relating to past performance. Such indemnification obligations may not be subject to maximum loss clauses. The Company has never incurred costs to defend lawsuits or settle claims related to these indemnification obligations. As a result, the Company believes the estimated fair value of these obligations is minimal. Accordingly, the Company has no liabilities recorded for these obligations as of December 27, 2025 and September 27, 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Variable Interest Entities (“VIE”)</w:t>
      </w:r>
    </w:p>
    <w:p>
      <w:pPr>
        <w:spacing w:after="0" w:line="53" w:lineRule="exact"/>
        <w:rPr>
          <w:sz w:val="20"/>
          <w:szCs w:val="20"/>
          <w:color w:val="auto"/>
        </w:rPr>
      </w:pPr>
    </w:p>
    <w:p>
      <w:pPr>
        <w:ind w:right="380" w:firstLine="255"/>
        <w:spacing w:after="0" w:line="284" w:lineRule="auto"/>
        <w:rPr>
          <w:sz w:val="20"/>
          <w:szCs w:val="20"/>
          <w:color w:val="auto"/>
        </w:rPr>
      </w:pPr>
      <w:r>
        <w:rPr>
          <w:rFonts w:ascii="Times New Roman" w:cs="Times New Roman" w:eastAsia="Times New Roman" w:hAnsi="Times New Roman"/>
          <w:sz w:val="14"/>
          <w:szCs w:val="14"/>
          <w:color w:val="auto"/>
        </w:rPr>
        <w:t>VIEs are entities with any of the following characteristics: (i) the entity does not have enough equity to finance its activities without additional financial support; (ii) the equity holders, as a group, lack the characteristics of a controlling financial interest; or (iii) the entity is structured with non-substantive voting rights.</w:t>
      </w:r>
    </w:p>
    <w:p>
      <w:pPr>
        <w:spacing w:after="0" w:line="1" w:lineRule="exact"/>
        <w:rPr>
          <w:sz w:val="20"/>
          <w:szCs w:val="20"/>
          <w:color w:val="auto"/>
        </w:rPr>
      </w:pPr>
    </w:p>
    <w:p>
      <w:pPr>
        <w:jc w:val="both"/>
        <w:ind w:right="80" w:firstLine="255"/>
        <w:spacing w:after="0" w:line="270" w:lineRule="auto"/>
        <w:rPr>
          <w:sz w:val="20"/>
          <w:szCs w:val="20"/>
          <w:color w:val="auto"/>
        </w:rPr>
      </w:pPr>
      <w:r>
        <w:rPr>
          <w:rFonts w:ascii="Times New Roman" w:cs="Times New Roman" w:eastAsia="Times New Roman" w:hAnsi="Times New Roman"/>
          <w:sz w:val="14"/>
          <w:szCs w:val="14"/>
          <w:color w:val="auto"/>
        </w:rPr>
        <w:t>Consolidation of a VIE is required for the party deemed to be the primary beneficiary, if any. The primary beneficiary is the party who has both (a) the power to direct the activities of a VIE that most significantly impact the entity’s economic performance and (b) an obligation to absorb losses of the entity or a right to receive benefits from the entity that could potentially be significant to the entity.</w:t>
      </w:r>
    </w:p>
    <w:p>
      <w:pPr>
        <w:spacing w:after="0" w:line="8"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4"/>
          <w:szCs w:val="14"/>
          <w:color w:val="auto"/>
        </w:rPr>
        <w:t>On July 23, 2023, the Company, New Symbotic Holdings, and Symbotic LLC (collectively, the “Symbotic Group”), entered into a Framework Agreement (the “Framework Agreement”) with Sunlight Investment Corp., a Delaware corporation (“Sunlight”), SVF II Strategic Investments AIV LLC, a Delaware limited liability company (“SVF” and, together with Sunlight, “SoftBank”), and Exol, related to, among other things, the formation of Exol as a venture between the Symbotic Group and SoftBank and a warrant to purchase Class A Common Stock of Symbotic (the “Exol Warrant”). On July 23, 2023, Exol also entered into a Master Services, License and Equipment Agreement with Symbotic LLC with respect to the purchase of Systems (“Exol Commercial Agreement”).</w:t>
      </w:r>
    </w:p>
    <w:p>
      <w:pPr>
        <w:spacing w:after="0" w:line="16" w:lineRule="exact"/>
        <w:rPr>
          <w:sz w:val="20"/>
          <w:szCs w:val="20"/>
          <w:color w:val="auto"/>
        </w:rPr>
      </w:pPr>
    </w:p>
    <w:p>
      <w:pPr>
        <w:ind w:right="60" w:firstLine="255"/>
        <w:spacing w:after="0" w:line="259" w:lineRule="auto"/>
        <w:rPr>
          <w:sz w:val="20"/>
          <w:szCs w:val="20"/>
          <w:color w:val="auto"/>
        </w:rPr>
      </w:pPr>
      <w:r>
        <w:rPr>
          <w:rFonts w:ascii="Times New Roman" w:cs="Times New Roman" w:eastAsia="Times New Roman" w:hAnsi="Times New Roman"/>
          <w:sz w:val="14"/>
          <w:szCs w:val="14"/>
          <w:color w:val="auto"/>
        </w:rPr>
        <w:t xml:space="preserve">Exol was established on July 21, 2023, to build and automate supply chain networks globally by operating and financing the Company’s artificial intelligence and automation technology for the warehouse. Symbotic Holdings and Sunlight own 35% and 65% of Exol, respectively. The Company evaluated for VIEs upon the formation of Exol in accordance with ASC Topic 810, </w:t>
      </w:r>
      <w:r>
        <w:rPr>
          <w:rFonts w:ascii="Times New Roman" w:cs="Times New Roman" w:eastAsia="Times New Roman" w:hAnsi="Times New Roman"/>
          <w:sz w:val="14"/>
          <w:szCs w:val="14"/>
          <w:i w:val="1"/>
          <w:iCs w:val="1"/>
          <w:color w:val="auto"/>
        </w:rPr>
        <w:t>Consolidation</w:t>
      </w:r>
      <w:r>
        <w:rPr>
          <w:rFonts w:ascii="Times New Roman" w:cs="Times New Roman" w:eastAsia="Times New Roman" w:hAnsi="Times New Roman"/>
          <w:sz w:val="14"/>
          <w:szCs w:val="14"/>
          <w:color w:val="auto"/>
        </w:rPr>
        <w:t>. The Company holds a variable interest in Exol through its equity interest in Exol. Exol is a VIE resulting from Exol’s lack of sufficient equity to finance its operations without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additional subordinated financial support from both the Company and SoftBank. The consolidation of Exol is not required as the Company is not the primary beneficiary of this VIE as it does not have the power to direct the activities that most significantly impact Exol’s economic performance. Such power is conveyed through Exol’s board of directors and the Company does not have control over Exol’s board of directors.</w:t>
      </w:r>
    </w:p>
    <w:p>
      <w:pPr>
        <w:spacing w:after="0" w:line="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Company’s recorded investments in the unconsolidated VIE and related estimated maximum exposure to loss are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80" w:type="dxa"/>
            <w:vAlign w:val="bottom"/>
            <w:gridSpan w:val="3"/>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December 27, 2025</w:t>
            </w:r>
          </w:p>
        </w:tc>
        <w:tc>
          <w:tcPr>
            <w:tcW w:w="1340" w:type="dxa"/>
            <w:vAlign w:val="bottom"/>
          </w:tcPr>
          <w:p>
            <w:pPr>
              <w:spacing w:after="0"/>
              <w:rPr>
                <w:sz w:val="14"/>
                <w:szCs w:val="14"/>
                <w:color w:val="auto"/>
              </w:rPr>
            </w:pPr>
          </w:p>
        </w:tc>
      </w:tr>
      <w:tr>
        <w:trPr>
          <w:trHeight w:val="26"/>
        </w:trPr>
        <w:tc>
          <w:tcPr>
            <w:tcW w:w="71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r>
      <w:tr>
        <w:trPr>
          <w:trHeight w:val="158"/>
        </w:trPr>
        <w:tc>
          <w:tcPr>
            <w:tcW w:w="7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Symbotic's Maximum Exposure to</w:t>
            </w:r>
          </w:p>
        </w:tc>
      </w:tr>
      <w:tr>
        <w:trPr>
          <w:trHeight w:val="167"/>
        </w:trPr>
        <w:tc>
          <w:tcPr>
            <w:tcW w:w="7160" w:type="dxa"/>
            <w:vAlign w:val="bottom"/>
          </w:tcPr>
          <w:p>
            <w:pPr>
              <w:spacing w:after="0"/>
              <w:rPr>
                <w:sz w:val="14"/>
                <w:szCs w:val="14"/>
                <w:color w:val="auto"/>
              </w:rPr>
            </w:pPr>
          </w:p>
        </w:tc>
        <w:tc>
          <w:tcPr>
            <w:tcW w:w="210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Investments in Unconsolidated VIE</w:t>
            </w:r>
          </w:p>
        </w:tc>
        <w:tc>
          <w:tcPr>
            <w:tcW w:w="680" w:type="dxa"/>
            <w:vAlign w:val="bottom"/>
          </w:tcPr>
          <w:p>
            <w:pPr>
              <w:spacing w:after="0"/>
              <w:rPr>
                <w:sz w:val="14"/>
                <w:szCs w:val="14"/>
                <w:color w:val="auto"/>
              </w:rPr>
            </w:pPr>
          </w:p>
        </w:tc>
        <w:tc>
          <w:tcPr>
            <w:tcW w:w="1340" w:type="dxa"/>
            <w:vAlign w:val="bottom"/>
          </w:tcPr>
          <w:p>
            <w:pPr>
              <w:jc w:val="center"/>
              <w:ind w:right="593"/>
              <w:spacing w:after="0"/>
              <w:rPr>
                <w:sz w:val="20"/>
                <w:szCs w:val="20"/>
                <w:color w:val="auto"/>
              </w:rPr>
            </w:pPr>
            <w:r>
              <w:rPr>
                <w:rFonts w:ascii="Times New Roman" w:cs="Times New Roman" w:eastAsia="Times New Roman" w:hAnsi="Times New Roman"/>
                <w:sz w:val="13"/>
                <w:szCs w:val="13"/>
                <w:b w:val="1"/>
                <w:bCs w:val="1"/>
                <w:color w:val="auto"/>
                <w:w w:val="94"/>
              </w:rPr>
              <w:t>Loss</w:t>
            </w:r>
          </w:p>
        </w:tc>
      </w:tr>
      <w:tr>
        <w:trPr>
          <w:trHeight w:val="26"/>
        </w:trPr>
        <w:tc>
          <w:tcPr>
            <w:tcW w:w="71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1"/>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Exol</w:t>
            </w: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143,523</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1,521,739</w:t>
            </w:r>
          </w:p>
        </w:tc>
      </w:tr>
      <w:tr>
        <w:trPr>
          <w:trHeight w:val="32"/>
        </w:trPr>
        <w:tc>
          <w:tcPr>
            <w:tcW w:w="7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102"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4"/>
          <w:szCs w:val="14"/>
          <w:color w:val="auto"/>
        </w:rPr>
        <w:t>The Company calculated its maximum exposure to loss of $1,521.7 million while considering its equity investment in the VIE, any amounts owed to the Company for services which may have been provided, and future funding commitments of $1,522.6 million. As of December 27, 2025, there is a $143.5 million carrying value of the VIE which represents the amount which the Company has invested in the VIE, net of the Company’s proportionate share of the VIE’s net loss. The Company’s maximum exposure to loss as displayed above does not take into consideration the VIE’s commitment under the Exol Commercial Agreement to reimburse the Company in the event of a termination. If the VIE’s commitment under the Exol Commercial Agreement was taken into consideration, there would be no maximum exposure to loss presented as the VIE’s commitment under the Exol Commercial Agreement exceeds the Company’s future funding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33" w:name="page34"/>
    <w:bookmarkEnd w:id="33"/>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17. Net Income (Loss) per Share</w:t>
      </w:r>
    </w:p>
    <w:p>
      <w:pPr>
        <w:spacing w:after="0" w:line="53"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Basic earnings per share of Class A common stock is computed by dividing net income (loss) attributable to common shareholders by the weighted-average number of shares of Class A common stock outstanding during the period. Diluted earnings per share of Class A common stock is computed by dividing net income (loss) attributable to common shareholders adjusted for the assumed exchange of all potentially dilutive securities, by the weighted-average number of shares of Class A common stock outstanding adjusted to give effect to potentially dilutive elements. Since the Company incurred net loss for the three months ended December 28, 2024, diluted weighted-average shares outstanding and diluted net loss per share is the same as basic weighted-average shares outstanding and basic net loss per share.</w:t>
      </w:r>
    </w:p>
    <w:p>
      <w:pPr>
        <w:spacing w:after="0" w:line="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sets forth the calculation for both basic and diluted earnings per share of Class A common stock (in thousands, except per share information):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gridSpan w:val="4"/>
          </w:tcPr>
          <w:p>
            <w:pPr>
              <w:jc w:val="right"/>
              <w:ind w:right="790"/>
              <w:spacing w:after="0"/>
              <w:rPr>
                <w:sz w:val="20"/>
                <w:szCs w:val="20"/>
                <w:color w:val="auto"/>
              </w:rPr>
            </w:pPr>
            <w:r>
              <w:rPr>
                <w:rFonts w:ascii="Times New Roman" w:cs="Times New Roman" w:eastAsia="Times New Roman" w:hAnsi="Times New Roman"/>
                <w:sz w:val="13"/>
                <w:szCs w:val="13"/>
                <w:b w:val="1"/>
                <w:bCs w:val="1"/>
                <w:color w:val="auto"/>
              </w:rPr>
              <w:t>Three Months Ended</w:t>
            </w:r>
          </w:p>
        </w:tc>
      </w:tr>
      <w:tr>
        <w:trPr>
          <w:trHeight w:val="26"/>
        </w:trPr>
        <w:tc>
          <w:tcPr>
            <w:tcW w:w="8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67"/>
        </w:trPr>
        <w:tc>
          <w:tcPr>
            <w:tcW w:w="8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27, 2025</w:t>
            </w:r>
          </w:p>
        </w:tc>
        <w:tc>
          <w:tcPr>
            <w:tcW w:w="120" w:type="dxa"/>
            <w:vAlign w:val="bottom"/>
          </w:tcPr>
          <w:p>
            <w:pPr>
              <w:spacing w:after="0"/>
              <w:rPr>
                <w:sz w:val="14"/>
                <w:szCs w:val="14"/>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3"/>
                <w:szCs w:val="13"/>
                <w:b w:val="1"/>
                <w:bCs w:val="1"/>
                <w:color w:val="auto"/>
              </w:rPr>
              <w:t>December 28, 2024</w:t>
            </w:r>
          </w:p>
        </w:tc>
      </w:tr>
      <w:tr>
        <w:trPr>
          <w:trHeight w:val="26"/>
        </w:trPr>
        <w:tc>
          <w:tcPr>
            <w:tcW w:w="8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3"/>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(16,859)</w:t>
            </w:r>
          </w:p>
        </w:tc>
      </w:tr>
      <w:tr>
        <w:trPr>
          <w:trHeight w:val="191"/>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Net income (loss) attributable to the noncontrolling interest</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(13,684)</w:t>
            </w:r>
          </w:p>
        </w:tc>
      </w:tr>
      <w:tr>
        <w:trPr>
          <w:trHeight w:val="32"/>
        </w:trPr>
        <w:tc>
          <w:tcPr>
            <w:tcW w:w="8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3"/>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common stockholders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(3,175)</w:t>
            </w:r>
          </w:p>
        </w:tc>
      </w:tr>
      <w:tr>
        <w:trPr>
          <w:trHeight w:val="212"/>
        </w:trPr>
        <w:tc>
          <w:tcPr>
            <w:tcW w:w="8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3"/>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shares outstanding - Basic</w:t>
            </w:r>
          </w:p>
        </w:tc>
        <w:tc>
          <w:tcPr>
            <w:tcW w:w="1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115,474,119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106,098,566</w:t>
            </w:r>
          </w:p>
        </w:tc>
      </w:tr>
      <w:tr>
        <w:trPr>
          <w:trHeight w:val="191"/>
        </w:trPr>
        <w:tc>
          <w:tcPr>
            <w:tcW w:w="8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Dilutive effect of restricted stock units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12,396,119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32"/>
        </w:trPr>
        <w:tc>
          <w:tcPr>
            <w:tcW w:w="8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3"/>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shares outstanding - Diluted</w:t>
            </w:r>
          </w:p>
        </w:tc>
        <w:tc>
          <w:tcPr>
            <w:tcW w:w="1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127,870,238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106,098,566</w:t>
            </w:r>
          </w:p>
        </w:tc>
      </w:tr>
      <w:tr>
        <w:trPr>
          <w:trHeight w:val="191"/>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(loss) per share - 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r>
      <w:tr>
        <w:trPr>
          <w:trHeight w:val="32"/>
        </w:trPr>
        <w:tc>
          <w:tcPr>
            <w:tcW w:w="8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9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(loss) per share - Dilutive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r>
      <w:tr>
        <w:trPr>
          <w:trHeight w:val="32"/>
        </w:trPr>
        <w:tc>
          <w:tcPr>
            <w:tcW w:w="84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02" w:lineRule="exact"/>
        <w:rPr>
          <w:sz w:val="20"/>
          <w:szCs w:val="20"/>
          <w:color w:val="auto"/>
        </w:rPr>
      </w:pPr>
    </w:p>
    <w:p>
      <w:pPr>
        <w:ind w:right="420" w:firstLine="255"/>
        <w:spacing w:after="0" w:line="284" w:lineRule="auto"/>
        <w:rPr>
          <w:sz w:val="20"/>
          <w:szCs w:val="20"/>
          <w:color w:val="auto"/>
        </w:rPr>
      </w:pPr>
      <w:r>
        <w:rPr>
          <w:rFonts w:ascii="Times New Roman" w:cs="Times New Roman" w:eastAsia="Times New Roman" w:hAnsi="Times New Roman"/>
          <w:sz w:val="14"/>
          <w:szCs w:val="14"/>
          <w:color w:val="auto"/>
        </w:rPr>
        <w:t>The Company’s Class V-1 Common Stock and Class V-3 Common Stock do not participate in the earnings or losses of the Company and are therefore not participating securities. As such, separate presentation of basic and diluted earnings per share of Class V-1 Common Stock and Class V-3 Common Stock under the two-class method has not been presented.</w:t>
      </w:r>
    </w:p>
    <w:p>
      <w:pPr>
        <w:spacing w:after="0" w:line="1" w:lineRule="exact"/>
        <w:rPr>
          <w:sz w:val="20"/>
          <w:szCs w:val="20"/>
          <w:color w:val="auto"/>
        </w:rPr>
      </w:pPr>
    </w:p>
    <w:p>
      <w:pPr>
        <w:ind w:right="260" w:firstLine="255"/>
        <w:spacing w:after="0" w:line="284" w:lineRule="auto"/>
        <w:rPr>
          <w:sz w:val="20"/>
          <w:szCs w:val="20"/>
          <w:color w:val="auto"/>
        </w:rPr>
      </w:pPr>
      <w:r>
        <w:rPr>
          <w:rFonts w:ascii="Times New Roman" w:cs="Times New Roman" w:eastAsia="Times New Roman" w:hAnsi="Times New Roman"/>
          <w:sz w:val="14"/>
          <w:szCs w:val="14"/>
          <w:color w:val="auto"/>
        </w:rPr>
        <w:t>The Company uses the treasury stock method and the average market price per share during the period for calculating any potential dilutive effect of its equity instruments. The average stock price for the three months ended December 27, 2025 and December 28, 2024 was $65.94 and $28.49, respectively.</w:t>
      </w:r>
    </w:p>
    <w:p>
      <w:pPr>
        <w:spacing w:after="0" w:line="1" w:lineRule="exact"/>
        <w:rPr>
          <w:sz w:val="20"/>
          <w:szCs w:val="20"/>
          <w:color w:val="auto"/>
        </w:rPr>
      </w:pPr>
    </w:p>
    <w:p>
      <w:pPr>
        <w:ind w:right="180" w:firstLine="255"/>
        <w:spacing w:after="0" w:line="270" w:lineRule="auto"/>
        <w:rPr>
          <w:sz w:val="20"/>
          <w:szCs w:val="20"/>
          <w:color w:val="auto"/>
        </w:rPr>
      </w:pPr>
      <w:r>
        <w:rPr>
          <w:rFonts w:ascii="Times New Roman" w:cs="Times New Roman" w:eastAsia="Times New Roman" w:hAnsi="Times New Roman"/>
          <w:sz w:val="14"/>
          <w:szCs w:val="14"/>
          <w:color w:val="auto"/>
        </w:rPr>
        <w:t>Anti-dilutive shares were immaterial for the three months ended December 27, 2025. For the three months ended December 28, 2024, there were 4.0 million potentially dilutive common stock equivalents related to the RSUs which would have been included in the diluted EPS calculation, and 5.4 million anti-dilutive common stock equivalents related to the unvested Exol Warrant that could potentially dilute EPS in the future.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18. Stock-Based Compensation and Warrants</w:t>
      </w:r>
    </w:p>
    <w:p>
      <w:pPr>
        <w:spacing w:after="0" w:line="53" w:lineRule="exact"/>
        <w:rPr>
          <w:sz w:val="20"/>
          <w:szCs w:val="20"/>
          <w:color w:val="auto"/>
        </w:rPr>
      </w:pPr>
    </w:p>
    <w:p>
      <w:pPr>
        <w:ind w:right="500" w:firstLine="255"/>
        <w:spacing w:after="0" w:line="287" w:lineRule="auto"/>
        <w:rPr>
          <w:sz w:val="20"/>
          <w:szCs w:val="20"/>
          <w:color w:val="auto"/>
        </w:rPr>
      </w:pPr>
      <w:r>
        <w:rPr>
          <w:rFonts w:ascii="Times New Roman" w:cs="Times New Roman" w:eastAsia="Times New Roman" w:hAnsi="Times New Roman"/>
          <w:sz w:val="14"/>
          <w:szCs w:val="14"/>
          <w:color w:val="auto"/>
        </w:rPr>
        <w:t>The following two tables show stock-based compensation expense by award type and where the stock-based compensation expense is recorded in the Company’s condensed consolidated statements of operations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gridSpan w:val="4"/>
          </w:tcPr>
          <w:p>
            <w:pPr>
              <w:jc w:val="right"/>
              <w:ind w:right="1071"/>
              <w:spacing w:after="0"/>
              <w:rPr>
                <w:sz w:val="20"/>
                <w:szCs w:val="20"/>
                <w:color w:val="auto"/>
              </w:rPr>
            </w:pPr>
            <w:r>
              <w:rPr>
                <w:rFonts w:ascii="Times New Roman" w:cs="Times New Roman" w:eastAsia="Times New Roman" w:hAnsi="Times New Roman"/>
                <w:sz w:val="13"/>
                <w:szCs w:val="13"/>
                <w:b w:val="1"/>
                <w:bCs w:val="1"/>
                <w:color w:val="auto"/>
              </w:rPr>
              <w:t>Three Months Ended</w:t>
            </w:r>
          </w:p>
        </w:tc>
      </w:tr>
      <w:tr>
        <w:trPr>
          <w:trHeight w:val="26"/>
        </w:trPr>
        <w:tc>
          <w:tcPr>
            <w:tcW w:w="7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67"/>
        </w:trPr>
        <w:tc>
          <w:tcPr>
            <w:tcW w:w="7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December 27, 2025</w:t>
            </w:r>
          </w:p>
        </w:tc>
        <w:tc>
          <w:tcPr>
            <w:tcW w:w="220" w:type="dxa"/>
            <w:vAlign w:val="bottom"/>
          </w:tcPr>
          <w:p>
            <w:pPr>
              <w:spacing w:after="0"/>
              <w:rPr>
                <w:sz w:val="14"/>
                <w:szCs w:val="14"/>
                <w:color w:val="auto"/>
              </w:rPr>
            </w:pPr>
          </w:p>
        </w:tc>
        <w:tc>
          <w:tcPr>
            <w:tcW w:w="1460" w:type="dxa"/>
            <w:vAlign w:val="bottom"/>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December 28, 2024</w:t>
            </w:r>
          </w:p>
        </w:tc>
      </w:tr>
      <w:tr>
        <w:trPr>
          <w:trHeight w:val="26"/>
        </w:trPr>
        <w:tc>
          <w:tcPr>
            <w:tcW w:w="7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3"/>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RSUs (service-based and performance-based)</w:t>
            </w: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42,058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24,164</w:t>
            </w:r>
          </w:p>
        </w:tc>
      </w:tr>
      <w:tr>
        <w:trPr>
          <w:trHeight w:val="191"/>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r>
      <w:tr>
        <w:trPr>
          <w:trHeight w:val="32"/>
        </w:trPr>
        <w:tc>
          <w:tcPr>
            <w:tcW w:w="7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3"/>
        </w:trPr>
        <w:tc>
          <w:tcPr>
            <w:tcW w:w="7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43,087</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25,114</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34" w:name="page35"/>
    <w:bookmarkEnd w:id="34"/>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Effect of stock-based compensation expense on income by line item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gridSpan w:val="4"/>
          </w:tcPr>
          <w:p>
            <w:pPr>
              <w:jc w:val="right"/>
              <w:ind w:right="1070"/>
              <w:spacing w:after="0"/>
              <w:rPr>
                <w:sz w:val="20"/>
                <w:szCs w:val="20"/>
                <w:color w:val="auto"/>
              </w:rPr>
            </w:pPr>
            <w:r>
              <w:rPr>
                <w:rFonts w:ascii="Times New Roman" w:cs="Times New Roman" w:eastAsia="Times New Roman" w:hAnsi="Times New Roman"/>
                <w:sz w:val="13"/>
                <w:szCs w:val="13"/>
                <w:b w:val="1"/>
                <w:bCs w:val="1"/>
                <w:color w:val="auto"/>
              </w:rPr>
              <w:t>Three Months Ended</w:t>
            </w:r>
          </w:p>
        </w:tc>
      </w:tr>
      <w:tr>
        <w:trPr>
          <w:trHeight w:val="26"/>
        </w:trPr>
        <w:tc>
          <w:tcPr>
            <w:tcW w:w="7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67"/>
        </w:trPr>
        <w:tc>
          <w:tcPr>
            <w:tcW w:w="7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December 27, 2025</w:t>
            </w:r>
          </w:p>
        </w:tc>
        <w:tc>
          <w:tcPr>
            <w:tcW w:w="220" w:type="dxa"/>
            <w:vAlign w:val="bottom"/>
          </w:tcPr>
          <w:p>
            <w:pPr>
              <w:spacing w:after="0"/>
              <w:rPr>
                <w:sz w:val="14"/>
                <w:szCs w:val="14"/>
                <w:color w:val="auto"/>
              </w:rPr>
            </w:pPr>
          </w:p>
        </w:tc>
        <w:tc>
          <w:tcPr>
            <w:tcW w:w="1460" w:type="dxa"/>
            <w:vAlign w:val="bottom"/>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rPr>
              <w:t>December 28, 2024</w:t>
            </w:r>
          </w:p>
        </w:tc>
      </w:tr>
      <w:tr>
        <w:trPr>
          <w:trHeight w:val="26"/>
        </w:trPr>
        <w:tc>
          <w:tcPr>
            <w:tcW w:w="7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3"/>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 Systems</w:t>
            </w: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11,363</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2,319</w:t>
            </w:r>
          </w:p>
        </w:tc>
      </w:tr>
      <w:tr>
        <w:trPr>
          <w:trHeight w:val="191"/>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 Software maintenance and support</w:t>
            </w: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32"/>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3"/>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 Operation services</w:t>
            </w:r>
          </w:p>
        </w:tc>
        <w:tc>
          <w:tcPr>
            <w:tcW w:w="2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r>
      <w:tr>
        <w:trPr>
          <w:trHeight w:val="191"/>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10,242</w:t>
            </w:r>
          </w:p>
        </w:tc>
      </w:tr>
      <w:tr>
        <w:trPr>
          <w:trHeight w:val="32"/>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3"/>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23,089</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12,139</w:t>
            </w:r>
          </w:p>
        </w:tc>
      </w:tr>
      <w:tr>
        <w:trPr>
          <w:trHeight w:val="208"/>
        </w:trPr>
        <w:tc>
          <w:tcPr>
            <w:tcW w:w="7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43,087</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25,114</w:t>
            </w:r>
          </w:p>
        </w:tc>
      </w:tr>
      <w:tr>
        <w:trPr>
          <w:trHeight w:val="20"/>
        </w:trPr>
        <w:tc>
          <w:tcPr>
            <w:tcW w:w="7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Exol Warrant</w:t>
      </w:r>
    </w:p>
    <w:p>
      <w:pPr>
        <w:spacing w:after="0" w:line="53"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4"/>
          <w:szCs w:val="14"/>
          <w:color w:val="auto"/>
        </w:rPr>
        <w:t>On July 23, 2023, the Company issued the Exol Warrant to Sunlight, which allows Sunlight to acquire up to an aggregate of 11,434,360 shares of the Company’s Class A Common Stock, subject to certain vesting conditions. The Exol Warrant had a grant date fair value of $19.90 per share. The Exol Warrant vests upon conditions defined in the Exol Warrant, as Exol makes additional expenditures to the Company in connection with the Framework Agreement. There are up to eight vesting tranches in the Exol Warrant based on increments of expenditures where approximately 1,429,295 shares may vest per tranche, subject to certain conditions defined in the Exol Warrant. Upon vesting, shares may be acquired at an exercise price of $41.9719 per share. The warrant contains customary anti-dilution, down-round, and change-in-control provisions. The right to purchase shares pursuant to the Exol Warrant expires 36 months following the end of the initial term of the Framework Agreement, which is July 23, 2027, or if applicable, the extension term of the Framework Agreement, which is July 23, 2029. As of December 27, 2025, none of the shares issuable pursuant to the Exol Warrant had vested.</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19. Segment and Geographic Information</w:t>
      </w:r>
    </w:p>
    <w:p>
      <w:pPr>
        <w:spacing w:after="0" w:line="53"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4"/>
          <w:szCs w:val="14"/>
          <w:color w:val="auto"/>
        </w:rPr>
        <w:t>The Company operates as one operating segment. Operating segments are defined as components of an enterprise for which separate financial information is regularly evaluated by the Company’s chief operating decision maker (“CODM”), which is the Company’s chief executive officer, in deciding how to allocate resources and assess performance. The Company’s CODM evaluates the Company’s financial information and resources and assesses the performance of these resources on a consolidated basis. There is no expense or asset information, that are supplemental to those disclosed in these consolidated financial statements, that are regularly provided to the CODM. The allocation of resources and assessment of performance of the operating segment is based on consolidated net income (loss) and gross margin as shown in our consolidated statements of operations. The CODM considers net income (loss) and gross margin in the annual forecasting process and reviews actual results when making decisions about allocating resources. Since the Company operates as one operating segment, financial segment information, including profit or loss and asset information, can be found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35" w:name="page36"/>
    <w:bookmarkEnd w:id="35"/>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Geographic Information</w:t>
      </w:r>
    </w:p>
    <w:p>
      <w:pPr>
        <w:spacing w:after="0" w:line="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Revenue and property and equipment, net by geographic region, based on physical location of the operations recording the sale or the assets are as follows:</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Revenue by geographical region for the three months ended December 27, 2025 and December 28, 2024 are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gridSpan w:val="4"/>
          </w:tcPr>
          <w:p>
            <w:pPr>
              <w:jc w:val="right"/>
              <w:ind w:right="891"/>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0" w:type="dxa"/>
            <w:vAlign w:val="bottom"/>
          </w:tcPr>
          <w:p>
            <w:pPr>
              <w:spacing w:after="0"/>
              <w:rPr>
                <w:sz w:val="1"/>
                <w:szCs w:val="1"/>
                <w:color w:val="auto"/>
              </w:rPr>
            </w:pPr>
          </w:p>
        </w:tc>
      </w:tr>
      <w:tr>
        <w:trPr>
          <w:trHeight w:val="26"/>
        </w:trPr>
        <w:tc>
          <w:tcPr>
            <w:tcW w:w="8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8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December 27, 2025</w:t>
            </w:r>
          </w:p>
        </w:tc>
        <w:tc>
          <w:tcPr>
            <w:tcW w:w="160" w:type="dxa"/>
            <w:vAlign w:val="bottom"/>
          </w:tcPr>
          <w:p>
            <w:pPr>
              <w:spacing w:after="0"/>
              <w:rPr>
                <w:sz w:val="14"/>
                <w:szCs w:val="14"/>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0" w:type="dxa"/>
            <w:vAlign w:val="bottom"/>
          </w:tcPr>
          <w:p>
            <w:pPr>
              <w:spacing w:after="0"/>
              <w:rPr>
                <w:sz w:val="1"/>
                <w:szCs w:val="1"/>
                <w:color w:val="auto"/>
              </w:rPr>
            </w:pPr>
          </w:p>
        </w:tc>
      </w:tr>
      <w:tr>
        <w:trPr>
          <w:trHeight w:val="26"/>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605,637</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486,184</w:t>
            </w:r>
          </w:p>
        </w:tc>
        <w:tc>
          <w:tcPr>
            <w:tcW w:w="0" w:type="dxa"/>
            <w:vAlign w:val="bottom"/>
          </w:tcPr>
          <w:p>
            <w:pPr>
              <w:spacing w:after="0"/>
              <w:rPr>
                <w:sz w:val="1"/>
                <w:szCs w:val="1"/>
                <w:color w:val="auto"/>
              </w:rPr>
            </w:pPr>
          </w:p>
        </w:tc>
      </w:tr>
      <w:tr>
        <w:trPr>
          <w:trHeight w:val="191"/>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180" w:type="dxa"/>
            <w:vAlign w:val="bottom"/>
          </w:tcPr>
          <w:p>
            <w:pPr>
              <w:spacing w:after="0"/>
              <w:rPr>
                <w:sz w:val="16"/>
                <w:szCs w:val="16"/>
                <w:color w:val="auto"/>
              </w:rPr>
            </w:pPr>
          </w:p>
        </w:tc>
        <w:tc>
          <w:tcPr>
            <w:tcW w:w="138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24,348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0" w:type="dxa"/>
            <w:vAlign w:val="bottom"/>
          </w:tcPr>
          <w:p>
            <w:pPr>
              <w:spacing w:after="0"/>
              <w:rPr>
                <w:sz w:val="1"/>
                <w:szCs w:val="1"/>
                <w:color w:val="auto"/>
              </w:rPr>
            </w:pPr>
          </w:p>
        </w:tc>
      </w:tr>
      <w:tr>
        <w:trPr>
          <w:trHeight w:val="32"/>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629,985</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486,693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Percentage of revenue generated outside of the United States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1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4 %</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nil</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Total property and equipment, net by geographical region at December 27, 2025 and at September 27, 2025 are as follows (in thousands):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7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27, 2025</w:t>
            </w:r>
          </w:p>
        </w:tc>
        <w:tc>
          <w:tcPr>
            <w:tcW w:w="280" w:type="dxa"/>
            <w:vAlign w:val="bottom"/>
          </w:tcPr>
          <w:p>
            <w:pPr>
              <w:spacing w:after="0"/>
              <w:rPr>
                <w:sz w:val="14"/>
                <w:szCs w:val="14"/>
                <w:color w:val="auto"/>
              </w:rPr>
            </w:pPr>
          </w:p>
        </w:tc>
        <w:tc>
          <w:tcPr>
            <w:tcW w:w="1740" w:type="dxa"/>
            <w:vAlign w:val="bottom"/>
          </w:tcPr>
          <w:p>
            <w:pPr>
              <w:jc w:val="right"/>
              <w:ind w:right="411"/>
              <w:spacing w:after="0"/>
              <w:rPr>
                <w:sz w:val="20"/>
                <w:szCs w:val="20"/>
                <w:color w:val="auto"/>
              </w:rPr>
            </w:pPr>
            <w:r>
              <w:rPr>
                <w:rFonts w:ascii="Times New Roman" w:cs="Times New Roman" w:eastAsia="Times New Roman" w:hAnsi="Times New Roman"/>
                <w:sz w:val="13"/>
                <w:szCs w:val="13"/>
                <w:b w:val="1"/>
                <w:bCs w:val="1"/>
                <w:color w:val="auto"/>
              </w:rPr>
              <w:t>September 27, 2025</w:t>
            </w:r>
          </w:p>
        </w:tc>
        <w:tc>
          <w:tcPr>
            <w:tcW w:w="0" w:type="dxa"/>
            <w:vAlign w:val="bottom"/>
          </w:tcPr>
          <w:p>
            <w:pPr>
              <w:spacing w:after="0"/>
              <w:rPr>
                <w:sz w:val="1"/>
                <w:szCs w:val="1"/>
                <w:color w:val="auto"/>
              </w:rPr>
            </w:pPr>
          </w:p>
        </w:tc>
      </w:tr>
      <w:tr>
        <w:trPr>
          <w:trHeight w:val="26"/>
        </w:trPr>
        <w:tc>
          <w:tcPr>
            <w:tcW w:w="7140" w:type="dxa"/>
            <w:vAlign w:val="bottom"/>
            <w:tcBorders>
              <w:bottom w:val="single" w:sz="8" w:color="CCEC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14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280" w:type="dxa"/>
            <w:vAlign w:val="bottom"/>
            <w:tcBorders>
              <w:bottom w:val="single" w:sz="8" w:color="CCECFF"/>
            </w:tcBorders>
            <w:shd w:val="clear" w:color="auto" w:fill="CCEC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115,694</w:t>
            </w:r>
          </w:p>
        </w:tc>
        <w:tc>
          <w:tcPr>
            <w:tcW w:w="80" w:type="dxa"/>
            <w:vAlign w:val="bottom"/>
            <w:tcBorders>
              <w:bottom w:val="single" w:sz="8" w:color="CCECFF"/>
            </w:tcBorders>
            <w:shd w:val="clear" w:color="auto" w:fill="CCECFF"/>
          </w:tcPr>
          <w:p>
            <w:pPr>
              <w:spacing w:after="0"/>
              <w:rPr>
                <w:sz w:val="16"/>
                <w:szCs w:val="16"/>
                <w:color w:val="auto"/>
              </w:rPr>
            </w:pPr>
          </w:p>
        </w:tc>
        <w:tc>
          <w:tcPr>
            <w:tcW w:w="280" w:type="dxa"/>
            <w:vAlign w:val="bottom"/>
            <w:tcBorders>
              <w:bottom w:val="single" w:sz="8" w:color="CCECFF"/>
            </w:tcBorders>
            <w:shd w:val="clear" w:color="auto" w:fill="CCEC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117,640</w:t>
            </w:r>
          </w:p>
        </w:tc>
        <w:tc>
          <w:tcPr>
            <w:tcW w:w="0" w:type="dxa"/>
            <w:vAlign w:val="bottom"/>
          </w:tcPr>
          <w:p>
            <w:pPr>
              <w:spacing w:after="0"/>
              <w:rPr>
                <w:sz w:val="1"/>
                <w:szCs w:val="1"/>
                <w:color w:val="auto"/>
              </w:rPr>
            </w:pPr>
          </w:p>
        </w:tc>
      </w:tr>
      <w:tr>
        <w:trPr>
          <w:trHeight w:val="191"/>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International</w:t>
            </w:r>
          </w:p>
        </w:tc>
        <w:tc>
          <w:tcPr>
            <w:tcW w:w="2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32"/>
        </w:trPr>
        <w:tc>
          <w:tcPr>
            <w:tcW w:w="7140" w:type="dxa"/>
            <w:vAlign w:val="bottom"/>
            <w:tcBorders>
              <w:bottom w:val="single" w:sz="8" w:color="CCEC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714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4"/>
                <w:szCs w:val="14"/>
                <w:color w:val="auto"/>
              </w:rPr>
              <w:t>Total property and equipment, net</w:t>
            </w:r>
          </w:p>
        </w:tc>
        <w:tc>
          <w:tcPr>
            <w:tcW w:w="280" w:type="dxa"/>
            <w:vAlign w:val="bottom"/>
            <w:tcBorders>
              <w:bottom w:val="single" w:sz="8" w:color="CCECFF"/>
            </w:tcBorders>
            <w:shd w:val="clear" w:color="auto" w:fill="CCEC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115,700</w:t>
            </w:r>
          </w:p>
        </w:tc>
        <w:tc>
          <w:tcPr>
            <w:tcW w:w="80" w:type="dxa"/>
            <w:vAlign w:val="bottom"/>
            <w:tcBorders>
              <w:bottom w:val="single" w:sz="8" w:color="CCECFF"/>
            </w:tcBorders>
            <w:shd w:val="clear" w:color="auto" w:fill="CCECFF"/>
          </w:tcPr>
          <w:p>
            <w:pPr>
              <w:spacing w:after="0"/>
              <w:rPr>
                <w:sz w:val="20"/>
                <w:szCs w:val="20"/>
                <w:color w:val="auto"/>
              </w:rPr>
            </w:pPr>
          </w:p>
        </w:tc>
        <w:tc>
          <w:tcPr>
            <w:tcW w:w="280" w:type="dxa"/>
            <w:vAlign w:val="bottom"/>
            <w:tcBorders>
              <w:bottom w:val="single" w:sz="8" w:color="CCECFF"/>
            </w:tcBorders>
            <w:shd w:val="clear" w:color="auto" w:fill="CCEC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117,649</w:t>
            </w:r>
          </w:p>
        </w:tc>
        <w:tc>
          <w:tcPr>
            <w:tcW w:w="0" w:type="dxa"/>
            <w:vAlign w:val="bottom"/>
          </w:tcPr>
          <w:p>
            <w:pPr>
              <w:spacing w:after="0"/>
              <w:rPr>
                <w:sz w:val="1"/>
                <w:szCs w:val="1"/>
                <w:color w:val="auto"/>
              </w:rPr>
            </w:pPr>
          </w:p>
        </w:tc>
      </w:tr>
      <w:tr>
        <w:trPr>
          <w:trHeight w:val="20"/>
        </w:trPr>
        <w:tc>
          <w:tcPr>
            <w:tcW w:w="7140" w:type="dxa"/>
            <w:vAlign w:val="bottom"/>
            <w:tcBorders>
              <w:top w:val="single" w:sz="8" w:color="CCECFF"/>
              <w:bottom w:val="single" w:sz="8" w:color="CCECFF"/>
            </w:tcBorders>
            <w:vMerge w:val="restart"/>
          </w:tcPr>
          <w:p>
            <w:pPr>
              <w:spacing w:after="0"/>
              <w:rPr>
                <w:sz w:val="20"/>
                <w:szCs w:val="20"/>
                <w:color w:val="auto"/>
              </w:rPr>
            </w:pPr>
            <w:r>
              <w:rPr>
                <w:rFonts w:ascii="Times New Roman" w:cs="Times New Roman" w:eastAsia="Times New Roman" w:hAnsi="Times New Roman"/>
                <w:sz w:val="14"/>
                <w:szCs w:val="14"/>
                <w:color w:val="auto"/>
              </w:rPr>
              <w:t>Percentage of property and equipment, net held outside of the United States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1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820" w:type="dxa"/>
            <w:vAlign w:val="bottom"/>
            <w:gridSpan w:val="2"/>
          </w:tcPr>
          <w:p>
            <w:pPr>
              <w:ind w:left="1560"/>
              <w:spacing w:after="0" w:line="153" w:lineRule="exact"/>
              <w:rPr>
                <w:sz w:val="20"/>
                <w:szCs w:val="20"/>
                <w:color w:val="auto"/>
              </w:rPr>
            </w:pPr>
            <w:r>
              <w:rPr>
                <w:rFonts w:ascii="Times New Roman" w:cs="Times New Roman" w:eastAsia="Times New Roman" w:hAnsi="Times New Roman"/>
                <w:sz w:val="14"/>
                <w:szCs w:val="14"/>
                <w:color w:val="auto"/>
              </w:rPr>
              <w:t>nil</w:t>
            </w:r>
          </w:p>
        </w:tc>
        <w:tc>
          <w:tcPr>
            <w:tcW w:w="280" w:type="dxa"/>
            <w:vAlign w:val="bottom"/>
          </w:tcPr>
          <w:p>
            <w:pPr>
              <w:spacing w:after="0"/>
              <w:rPr>
                <w:sz w:val="13"/>
                <w:szCs w:val="13"/>
                <w:color w:val="auto"/>
              </w:rPr>
            </w:pPr>
          </w:p>
        </w:tc>
        <w:tc>
          <w:tcPr>
            <w:tcW w:w="17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nil</w:t>
            </w: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 Subsequent Events</w:t>
      </w:r>
    </w:p>
    <w:p>
      <w:pPr>
        <w:spacing w:after="0" w:line="53"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The Company evaluated subsequent events and transactions that occurred after the balance sheet date up to the date that the consolidated financial statements were issued. The Company did not identify any subsequent events that would have required adjustment or disclosure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36" w:name="page37"/>
    <w:bookmarkEnd w:id="36"/>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47" w:lineRule="exact"/>
        <w:rPr>
          <w:sz w:val="20"/>
          <w:szCs w:val="20"/>
          <w:color w:val="auto"/>
        </w:rPr>
      </w:pPr>
    </w:p>
    <w:p>
      <w:pPr>
        <w:ind w:right="180" w:firstLine="361"/>
        <w:spacing w:after="0" w:line="260"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should be read in conjunction with our unaudited condensed consolidated financial statements and related notes thereto appearing elsewhere in this Quarterly Report on Form 10-Q and our audited consolidated financial statements and related notes thereto as of and for the year ended September 27, 2025, as included within our Annual Report on Form 10-K, as filed with the Securities and Exchange Commission on November 24, 2025. As discussed in the section titled “Cautionary Note on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96" w:lineRule="exact"/>
        <w:rPr>
          <w:sz w:val="20"/>
          <w:szCs w:val="20"/>
          <w:color w:val="auto"/>
        </w:rPr>
      </w:pPr>
    </w:p>
    <w:p>
      <w:pPr>
        <w:ind w:right="40" w:firstLine="255"/>
        <w:spacing w:after="0" w:line="284" w:lineRule="auto"/>
        <w:rPr>
          <w:sz w:val="20"/>
          <w:szCs w:val="20"/>
          <w:color w:val="auto"/>
        </w:rPr>
      </w:pPr>
      <w:r>
        <w:rPr>
          <w:rFonts w:ascii="Times New Roman" w:cs="Times New Roman" w:eastAsia="Times New Roman" w:hAnsi="Times New Roman"/>
          <w:sz w:val="14"/>
          <w:szCs w:val="14"/>
          <w:color w:val="auto"/>
        </w:rPr>
        <w:t>Our vision is to make the supply chain work better for everyone. We do this by developing, commercializing, and deploying innovative and comprehensive technology solutions that dramatically improve supply chain operations. We automate the processing of pallets, cases and items (known as eaches) in warehouses.</w:t>
      </w:r>
    </w:p>
    <w:p>
      <w:pPr>
        <w:spacing w:after="0" w:line="1" w:lineRule="exact"/>
        <w:rPr>
          <w:sz w:val="20"/>
          <w:szCs w:val="20"/>
          <w:color w:val="auto"/>
        </w:rPr>
      </w:pPr>
    </w:p>
    <w:p>
      <w:pPr>
        <w:jc w:val="both"/>
        <w:ind w:right="360" w:firstLine="255"/>
        <w:spacing w:after="0" w:line="264" w:lineRule="auto"/>
        <w:rPr>
          <w:sz w:val="20"/>
          <w:szCs w:val="20"/>
          <w:color w:val="auto"/>
        </w:rPr>
      </w:pPr>
      <w:r>
        <w:rPr>
          <w:rFonts w:ascii="Times New Roman" w:cs="Times New Roman" w:eastAsia="Times New Roman" w:hAnsi="Times New Roman"/>
          <w:sz w:val="14"/>
          <w:szCs w:val="14"/>
          <w:color w:val="auto"/>
        </w:rPr>
        <w:t>Our robotic based automation systems, which include hardware and essential software, move, store and sort cases and eaches in warehouses. Our systems are operational in a number of the world’s largest retailers, including Walmart, wholesale distributors, including C&amp;S Wholesale Grocers, and are being deployed in GreenBox Systems LLC, which is now doing business as Exol (“Exol”), our warehouse-as-a-service joint venture. We have spent significant time working closely with our customers to develop, test and refine our technology. We have approximately $22.3 billion of backlog as of December 27, 2025, of which our agreements with Walmart and Exol comprise the vast majority.</w:t>
      </w:r>
    </w:p>
    <w:p>
      <w:pPr>
        <w:spacing w:after="0" w:line="1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have devoted significant funds and resources to date in developing and diversifying our systems and related applications. Our systems are designed to increase efficiency, speed and flexibility of the supply chain by using proprietary robotics and A.I.-powered software for the movement and storage of goods. Our intellectual property is protected by a portfolio of approximately 1,100 issued and/or pending patents.</w:t>
      </w:r>
    </w:p>
    <w:p>
      <w:pPr>
        <w:spacing w:after="0" w:line="8"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4"/>
          <w:szCs w:val="14"/>
          <w:color w:val="auto"/>
        </w:rPr>
        <w:t>We believe that the global supply chain has reached a point of critical stress, driving an inflection in demand for intelligent and scalable automation. As consumer buying habits change, the labor market shifts, and cost of living wages increase, the demand on warehouse workers is becoming overly burdensome. Manual operations are becoming unsustainable and older automation systems are not capable of optimally satisfying modern operational needs. The dramatic growth in e-commerce has increased supply chain complexity by putting pressure on retailers to support multiple sales channels and orders of eaches in addition to cases and pallets. Meanwhile, consumer expectations have evolved to demand a larger variety of items to be delivered quickly and seamlessly. This has placed significant strain on the traditional supply chain and the people who support it. We help our customers thrive in this increasingly challenging environment.</w:t>
      </w:r>
    </w:p>
    <w:p>
      <w:pPr>
        <w:spacing w:after="0" w:line="1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January 2025, we acquired the Advanced Systems and Robotics (“ASR”) business from Walmart and signed a Master Automation Agreement that provides for the development, manufacture and installation of automated systems for online pickup and delivery at Walmart retail stores (“2025 Walmart MAA”). This acquisition added a new product category for us to address the opportunity for automated fulfillment of customer orders at the local and store level, which supports the growth of e-commerce. Under the 2025 Walmart MAA, as of December 27, 2025, we are operating several micro-fulfillment systems, which we will continue to support. We are in the process of developing an advanced micro-fulfillment system for future deployments.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Components of Consolidated Statements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w:t>
      </w:r>
    </w:p>
    <w:p>
      <w:pPr>
        <w:spacing w:after="0" w:line="53"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We generate revenue through our design and installation of supply chain automation systems to automate customers’ depalletizing, storage, selection, and palletization warehousing processes (“System”). The Systems have both a hardware component and an essential software component that enables the Systems to be programmed to operate within specific customer environments. We enter into contracts with customers that can include various combinations of services to design and install the Systems. These services are generally distinct and accounted for as separate performance obligations. As a result, each customer contract may contain multiple performance obligations. We determine whether performance obligations are distinct based on whether the customer can benefit from the good or service on its own or together with other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37" w:name="page38"/>
    <w:bookmarkEnd w:id="37"/>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that are readily available and whether our commitment to provide the goods or services to the customer is separately identifiable from other promises in the contract.</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have identified the following distinct performance obligations in our contracts with customers:</w:t>
      </w:r>
    </w:p>
    <w:p>
      <w:pPr>
        <w:spacing w:after="0" w:line="51"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u w:val="single" w:color="auto"/>
          <w:color w:val="auto"/>
        </w:rPr>
        <w:t>Systems</w:t>
      </w:r>
      <w:r>
        <w:rPr>
          <w:rFonts w:ascii="Times New Roman" w:cs="Times New Roman" w:eastAsia="Times New Roman" w:hAnsi="Times New Roman"/>
          <w:sz w:val="14"/>
          <w:szCs w:val="14"/>
          <w:color w:val="auto"/>
        </w:rPr>
        <w:t>: We design, assemble, and install Systems and perform configuration of essential software. Systems include the delivery of hardware and an essential software component, sold as either a perpetual or term-based on-premise license, that automate our customers’ depalletizing, storage, selection, and palletization warehousing processes. The hardware and essential software are each not capable of being distinct because our customers cannot benefit from the hardware or software on their own. Accordingly, they are treated as a single performance obligation. Fees for Systems are typically either cost-plus fixed fee amounts, fixed, or in certain cases, subject to a capped cost amount that are due based on the achievement of a variety of milestones beginning at contract inception through final acceptance. The substantial majority of our software is sold as a perpetual on-premise license, however, we do sell an immaterial amount of term-based on-premise licenses.</w:t>
      </w:r>
    </w:p>
    <w:p>
      <w:pPr>
        <w:spacing w:after="0" w:line="16" w:lineRule="exact"/>
        <w:rPr>
          <w:sz w:val="20"/>
          <w:szCs w:val="20"/>
          <w:color w:val="auto"/>
        </w:rPr>
      </w:pPr>
    </w:p>
    <w:p>
      <w:pPr>
        <w:ind w:right="200" w:firstLine="255"/>
        <w:spacing w:after="0" w:line="270" w:lineRule="auto"/>
        <w:rPr>
          <w:sz w:val="20"/>
          <w:szCs w:val="20"/>
          <w:color w:val="auto"/>
        </w:rPr>
      </w:pPr>
      <w:r>
        <w:rPr>
          <w:rFonts w:ascii="Times New Roman" w:cs="Times New Roman" w:eastAsia="Times New Roman" w:hAnsi="Times New Roman"/>
          <w:sz w:val="14"/>
          <w:szCs w:val="14"/>
          <w:color w:val="auto"/>
        </w:rPr>
        <w:t>The key metrics which describe our System from commencement to completion are as follows: (1) “Start” is defined as when we sign a Statement of Work (“SOW”) with a customer; (2) “Deployment” is defined as the period of time following the signed SOW until the acceptance of the System; and (3) “Operational” is defined as achieving acceptance of a System. The majority of Systems revenue occurs during Deployment, and once a System is Operational, software maintenance and support begins.</w:t>
      </w:r>
    </w:p>
    <w:p>
      <w:pPr>
        <w:spacing w:after="0" w:line="8" w:lineRule="exact"/>
        <w:rPr>
          <w:sz w:val="20"/>
          <w:szCs w:val="20"/>
          <w:color w:val="auto"/>
        </w:rPr>
      </w:pPr>
    </w:p>
    <w:p>
      <w:pPr>
        <w:jc w:val="both"/>
        <w:ind w:right="100" w:firstLine="255"/>
        <w:spacing w:after="0" w:line="270" w:lineRule="auto"/>
        <w:rPr>
          <w:sz w:val="20"/>
          <w:szCs w:val="20"/>
          <w:color w:val="auto"/>
        </w:rPr>
      </w:pPr>
      <w:r>
        <w:rPr>
          <w:rFonts w:ascii="Times New Roman" w:cs="Times New Roman" w:eastAsia="Times New Roman" w:hAnsi="Times New Roman"/>
          <w:sz w:val="14"/>
          <w:szCs w:val="14"/>
          <w:u w:val="single" w:color="auto"/>
          <w:color w:val="auto"/>
        </w:rPr>
        <w:t>Software Maintenance and Support</w:t>
      </w:r>
      <w:r>
        <w:rPr>
          <w:rFonts w:ascii="Times New Roman" w:cs="Times New Roman" w:eastAsia="Times New Roman" w:hAnsi="Times New Roman"/>
          <w:sz w:val="14"/>
          <w:szCs w:val="14"/>
          <w:color w:val="auto"/>
        </w:rPr>
        <w:t>: “Software Maintenance and Support” is defined as support services that provide our customers with technical support, updates, and upgrades to the software license. Fees for Software Maintenance and Support are typically payable in advance on a quarterly, or annual basis over the term of the Software Maintenance and Support contract, which term can range from one to 15 years, but for a substantial majority of our Software Maintenance and Support contracts is 15 years.</w:t>
      </w:r>
    </w:p>
    <w:p>
      <w:pPr>
        <w:spacing w:after="0" w:line="8" w:lineRule="exact"/>
        <w:rPr>
          <w:sz w:val="20"/>
          <w:szCs w:val="20"/>
          <w:color w:val="auto"/>
        </w:rPr>
      </w:pPr>
    </w:p>
    <w:p>
      <w:pPr>
        <w:jc w:val="both"/>
        <w:ind w:right="20" w:firstLine="255"/>
        <w:spacing w:after="0" w:line="270" w:lineRule="auto"/>
        <w:rPr>
          <w:sz w:val="20"/>
          <w:szCs w:val="20"/>
          <w:color w:val="auto"/>
        </w:rPr>
      </w:pPr>
      <w:r>
        <w:rPr>
          <w:rFonts w:ascii="Times New Roman" w:cs="Times New Roman" w:eastAsia="Times New Roman" w:hAnsi="Times New Roman"/>
          <w:sz w:val="14"/>
          <w:szCs w:val="14"/>
          <w:u w:val="single" w:color="auto"/>
          <w:color w:val="auto"/>
        </w:rPr>
        <w:t>Operation Services</w:t>
      </w:r>
      <w:r>
        <w:rPr>
          <w:rFonts w:ascii="Times New Roman" w:cs="Times New Roman" w:eastAsia="Times New Roman" w:hAnsi="Times New Roman"/>
          <w:sz w:val="14"/>
          <w:szCs w:val="14"/>
          <w:color w:val="auto"/>
        </w:rPr>
        <w:t>: “Operation Services” is defined as assistance services, which can range from training services to managed services to on-site services we provide our customers operating the System and ensuring user experience is optimized for efficiency and effectiveness. Fees for Operation Services are typically invoiced to our customers on a time and materials basis monthly in arrears or using a fixed fee structure. Also included in Operation Services is revenue generated from the sales of spare parts to our customers as needed to service their System.</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Cost of Revenue</w:t>
      </w:r>
    </w:p>
    <w:p>
      <w:pPr>
        <w:spacing w:after="0" w:line="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cost of revenue is composed of the following for each of our distinct performance obligations:</w:t>
      </w:r>
    </w:p>
    <w:p>
      <w:pPr>
        <w:spacing w:after="0" w:line="51"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u w:val="single" w:color="auto"/>
          <w:color w:val="auto"/>
        </w:rPr>
        <w:t>Systems</w:t>
      </w:r>
      <w:r>
        <w:rPr>
          <w:rFonts w:ascii="Times New Roman" w:cs="Times New Roman" w:eastAsia="Times New Roman" w:hAnsi="Times New Roman"/>
          <w:sz w:val="14"/>
          <w:szCs w:val="14"/>
          <w:color w:val="auto"/>
        </w:rPr>
        <w:t>: Systems cost of revenue consists primarily of material and labor consumed in the production and installation of Systems, as well as depreciation expense. The design, assembly, and installation of a System includes substantive customer-specified acceptance criteria that allow the customer to accept or reject Systems that do not meet the customer’s specifications. When we cannot objectively determine that acceptance criteria will be met upon contract inception, cost of revenue relating to Systems is deferred and expensed at a point in time upon final acceptance from the customer. If acceptance criteria can be reasonably certain upon contract inception, Systems cost of revenue is expensed as incurred.</w:t>
      </w:r>
    </w:p>
    <w:p>
      <w:pPr>
        <w:spacing w:after="0" w:line="13" w:lineRule="exact"/>
        <w:rPr>
          <w:sz w:val="20"/>
          <w:szCs w:val="20"/>
          <w:color w:val="auto"/>
        </w:rPr>
      </w:pPr>
    </w:p>
    <w:p>
      <w:pPr>
        <w:ind w:right="440" w:firstLine="255"/>
        <w:spacing w:after="0" w:line="284" w:lineRule="auto"/>
        <w:rPr>
          <w:sz w:val="20"/>
          <w:szCs w:val="20"/>
          <w:color w:val="auto"/>
        </w:rPr>
      </w:pPr>
      <w:r>
        <w:rPr>
          <w:rFonts w:ascii="Times New Roman" w:cs="Times New Roman" w:eastAsia="Times New Roman" w:hAnsi="Times New Roman"/>
          <w:sz w:val="14"/>
          <w:szCs w:val="14"/>
          <w:u w:val="single" w:color="auto"/>
          <w:color w:val="auto"/>
        </w:rPr>
        <w:t>Software Maintenance and Support</w:t>
      </w:r>
      <w:r>
        <w:rPr>
          <w:rFonts w:ascii="Times New Roman" w:cs="Times New Roman" w:eastAsia="Times New Roman" w:hAnsi="Times New Roman"/>
          <w:sz w:val="14"/>
          <w:szCs w:val="14"/>
          <w:color w:val="auto"/>
        </w:rPr>
        <w:t>: Cost of revenue attributable to Software Maintenance and Support primarily relates to labor cost for our maintenance team providing routine technical support, and maintenance updates and upgrades to our customers. Software Maintenance and Support cost of revenue is expensed as incurred.</w:t>
      </w:r>
    </w:p>
    <w:p>
      <w:pPr>
        <w:spacing w:after="0" w:line="1" w:lineRule="exact"/>
        <w:rPr>
          <w:sz w:val="20"/>
          <w:szCs w:val="20"/>
          <w:color w:val="auto"/>
        </w:rPr>
      </w:pPr>
    </w:p>
    <w:p>
      <w:pPr>
        <w:ind w:right="120" w:firstLine="255"/>
        <w:spacing w:after="0" w:line="287" w:lineRule="auto"/>
        <w:rPr>
          <w:sz w:val="20"/>
          <w:szCs w:val="20"/>
          <w:color w:val="auto"/>
        </w:rPr>
      </w:pPr>
      <w:r>
        <w:rPr>
          <w:rFonts w:ascii="Times New Roman" w:cs="Times New Roman" w:eastAsia="Times New Roman" w:hAnsi="Times New Roman"/>
          <w:sz w:val="14"/>
          <w:szCs w:val="14"/>
          <w:u w:val="single" w:color="auto"/>
          <w:color w:val="auto"/>
        </w:rPr>
        <w:t>Operation Services</w:t>
      </w:r>
      <w:r>
        <w:rPr>
          <w:rFonts w:ascii="Times New Roman" w:cs="Times New Roman" w:eastAsia="Times New Roman" w:hAnsi="Times New Roman"/>
          <w:sz w:val="14"/>
          <w:szCs w:val="14"/>
          <w:color w:val="auto"/>
        </w:rPr>
        <w:t>: Operation Services cost of revenue consists primarily of labor cost for our operations team who is providing assistance services to our customers. Operation Services cost of revenue also includes the cost of spare parts sold to our customers as needed to service their System. Operation Services cost of revenue is expensed as incurred.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53" w:lineRule="exact"/>
        <w:rPr>
          <w:sz w:val="20"/>
          <w:szCs w:val="20"/>
          <w:color w:val="auto"/>
        </w:rPr>
      </w:pPr>
    </w:p>
    <w:p>
      <w:pPr>
        <w:ind w:right="260" w:firstLine="255"/>
        <w:spacing w:after="0" w:line="287" w:lineRule="auto"/>
        <w:rPr>
          <w:sz w:val="20"/>
          <w:szCs w:val="20"/>
          <w:color w:val="auto"/>
        </w:rPr>
      </w:pPr>
      <w:r>
        <w:rPr>
          <w:rFonts w:ascii="Times New Roman" w:cs="Times New Roman" w:eastAsia="Times New Roman" w:hAnsi="Times New Roman"/>
          <w:sz w:val="14"/>
          <w:szCs w:val="14"/>
          <w:color w:val="auto"/>
        </w:rPr>
        <w:t>Costs incurred in the research and development of our products are expensed as incurred. Research and development costs include personnel, contracted services, materials, and indirect costs involved in the design and development of new products and services, as well as depreciation expense.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Selling, General, and Administrative</w:t>
      </w:r>
    </w:p>
    <w:p>
      <w:pPr>
        <w:spacing w:after="0" w:line="53"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Selling, general, and administrative expenses include all costs that are not directly related to satisfaction of customer contracts or research and development. Selling, general, and administrative expenses include items for our selling and administrative functions, such as sales, finance, legal, human resources, and information technology support. These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38" w:name="page39"/>
    <w:bookmarkEnd w:id="38"/>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include costs for items such as salaries and benefits and other personnel-related costs, maintenance and supplies, professional fees for external legal, accounting, and other consulting services, intangible asset amortization, and depreciation expense.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Restructuring Charges</w:t>
      </w:r>
    </w:p>
    <w:p>
      <w:pPr>
        <w:spacing w:after="0" w:line="53"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Restructuring charges are costs associated with restructuring plans and are primarily related to employee severance and benefit arrangements, lower of cost and net realizable value adjustments to inventory and long-lived assets that will no longer be used in operations, and termination fees for any contracts cancelled as part of the restructuring plans.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Income (Expense), Net</w:t>
      </w:r>
    </w:p>
    <w:p>
      <w:pPr>
        <w:spacing w:after="0" w:line="53"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Other income (expense), net primarily consists of dividend and interest income earned on our money market accounts and the impact of foreign currency transaction gains and losses associated with monetary assets and liabilities.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Taxes</w:t>
      </w:r>
    </w:p>
    <w:p>
      <w:pPr>
        <w:spacing w:after="0" w:line="53"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We are subject to U.S. federal income taxes, in addition to state and local income taxes, with respect to our allocable share of any taxable income or loss of Symbotic Holdings LLC. We also have foreign subsidiaries which are subject to income tax in their local jurisdictions.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 for the Three Months Ended December 27, 2025 and December 28, 2024</w:t>
      </w:r>
    </w:p>
    <w:p>
      <w:pPr>
        <w:spacing w:after="0" w:line="96"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The following tables set forth our results of operations for the periods presented and as a percentage of our total revenue for those periods. The data has been derived from the unaudited condensed consolidated financial statements contained in this Quarterly Report on Form 10-Q which include, in our opinion, all adjustments, consisting only of normal recurring adjustments, that we consider necessary for a fair statement of the financial position and results of operations for the interim periods presented. The period-to-period comparison of financial results is not necessarily indicative of financial results to be achieved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39" w:name="page40"/>
    <w:bookmarkEnd w:id="39"/>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gridSpan w:val="4"/>
          </w:tcPr>
          <w:p>
            <w:pPr>
              <w:jc w:val="right"/>
              <w:ind w:right="63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r>
      <w:tr>
        <w:trPr>
          <w:trHeight w:val="26"/>
        </w:trPr>
        <w:tc>
          <w:tcPr>
            <w:tcW w:w="8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67"/>
        </w:trPr>
        <w:tc>
          <w:tcPr>
            <w:tcW w:w="8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27, 2025</w:t>
            </w:r>
          </w:p>
        </w:tc>
        <w:tc>
          <w:tcPr>
            <w:tcW w:w="160" w:type="dxa"/>
            <w:vAlign w:val="bottom"/>
          </w:tcPr>
          <w:p>
            <w:pPr>
              <w:spacing w:after="0"/>
              <w:rPr>
                <w:sz w:val="14"/>
                <w:szCs w:val="14"/>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December 28, 2024</w:t>
            </w:r>
          </w:p>
        </w:tc>
      </w:tr>
      <w:tr>
        <w:trPr>
          <w:trHeight w:val="26"/>
        </w:trPr>
        <w:tc>
          <w:tcPr>
            <w:tcW w:w="8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167"/>
        </w:trPr>
        <w:tc>
          <w:tcPr>
            <w:tcW w:w="8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gridSpan w:val="4"/>
          </w:tcPr>
          <w:p>
            <w:pPr>
              <w:jc w:val="right"/>
              <w:ind w:right="1070"/>
              <w:spacing w:after="0"/>
              <w:rPr>
                <w:sz w:val="20"/>
                <w:szCs w:val="20"/>
                <w:color w:val="auto"/>
              </w:rPr>
            </w:pPr>
            <w:r>
              <w:rPr>
                <w:rFonts w:ascii="Times New Roman" w:cs="Times New Roman" w:eastAsia="Times New Roman" w:hAnsi="Times New Roman"/>
                <w:sz w:val="13"/>
                <w:szCs w:val="13"/>
                <w:color w:val="auto"/>
              </w:rPr>
              <w:t>(in thousands)</w:t>
            </w:r>
          </w:p>
        </w:tc>
      </w:tr>
      <w:tr>
        <w:trPr>
          <w:trHeight w:val="26"/>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Revenue:</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r>
      <w:tr>
        <w:trPr>
          <w:trHeight w:val="191"/>
        </w:trPr>
        <w:tc>
          <w:tcPr>
            <w:tcW w:w="8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Systems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590,292</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464,059</w:t>
            </w: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8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Software maintenance and support</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5,525</w:t>
            </w:r>
          </w:p>
        </w:tc>
      </w:tr>
      <w:tr>
        <w:trPr>
          <w:trHeight w:val="191"/>
        </w:trPr>
        <w:tc>
          <w:tcPr>
            <w:tcW w:w="8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Operation services</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28,808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17,109</w:t>
            </w:r>
          </w:p>
        </w:tc>
      </w:tr>
      <w:tr>
        <w:trPr>
          <w:trHeight w:val="32"/>
        </w:trPr>
        <w:tc>
          <w:tcPr>
            <w:tcW w:w="8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3"/>
        </w:trPr>
        <w:tc>
          <w:tcPr>
            <w:tcW w:w="83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 revenue</w:t>
            </w:r>
          </w:p>
        </w:tc>
        <w:tc>
          <w:tcPr>
            <w:tcW w:w="1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629,985</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486,693</w:t>
            </w:r>
          </w:p>
        </w:tc>
      </w:tr>
      <w:tr>
        <w:trPr>
          <w:trHeight w:val="19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Cost of revenue:</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8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Systems</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469,873</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380,990</w:t>
            </w:r>
          </w:p>
        </w:tc>
      </w:tr>
      <w:tr>
        <w:trPr>
          <w:trHeight w:val="191"/>
        </w:trPr>
        <w:tc>
          <w:tcPr>
            <w:tcW w:w="8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Software maintenance and support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1,858</w:t>
            </w: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8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Operation services</w:t>
            </w: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23,734</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22,829</w:t>
            </w:r>
          </w:p>
        </w:tc>
      </w:tr>
      <w:tr>
        <w:trPr>
          <w:trHeight w:val="181"/>
        </w:trPr>
        <w:tc>
          <w:tcPr>
            <w:tcW w:w="83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Total cost of revenue</w:t>
            </w: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496,561</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405,677</w:t>
            </w:r>
          </w:p>
        </w:tc>
      </w:tr>
      <w:tr>
        <w:trPr>
          <w:trHeight w:val="32"/>
        </w:trPr>
        <w:tc>
          <w:tcPr>
            <w:tcW w:w="8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3"/>
        </w:trPr>
        <w:tc>
          <w:tcPr>
            <w:tcW w:w="8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Gross profit</w:t>
            </w: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133,424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81,016</w:t>
            </w:r>
          </w:p>
        </w:tc>
      </w:tr>
      <w:tr>
        <w:trPr>
          <w:trHeight w:val="17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Operating expenses:</w:t>
            </w: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8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43,006</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43,279</w:t>
            </w:r>
          </w:p>
        </w:tc>
      </w:tr>
      <w:tr>
        <w:trPr>
          <w:trHeight w:val="191"/>
        </w:trPr>
        <w:tc>
          <w:tcPr>
            <w:tcW w:w="8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60,705</w:t>
            </w: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8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Restructuring charges</w:t>
            </w: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2,673</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83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126,898</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103,984</w:t>
            </w:r>
          </w:p>
        </w:tc>
      </w:tr>
      <w:tr>
        <w:trPr>
          <w:trHeight w:val="32"/>
        </w:trPr>
        <w:tc>
          <w:tcPr>
            <w:tcW w:w="8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3"/>
        </w:trPr>
        <w:tc>
          <w:tcPr>
            <w:tcW w:w="8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Operating income (loss)</w:t>
            </w:r>
          </w:p>
        </w:tc>
        <w:tc>
          <w:tcPr>
            <w:tcW w:w="1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6,526</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(22,968)</w:t>
            </w:r>
          </w:p>
        </w:tc>
      </w:tr>
      <w:tr>
        <w:trPr>
          <w:trHeight w:val="19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7,823</w:t>
            </w:r>
          </w:p>
        </w:tc>
      </w:tr>
      <w:tr>
        <w:trPr>
          <w:trHeight w:val="32"/>
        </w:trPr>
        <w:tc>
          <w:tcPr>
            <w:tcW w:w="8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3"/>
        </w:trPr>
        <w:tc>
          <w:tcPr>
            <w:tcW w:w="8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(loss) before income tax and equity method investment</w:t>
            </w:r>
          </w:p>
        </w:tc>
        <w:tc>
          <w:tcPr>
            <w:tcW w:w="1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19,772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(15,145)</w:t>
            </w:r>
          </w:p>
        </w:tc>
      </w:tr>
      <w:tr>
        <w:trPr>
          <w:trHeight w:val="19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from equity method investment</w:t>
            </w: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(5,799)</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(1,564)</w:t>
            </w:r>
          </w:p>
        </w:tc>
      </w:tr>
      <w:tr>
        <w:trPr>
          <w:trHeight w:val="208"/>
        </w:trPr>
        <w:tc>
          <w:tcPr>
            <w:tcW w:w="8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13,358</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(16,859)</w:t>
            </w:r>
          </w:p>
        </w:tc>
      </w:tr>
      <w:tr>
        <w:trPr>
          <w:trHeight w:val="20"/>
        </w:trPr>
        <w:tc>
          <w:tcPr>
            <w:tcW w:w="8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40" w:name="page41"/>
    <w:bookmarkEnd w:id="40"/>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80" w:type="dxa"/>
            <w:vAlign w:val="bottom"/>
          </w:tcPr>
          <w:p>
            <w:pPr>
              <w:spacing w:after="0"/>
              <w:rPr>
                <w:sz w:val="14"/>
                <w:szCs w:val="14"/>
                <w:color w:val="auto"/>
              </w:rPr>
            </w:pPr>
          </w:p>
        </w:tc>
        <w:tc>
          <w:tcPr>
            <w:tcW w:w="3200" w:type="dxa"/>
            <w:vAlign w:val="bottom"/>
            <w:gridSpan w:val="3"/>
          </w:tcPr>
          <w:p>
            <w:pPr>
              <w:jc w:val="right"/>
              <w:ind w:right="73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r>
      <w:tr>
        <w:trPr>
          <w:trHeight w:val="26"/>
        </w:trPr>
        <w:tc>
          <w:tcPr>
            <w:tcW w:w="808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67"/>
        </w:trPr>
        <w:tc>
          <w:tcPr>
            <w:tcW w:w="8080" w:type="dxa"/>
            <w:vAlign w:val="bottom"/>
          </w:tcPr>
          <w:p>
            <w:pPr>
              <w:spacing w:after="0"/>
              <w:rPr>
                <w:sz w:val="14"/>
                <w:szCs w:val="14"/>
                <w:color w:val="auto"/>
              </w:rPr>
            </w:pPr>
          </w:p>
        </w:tc>
        <w:tc>
          <w:tcPr>
            <w:tcW w:w="164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December 27, 2025</w:t>
            </w:r>
          </w:p>
        </w:tc>
        <w:tc>
          <w:tcPr>
            <w:tcW w:w="1560" w:type="dxa"/>
            <w:vAlign w:val="bottom"/>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December 28, 2024</w:t>
            </w:r>
          </w:p>
        </w:tc>
      </w:tr>
      <w:tr>
        <w:trPr>
          <w:trHeight w:val="26"/>
        </w:trPr>
        <w:tc>
          <w:tcPr>
            <w:tcW w:w="80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3"/>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Revenue:</w:t>
            </w:r>
          </w:p>
        </w:tc>
        <w:tc>
          <w:tcPr>
            <w:tcW w:w="1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r>
      <w:tr>
        <w:trPr>
          <w:trHeight w:val="191"/>
        </w:trPr>
        <w:tc>
          <w:tcPr>
            <w:tcW w:w="8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Systems</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94 %</w:t>
            </w:r>
          </w:p>
        </w:tc>
        <w:tc>
          <w:tcPr>
            <w:tcW w:w="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95 %</w:t>
            </w:r>
          </w:p>
        </w:tc>
      </w:tr>
      <w:tr>
        <w:trPr>
          <w:trHeight w:val="32"/>
        </w:trPr>
        <w:tc>
          <w:tcPr>
            <w:tcW w:w="8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03"/>
        </w:trPr>
        <w:tc>
          <w:tcPr>
            <w:tcW w:w="8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Software maintenance and support</w:t>
            </w: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w:t>
            </w:r>
          </w:p>
        </w:tc>
      </w:tr>
      <w:tr>
        <w:trPr>
          <w:trHeight w:val="191"/>
        </w:trPr>
        <w:tc>
          <w:tcPr>
            <w:tcW w:w="8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Operation services</w:t>
            </w:r>
          </w:p>
        </w:tc>
        <w:tc>
          <w:tcPr>
            <w:tcW w:w="15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4</w:t>
            </w:r>
          </w:p>
        </w:tc>
      </w:tr>
      <w:tr>
        <w:trPr>
          <w:trHeight w:val="32"/>
        </w:trPr>
        <w:tc>
          <w:tcPr>
            <w:tcW w:w="80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3"/>
        </w:trPr>
        <w:tc>
          <w:tcPr>
            <w:tcW w:w="80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 revenue</w:t>
            </w: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100</w:t>
            </w:r>
          </w:p>
        </w:tc>
      </w:tr>
      <w:tr>
        <w:trPr>
          <w:trHeight w:val="191"/>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Cost of revenue:</w:t>
            </w: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2"/>
        </w:trPr>
        <w:tc>
          <w:tcPr>
            <w:tcW w:w="8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03"/>
        </w:trPr>
        <w:tc>
          <w:tcPr>
            <w:tcW w:w="8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Systems</w:t>
            </w: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78</w:t>
            </w:r>
          </w:p>
        </w:tc>
      </w:tr>
      <w:tr>
        <w:trPr>
          <w:trHeight w:val="191"/>
        </w:trPr>
        <w:tc>
          <w:tcPr>
            <w:tcW w:w="8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Software maintenance and support</w:t>
            </w: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8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3"/>
        </w:trPr>
        <w:tc>
          <w:tcPr>
            <w:tcW w:w="8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Operation services</w:t>
            </w: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w:t>
            </w:r>
          </w:p>
        </w:tc>
      </w:tr>
      <w:tr>
        <w:trPr>
          <w:trHeight w:val="181"/>
        </w:trPr>
        <w:tc>
          <w:tcPr>
            <w:tcW w:w="80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Total cost of revenue</w:t>
            </w:r>
          </w:p>
        </w:tc>
        <w:tc>
          <w:tcPr>
            <w:tcW w:w="15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15"/>
                <w:szCs w:val="15"/>
                <w:color w:val="auto"/>
              </w:rPr>
            </w:pPr>
          </w:p>
        </w:tc>
        <w:tc>
          <w:tcPr>
            <w:tcW w:w="15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83</w:t>
            </w:r>
          </w:p>
        </w:tc>
      </w:tr>
      <w:tr>
        <w:trPr>
          <w:trHeight w:val="32"/>
        </w:trPr>
        <w:tc>
          <w:tcPr>
            <w:tcW w:w="80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3"/>
        </w:trPr>
        <w:tc>
          <w:tcPr>
            <w:tcW w:w="8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Gross profit</w:t>
            </w: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17</w:t>
            </w:r>
          </w:p>
        </w:tc>
      </w:tr>
      <w:tr>
        <w:trPr>
          <w:trHeight w:val="171"/>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Operating expenses:</w:t>
            </w:r>
          </w:p>
        </w:tc>
        <w:tc>
          <w:tcPr>
            <w:tcW w:w="15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r>
      <w:tr>
        <w:trPr>
          <w:trHeight w:val="32"/>
        </w:trPr>
        <w:tc>
          <w:tcPr>
            <w:tcW w:w="8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03"/>
        </w:trPr>
        <w:tc>
          <w:tcPr>
            <w:tcW w:w="8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9</w:t>
            </w:r>
          </w:p>
        </w:tc>
      </w:tr>
      <w:tr>
        <w:trPr>
          <w:trHeight w:val="191"/>
        </w:trPr>
        <w:tc>
          <w:tcPr>
            <w:tcW w:w="8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5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15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w:t>
            </w:r>
          </w:p>
        </w:tc>
      </w:tr>
      <w:tr>
        <w:trPr>
          <w:trHeight w:val="32"/>
        </w:trPr>
        <w:tc>
          <w:tcPr>
            <w:tcW w:w="8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3"/>
        </w:trPr>
        <w:tc>
          <w:tcPr>
            <w:tcW w:w="8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Restructuring charges</w:t>
            </w:r>
          </w:p>
        </w:tc>
        <w:tc>
          <w:tcPr>
            <w:tcW w:w="1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80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5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5"/>
                <w:szCs w:val="15"/>
                <w:color w:val="auto"/>
              </w:rPr>
            </w:pPr>
          </w:p>
        </w:tc>
        <w:tc>
          <w:tcPr>
            <w:tcW w:w="15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21</w:t>
            </w:r>
          </w:p>
        </w:tc>
      </w:tr>
      <w:tr>
        <w:trPr>
          <w:trHeight w:val="32"/>
        </w:trPr>
        <w:tc>
          <w:tcPr>
            <w:tcW w:w="80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3"/>
        </w:trPr>
        <w:tc>
          <w:tcPr>
            <w:tcW w:w="8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Operating income (loss)</w:t>
            </w: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(5)</w:t>
            </w:r>
          </w:p>
        </w:tc>
      </w:tr>
      <w:tr>
        <w:trPr>
          <w:trHeight w:val="181"/>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15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15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2</w:t>
            </w:r>
          </w:p>
        </w:tc>
      </w:tr>
      <w:tr>
        <w:trPr>
          <w:trHeight w:val="32"/>
        </w:trPr>
        <w:tc>
          <w:tcPr>
            <w:tcW w:w="80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3"/>
        </w:trPr>
        <w:tc>
          <w:tcPr>
            <w:tcW w:w="8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(loss) before income tax and equity method investment</w:t>
            </w: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(3)</w:t>
            </w:r>
          </w:p>
        </w:tc>
      </w:tr>
      <w:tr>
        <w:trPr>
          <w:trHeight w:val="191"/>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8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3"/>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from equity method investment</w:t>
            </w: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8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income (loss)</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tcPr>
          <w:p>
            <w:pPr>
              <w:spacing w:after="0"/>
              <w:rPr>
                <w:sz w:val="18"/>
                <w:szCs w:val="18"/>
                <w:color w:val="auto"/>
              </w:rPr>
            </w:pPr>
          </w:p>
        </w:tc>
        <w:tc>
          <w:tcPr>
            <w:tcW w:w="1560" w:type="dxa"/>
            <w:vAlign w:val="bottom"/>
            <w:tcBorders>
              <w:top w:val="single" w:sz="8" w:color="auto"/>
              <w:bottom w:val="single" w:sz="8" w:color="auto"/>
            </w:tcBorders>
          </w:tcPr>
          <w:p>
            <w:pPr>
              <w:ind w:left="1260"/>
              <w:spacing w:after="0"/>
              <w:rPr>
                <w:sz w:val="20"/>
                <w:szCs w:val="20"/>
                <w:color w:val="auto"/>
              </w:rPr>
            </w:pPr>
            <w:r>
              <w:rPr>
                <w:rFonts w:ascii="Times New Roman" w:cs="Times New Roman" w:eastAsia="Times New Roman" w:hAnsi="Times New Roman"/>
                <w:sz w:val="14"/>
                <w:szCs w:val="14"/>
                <w:color w:val="auto"/>
                <w:w w:val="99"/>
              </w:rPr>
              <w:t>(3)%</w:t>
            </w:r>
          </w:p>
        </w:tc>
      </w:tr>
      <w:tr>
        <w:trPr>
          <w:trHeight w:val="20"/>
        </w:trPr>
        <w:tc>
          <w:tcPr>
            <w:tcW w:w="80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*Percentages are based on actual values. Totals may not sum due to rounding.</w:t>
      </w:r>
    </w:p>
    <w:p>
      <w:pPr>
        <w:spacing w:after="0" w:line="152" w:lineRule="exact"/>
        <w:rPr>
          <w:sz w:val="20"/>
          <w:szCs w:val="20"/>
          <w:color w:val="auto"/>
        </w:rPr>
      </w:pPr>
    </w:p>
    <w:p>
      <w:pPr>
        <w:ind w:right="5260"/>
        <w:spacing w:after="0" w:line="382" w:lineRule="auto"/>
        <w:rPr>
          <w:sz w:val="20"/>
          <w:szCs w:val="20"/>
          <w:color w:val="auto"/>
        </w:rPr>
      </w:pPr>
      <w:r>
        <w:rPr>
          <w:rFonts w:ascii="Times New Roman" w:cs="Times New Roman" w:eastAsia="Times New Roman" w:hAnsi="Times New Roman"/>
          <w:sz w:val="14"/>
          <w:szCs w:val="14"/>
          <w:b w:val="1"/>
          <w:bCs w:val="1"/>
          <w:color w:val="auto"/>
        </w:rPr>
        <w:t xml:space="preserve">Three Months Ended December 27, 2025 Compared to the Three Months Ended December 28, 2024 </w:t>
      </w:r>
      <w:r>
        <w:rPr>
          <w:rFonts w:ascii="Times New Roman" w:cs="Times New Roman" w:eastAsia="Times New Roman" w:hAnsi="Times New Roman"/>
          <w:sz w:val="14"/>
          <w:szCs w:val="14"/>
          <w:i w:val="1"/>
          <w:iCs w:val="1"/>
          <w:color w:val="auto"/>
        </w:rPr>
        <w:t>Revenue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20" w:type="dxa"/>
            <w:vAlign w:val="bottom"/>
            <w:gridSpan w:val="5"/>
          </w:tcPr>
          <w:p>
            <w:pPr>
              <w:ind w:left="56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280" w:type="dxa"/>
            <w:vAlign w:val="bottom"/>
          </w:tcPr>
          <w:p>
            <w:pPr>
              <w:spacing w:after="0"/>
              <w:rPr>
                <w:sz w:val="14"/>
                <w:szCs w:val="14"/>
                <w:color w:val="auto"/>
              </w:rPr>
            </w:pPr>
          </w:p>
        </w:tc>
        <w:tc>
          <w:tcPr>
            <w:tcW w:w="1720" w:type="dxa"/>
            <w:vAlign w:val="bottom"/>
            <w:gridSpan w:val="2"/>
          </w:tcPr>
          <w:p>
            <w:pPr>
              <w:ind w:left="106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080" w:type="dxa"/>
            <w:vAlign w:val="bottom"/>
          </w:tcPr>
          <w:p>
            <w:pPr>
              <w:spacing w:after="0"/>
              <w:rPr>
                <w:sz w:val="14"/>
                <w:szCs w:val="14"/>
                <w:color w:val="auto"/>
              </w:rPr>
            </w:pPr>
          </w:p>
        </w:tc>
      </w:tr>
      <w:tr>
        <w:trPr>
          <w:trHeight w:val="26"/>
        </w:trPr>
        <w:tc>
          <w:tcPr>
            <w:tcW w:w="5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67"/>
        </w:trPr>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27, 2025</w:t>
            </w:r>
          </w:p>
        </w:tc>
        <w:tc>
          <w:tcPr>
            <w:tcW w:w="16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80" w:type="dxa"/>
            <w:vAlign w:val="bottom"/>
          </w:tcPr>
          <w:p>
            <w:pPr>
              <w:spacing w:after="0"/>
              <w:rPr>
                <w:sz w:val="14"/>
                <w:szCs w:val="14"/>
                <w:color w:val="auto"/>
              </w:rPr>
            </w:pPr>
          </w:p>
        </w:tc>
        <w:tc>
          <w:tcPr>
            <w:tcW w:w="172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80" w:type="dxa"/>
            <w:vAlign w:val="bottom"/>
          </w:tcPr>
          <w:p>
            <w:pPr>
              <w:jc w:val="right"/>
              <w:ind w:right="651"/>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6"/>
        </w:trPr>
        <w:tc>
          <w:tcPr>
            <w:tcW w:w="5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gridSpan w:val="5"/>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67"/>
        </w:trPr>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80" w:type="dxa"/>
            <w:vAlign w:val="bottom"/>
            <w:gridSpan w:val="5"/>
          </w:tcPr>
          <w:p>
            <w:pPr>
              <w:ind w:left="840"/>
              <w:spacing w:after="0"/>
              <w:rPr>
                <w:sz w:val="20"/>
                <w:szCs w:val="20"/>
                <w:color w:val="auto"/>
              </w:rPr>
            </w:pPr>
            <w:r>
              <w:rPr>
                <w:rFonts w:ascii="Times New Roman" w:cs="Times New Roman" w:eastAsia="Times New Roman" w:hAnsi="Times New Roman"/>
                <w:sz w:val="13"/>
                <w:szCs w:val="13"/>
                <w:color w:val="auto"/>
              </w:rPr>
              <w:t>(dollars in thousands)</w:t>
            </w:r>
          </w:p>
        </w:tc>
        <w:tc>
          <w:tcPr>
            <w:tcW w:w="1080" w:type="dxa"/>
            <w:vAlign w:val="bottom"/>
          </w:tcPr>
          <w:p>
            <w:pPr>
              <w:spacing w:after="0"/>
              <w:rPr>
                <w:sz w:val="14"/>
                <w:szCs w:val="14"/>
                <w:color w:val="auto"/>
              </w:rPr>
            </w:pPr>
          </w:p>
        </w:tc>
      </w:tr>
      <w:tr>
        <w:trPr>
          <w:trHeight w:val="26"/>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03"/>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Systems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590,292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464,059</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126,233</w:t>
            </w:r>
          </w:p>
        </w:tc>
        <w:tc>
          <w:tcPr>
            <w:tcW w:w="5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27 %</w:t>
            </w:r>
          </w:p>
        </w:tc>
      </w:tr>
      <w:tr>
        <w:trPr>
          <w:trHeight w:val="191"/>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Software maintenance and support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10,885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5,360</w:t>
            </w: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97 %</w:t>
            </w:r>
          </w:p>
        </w:tc>
      </w:tr>
      <w:tr>
        <w:trPr>
          <w:trHeight w:val="32"/>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3"/>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Operation services</w:t>
            </w: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28,808</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17,109</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11,699</w:t>
            </w:r>
          </w:p>
        </w:tc>
        <w:tc>
          <w:tcPr>
            <w:tcW w:w="5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68 %</w:t>
            </w:r>
          </w:p>
        </w:tc>
      </w:tr>
      <w:tr>
        <w:trPr>
          <w:trHeight w:val="208"/>
        </w:trPr>
        <w:tc>
          <w:tcPr>
            <w:tcW w:w="5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629,985</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486,693</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143,292</w:t>
            </w: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29 %</w:t>
            </w:r>
          </w:p>
        </w:tc>
      </w:tr>
      <w:tr>
        <w:trPr>
          <w:trHeight w:val="20"/>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91" w:lineRule="exact"/>
        <w:rPr>
          <w:sz w:val="20"/>
          <w:szCs w:val="20"/>
          <w:color w:val="auto"/>
        </w:rPr>
      </w:pPr>
    </w:p>
    <w:p>
      <w:pPr>
        <w:ind w:right="120" w:firstLine="255"/>
        <w:spacing w:after="0" w:line="270" w:lineRule="auto"/>
        <w:rPr>
          <w:sz w:val="20"/>
          <w:szCs w:val="20"/>
          <w:color w:val="auto"/>
        </w:rPr>
      </w:pPr>
      <w:r>
        <w:rPr>
          <w:rFonts w:ascii="Times New Roman" w:cs="Times New Roman" w:eastAsia="Times New Roman" w:hAnsi="Times New Roman"/>
          <w:sz w:val="14"/>
          <w:szCs w:val="14"/>
          <w:color w:val="auto"/>
        </w:rPr>
        <w:t>Systems revenue increased during the three months ended December 27, 2025, as compared to the three months ended December 28, 2024, due to additional revenue generated from the 2025 Walmart MAA for ASR and there being 57 Systems in Deployment during the fiscal quarter ending December 27, 2025, as compared to 44 Systems in Deployment during the same quarter of fiscal 2025.</w:t>
      </w:r>
    </w:p>
    <w:p>
      <w:pPr>
        <w:spacing w:after="0" w:line="8" w:lineRule="exact"/>
        <w:rPr>
          <w:sz w:val="20"/>
          <w:szCs w:val="20"/>
          <w:color w:val="auto"/>
        </w:rPr>
      </w:pPr>
    </w:p>
    <w:p>
      <w:pPr>
        <w:ind w:right="660" w:firstLine="255"/>
        <w:spacing w:after="0" w:line="284" w:lineRule="auto"/>
        <w:rPr>
          <w:sz w:val="20"/>
          <w:szCs w:val="20"/>
          <w:color w:val="auto"/>
        </w:rPr>
      </w:pPr>
      <w:r>
        <w:rPr>
          <w:rFonts w:ascii="Times New Roman" w:cs="Times New Roman" w:eastAsia="Times New Roman" w:hAnsi="Times New Roman"/>
          <w:sz w:val="14"/>
          <w:szCs w:val="14"/>
          <w:color w:val="auto"/>
        </w:rPr>
        <w:t>The increase in Software Maintenance and Support revenue is due to 51 Operational Systems which are under Software Maintenance and Support contracts for the three months ended December 27, 2025, as compared to 29 Operational Systems which were under Software Maintenance and Support contracts for the three months ended December 28, 2024.</w:t>
      </w:r>
    </w:p>
    <w:p>
      <w:pPr>
        <w:spacing w:after="0" w:line="1" w:lineRule="exact"/>
        <w:rPr>
          <w:sz w:val="20"/>
          <w:szCs w:val="20"/>
          <w:color w:val="auto"/>
        </w:rPr>
      </w:pPr>
    </w:p>
    <w:p>
      <w:pPr>
        <w:ind w:right="620" w:firstLine="255"/>
        <w:spacing w:after="0" w:line="287" w:lineRule="auto"/>
        <w:rPr>
          <w:sz w:val="20"/>
          <w:szCs w:val="20"/>
          <w:color w:val="auto"/>
        </w:rPr>
      </w:pPr>
      <w:r>
        <w:rPr>
          <w:rFonts w:ascii="Times New Roman" w:cs="Times New Roman" w:eastAsia="Times New Roman" w:hAnsi="Times New Roman"/>
          <w:sz w:val="14"/>
          <w:szCs w:val="14"/>
          <w:color w:val="auto"/>
        </w:rPr>
        <w:t>The increase in Operation Services revenue is attributable to an increase in the number of Operational Systems where we are performing Operation Services for the three months ended December 27, 2025, as compared to the three months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41" w:name="page42"/>
    <w:bookmarkEnd w:id="41"/>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28, 2024. As we continue to increase the number of Operational Systems, an increase in the number of Operation Services contracts is expected.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Gross Profit</w:t>
      </w:r>
    </w:p>
    <w:p>
      <w:pPr>
        <w:spacing w:after="0" w:line="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sets forth our gross profit for the three months ended December 27, 2025 and December 28,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20" w:type="dxa"/>
            <w:vAlign w:val="bottom"/>
            <w:gridSpan w:val="5"/>
          </w:tcPr>
          <w:p>
            <w:pPr>
              <w:ind w:left="56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300" w:type="dxa"/>
            <w:vAlign w:val="bottom"/>
          </w:tcPr>
          <w:p>
            <w:pPr>
              <w:spacing w:after="0"/>
              <w:rPr>
                <w:sz w:val="14"/>
                <w:szCs w:val="14"/>
                <w:color w:val="auto"/>
              </w:rPr>
            </w:pPr>
          </w:p>
        </w:tc>
        <w:tc>
          <w:tcPr>
            <w:tcW w:w="1160" w:type="dxa"/>
            <w:vAlign w:val="bottom"/>
          </w:tcPr>
          <w:p>
            <w:pPr>
              <w:jc w:val="right"/>
              <w:ind w:right="452"/>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26"/>
        </w:trPr>
        <w:tc>
          <w:tcPr>
            <w:tcW w:w="6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67"/>
        </w:trPr>
        <w:tc>
          <w:tcPr>
            <w:tcW w:w="6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27, 2025</w:t>
            </w:r>
          </w:p>
        </w:tc>
        <w:tc>
          <w:tcPr>
            <w:tcW w:w="14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December 28, 2024</w:t>
            </w:r>
          </w:p>
        </w:tc>
        <w:tc>
          <w:tcPr>
            <w:tcW w:w="300" w:type="dxa"/>
            <w:vAlign w:val="bottom"/>
          </w:tcPr>
          <w:p>
            <w:pPr>
              <w:spacing w:after="0"/>
              <w:rPr>
                <w:sz w:val="14"/>
                <w:szCs w:val="14"/>
                <w:color w:val="auto"/>
              </w:rPr>
            </w:pPr>
          </w:p>
        </w:tc>
        <w:tc>
          <w:tcPr>
            <w:tcW w:w="1160" w:type="dxa"/>
            <w:vAlign w:val="bottom"/>
          </w:tcPr>
          <w:p>
            <w:pPr>
              <w:jc w:val="right"/>
              <w:ind w:right="432"/>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26"/>
        </w:trPr>
        <w:tc>
          <w:tcPr>
            <w:tcW w:w="6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67"/>
        </w:trPr>
        <w:tc>
          <w:tcPr>
            <w:tcW w:w="6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7"/>
              </w:rPr>
              <w:t>(in thousands)</w:t>
            </w: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6"/>
        </w:trPr>
        <w:tc>
          <w:tcPr>
            <w:tcW w:w="6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3"/>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Systems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120,419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83,069</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37,350</w:t>
            </w:r>
          </w:p>
        </w:tc>
      </w:tr>
      <w:tr>
        <w:trPr>
          <w:trHeight w:val="191"/>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Software maintenance and support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4,264</w:t>
            </w:r>
          </w:p>
        </w:tc>
      </w:tr>
      <w:tr>
        <w:trPr>
          <w:trHeight w:val="32"/>
        </w:trPr>
        <w:tc>
          <w:tcPr>
            <w:tcW w:w="6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Operation services</w:t>
            </w: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(5,720)</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10,794</w:t>
            </w:r>
          </w:p>
        </w:tc>
      </w:tr>
      <w:tr>
        <w:trPr>
          <w:trHeight w:val="208"/>
        </w:trPr>
        <w:tc>
          <w:tcPr>
            <w:tcW w:w="6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gross profit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133,424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81,016</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52,408</w:t>
            </w:r>
          </w:p>
        </w:tc>
      </w:tr>
      <w:tr>
        <w:trPr>
          <w:trHeight w:val="20"/>
        </w:trPr>
        <w:tc>
          <w:tcPr>
            <w:tcW w:w="6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ind w:right="120" w:firstLine="255"/>
        <w:spacing w:after="0" w:line="270" w:lineRule="auto"/>
        <w:rPr>
          <w:sz w:val="20"/>
          <w:szCs w:val="20"/>
          <w:color w:val="auto"/>
        </w:rPr>
      </w:pPr>
      <w:r>
        <w:rPr>
          <w:rFonts w:ascii="Times New Roman" w:cs="Times New Roman" w:eastAsia="Times New Roman" w:hAnsi="Times New Roman"/>
          <w:sz w:val="14"/>
          <w:szCs w:val="14"/>
          <w:color w:val="auto"/>
        </w:rPr>
        <w:t>Systems gross profit increased $37.4 million for the three months ended December 27, 2025, as compared to the three months ended December 28, 2024. The increase in Systems gross profit is primarily driven by 57 Systems in Deployment during the three months ended March 29, 2025, as compared to 44 Systems in Deployment during the three months ended December 28, 2024. The increase in Systems gross profit was further driven by continued performance improvements.</w:t>
      </w:r>
    </w:p>
    <w:p>
      <w:pPr>
        <w:spacing w:after="0" w:line="8" w:lineRule="exact"/>
        <w:rPr>
          <w:sz w:val="20"/>
          <w:szCs w:val="20"/>
          <w:color w:val="auto"/>
        </w:rPr>
      </w:pPr>
    </w:p>
    <w:p>
      <w:pPr>
        <w:ind w:right="200" w:firstLine="255"/>
        <w:spacing w:after="0" w:line="284" w:lineRule="auto"/>
        <w:rPr>
          <w:sz w:val="20"/>
          <w:szCs w:val="20"/>
          <w:color w:val="auto"/>
        </w:rPr>
      </w:pPr>
      <w:r>
        <w:rPr>
          <w:rFonts w:ascii="Times New Roman" w:cs="Times New Roman" w:eastAsia="Times New Roman" w:hAnsi="Times New Roman"/>
          <w:sz w:val="14"/>
          <w:szCs w:val="14"/>
          <w:color w:val="auto"/>
        </w:rPr>
        <w:t>The increase in Software Maintenance and Support gross profit is driven by the revenue from the additional Operational Systems which are under Software Maintenance and Support contracts for the three months ended December 27, 2025, as compared to the three months ended December 28, 2024, while costs to perform our maintenance and support services remained relatively flat.</w:t>
      </w:r>
    </w:p>
    <w:p>
      <w:pPr>
        <w:spacing w:after="0" w:line="1"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The increase in Operation Services gross profit for the three months ended December 27, 2025, as compared to the three months ended December 28, 2024, is driven by operational efficiencies and an increase in the number of Operational Systems from the prior year.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40" w:type="dxa"/>
            <w:vAlign w:val="bottom"/>
            <w:gridSpan w:val="4"/>
          </w:tcPr>
          <w:p>
            <w:pPr>
              <w:ind w:left="60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1020" w:type="dxa"/>
            <w:vAlign w:val="bottom"/>
          </w:tcPr>
          <w:p>
            <w:pPr>
              <w:spacing w:after="0"/>
              <w:rPr>
                <w:sz w:val="14"/>
                <w:szCs w:val="14"/>
                <w:color w:val="auto"/>
              </w:rPr>
            </w:pPr>
          </w:p>
        </w:tc>
        <w:tc>
          <w:tcPr>
            <w:tcW w:w="960" w:type="dxa"/>
            <w:vAlign w:val="bottom"/>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060" w:type="dxa"/>
            <w:vAlign w:val="bottom"/>
          </w:tcPr>
          <w:p>
            <w:pPr>
              <w:spacing w:after="0"/>
              <w:rPr>
                <w:sz w:val="14"/>
                <w:szCs w:val="14"/>
                <w:color w:val="auto"/>
              </w:rPr>
            </w:pPr>
          </w:p>
        </w:tc>
      </w:tr>
      <w:tr>
        <w:trPr>
          <w:trHeight w:val="26"/>
        </w:trPr>
        <w:tc>
          <w:tcPr>
            <w:tcW w:w="5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67"/>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December 27, 2025</w:t>
            </w:r>
          </w:p>
        </w:tc>
        <w:tc>
          <w:tcPr>
            <w:tcW w:w="20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60" w:type="dxa"/>
            <w:vAlign w:val="bottom"/>
          </w:tcPr>
          <w:p>
            <w:pPr>
              <w:spacing w:after="0"/>
              <w:rPr>
                <w:sz w:val="14"/>
                <w:szCs w:val="14"/>
                <w:color w:val="auto"/>
              </w:rPr>
            </w:pPr>
          </w:p>
        </w:tc>
        <w:tc>
          <w:tcPr>
            <w:tcW w:w="1060" w:type="dxa"/>
            <w:vAlign w:val="bottom"/>
          </w:tcPr>
          <w:p>
            <w:pPr>
              <w:jc w:val="right"/>
              <w:ind w:right="633"/>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6"/>
        </w:trPr>
        <w:tc>
          <w:tcPr>
            <w:tcW w:w="5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67"/>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3"/>
          </w:tcPr>
          <w:p>
            <w:pPr>
              <w:jc w:val="right"/>
              <w:ind w:right="493"/>
              <w:spacing w:after="0"/>
              <w:rPr>
                <w:sz w:val="20"/>
                <w:szCs w:val="20"/>
                <w:color w:val="auto"/>
              </w:rPr>
            </w:pPr>
            <w:r>
              <w:rPr>
                <w:rFonts w:ascii="Times New Roman" w:cs="Times New Roman" w:eastAsia="Times New Roman" w:hAnsi="Times New Roman"/>
                <w:sz w:val="13"/>
                <w:szCs w:val="13"/>
                <w:color w:val="auto"/>
              </w:rPr>
              <w:t>(dollars in thousands)</w:t>
            </w: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6"/>
        </w:trPr>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4"/>
                <w:szCs w:val="14"/>
                <w:color w:val="auto"/>
              </w:rPr>
              <w:t>43,006</w:t>
            </w:r>
          </w:p>
        </w:tc>
        <w:tc>
          <w:tcPr>
            <w:tcW w:w="2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43,279</w:t>
            </w:r>
          </w:p>
        </w:tc>
        <w:tc>
          <w:tcPr>
            <w:tcW w:w="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85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ind w:right="513"/>
              <w:spacing w:after="0"/>
              <w:rPr>
                <w:sz w:val="20"/>
                <w:szCs w:val="20"/>
                <w:color w:val="auto"/>
              </w:rPr>
            </w:pPr>
            <w:r>
              <w:rPr>
                <w:rFonts w:ascii="Times New Roman" w:cs="Times New Roman" w:eastAsia="Times New Roman" w:hAnsi="Times New Roman"/>
                <w:sz w:val="14"/>
                <w:szCs w:val="14"/>
                <w:color w:val="auto"/>
              </w:rPr>
              <w:t>(273)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1"/>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Percentage of total revenue</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r>
    </w:tbl>
    <w:p>
      <w:pPr>
        <w:spacing w:after="0" w:line="4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decrease in research and development expenses for the three months ended December 27, 2025, as compared to the three months ended December 28, 2024, is due to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ind w:right="492"/>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26"/>
        </w:trPr>
        <w:tc>
          <w:tcPr>
            <w:tcW w:w="9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67"/>
        </w:trPr>
        <w:tc>
          <w:tcPr>
            <w:tcW w:w="9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ind w:right="332"/>
              <w:spacing w:after="0"/>
              <w:rPr>
                <w:sz w:val="20"/>
                <w:szCs w:val="20"/>
                <w:color w:val="auto"/>
              </w:rPr>
            </w:pPr>
            <w:r>
              <w:rPr>
                <w:rFonts w:ascii="Times New Roman" w:cs="Times New Roman" w:eastAsia="Times New Roman" w:hAnsi="Times New Roman"/>
                <w:sz w:val="13"/>
                <w:szCs w:val="13"/>
                <w:color w:val="auto"/>
              </w:rPr>
              <w:t>(in thousands)</w:t>
            </w:r>
          </w:p>
        </w:tc>
      </w:tr>
      <w:tr>
        <w:trPr>
          <w:trHeight w:val="26"/>
        </w:trPr>
        <w:tc>
          <w:tcPr>
            <w:tcW w:w="9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3"/>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Employee-related costs</w:t>
            </w: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(2,622)</w:t>
            </w:r>
          </w:p>
        </w:tc>
      </w:tr>
      <w:tr>
        <w:trPr>
          <w:trHeight w:val="191"/>
        </w:trPr>
        <w:tc>
          <w:tcPr>
            <w:tcW w:w="9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Prototyping-related costs, allocated overhead expenses, and other</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2,349</w:t>
            </w:r>
          </w:p>
        </w:tc>
      </w:tr>
      <w:tr>
        <w:trPr>
          <w:trHeight w:val="32"/>
        </w:trPr>
        <w:tc>
          <w:tcPr>
            <w:tcW w:w="9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8"/>
        </w:trPr>
        <w:tc>
          <w:tcPr>
            <w:tcW w:w="97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Employee-related costs decreased for the three months ended December 27, 2025, as compared to the three months ended December 28, 2024. The primary driver in the decrease to employee-related costs for the three months ended December 27, 2025, as compared to the three months ended December 28, 2024, was from an increase in engineering resources assigned to customer projects, which was primarily related to the 2025 MAA.</w:t>
      </w:r>
    </w:p>
    <w:p>
      <w:pPr>
        <w:spacing w:after="0" w:line="8" w:lineRule="exact"/>
        <w:rPr>
          <w:sz w:val="20"/>
          <w:szCs w:val="20"/>
          <w:color w:val="auto"/>
        </w:rPr>
      </w:pPr>
    </w:p>
    <w:p>
      <w:pPr>
        <w:ind w:right="40" w:firstLine="255"/>
        <w:spacing w:after="0" w:line="287" w:lineRule="auto"/>
        <w:rPr>
          <w:sz w:val="20"/>
          <w:szCs w:val="20"/>
          <w:color w:val="auto"/>
        </w:rPr>
      </w:pPr>
      <w:r>
        <w:rPr>
          <w:rFonts w:ascii="Times New Roman" w:cs="Times New Roman" w:eastAsia="Times New Roman" w:hAnsi="Times New Roman"/>
          <w:sz w:val="14"/>
          <w:szCs w:val="14"/>
          <w:color w:val="auto"/>
        </w:rPr>
        <w:t>Prototyping-related costs, allocated overhead expenses, and other expenses increased for the three months ended December 27, 2025, as compared to the three months ended December 28, 2024, primarily from an increase in amortization expense attributable to the intangible assets that we acquired through our asset and business combination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42" w:name="page43"/>
    <w:bookmarkEnd w:id="42"/>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40" w:type="dxa"/>
            <w:vAlign w:val="bottom"/>
            <w:gridSpan w:val="4"/>
          </w:tcPr>
          <w:p>
            <w:pPr>
              <w:ind w:left="60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960" w:type="dxa"/>
            <w:vAlign w:val="bottom"/>
          </w:tcPr>
          <w:p>
            <w:pPr>
              <w:spacing w:after="0"/>
              <w:rPr>
                <w:sz w:val="14"/>
                <w:szCs w:val="14"/>
                <w:color w:val="auto"/>
              </w:rPr>
            </w:pPr>
          </w:p>
        </w:tc>
        <w:tc>
          <w:tcPr>
            <w:tcW w:w="1020" w:type="dxa"/>
            <w:vAlign w:val="bottom"/>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060" w:type="dxa"/>
            <w:vAlign w:val="bottom"/>
          </w:tcPr>
          <w:p>
            <w:pPr>
              <w:spacing w:after="0"/>
              <w:rPr>
                <w:sz w:val="14"/>
                <w:szCs w:val="14"/>
                <w:color w:val="auto"/>
              </w:rPr>
            </w:pPr>
          </w:p>
        </w:tc>
      </w:tr>
      <w:tr>
        <w:trPr>
          <w:trHeight w:val="26"/>
        </w:trPr>
        <w:tc>
          <w:tcPr>
            <w:tcW w:w="5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67"/>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December 27, 2025</w:t>
            </w:r>
          </w:p>
        </w:tc>
        <w:tc>
          <w:tcPr>
            <w:tcW w:w="20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20" w:type="dxa"/>
            <w:vAlign w:val="bottom"/>
          </w:tcPr>
          <w:p>
            <w:pPr>
              <w:spacing w:after="0"/>
              <w:rPr>
                <w:sz w:val="14"/>
                <w:szCs w:val="14"/>
                <w:color w:val="auto"/>
              </w:rPr>
            </w:pPr>
          </w:p>
        </w:tc>
        <w:tc>
          <w:tcPr>
            <w:tcW w:w="1060" w:type="dxa"/>
            <w:vAlign w:val="bottom"/>
          </w:tcPr>
          <w:p>
            <w:pPr>
              <w:jc w:val="right"/>
              <w:ind w:right="633"/>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6"/>
        </w:trPr>
        <w:tc>
          <w:tcPr>
            <w:tcW w:w="5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67"/>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3"/>
          </w:tcPr>
          <w:p>
            <w:pPr>
              <w:jc w:val="right"/>
              <w:ind w:right="433"/>
              <w:spacing w:after="0"/>
              <w:rPr>
                <w:sz w:val="20"/>
                <w:szCs w:val="20"/>
                <w:color w:val="auto"/>
              </w:rPr>
            </w:pPr>
            <w:r>
              <w:rPr>
                <w:rFonts w:ascii="Times New Roman" w:cs="Times New Roman" w:eastAsia="Times New Roman" w:hAnsi="Times New Roman"/>
                <w:sz w:val="13"/>
                <w:szCs w:val="13"/>
                <w:color w:val="auto"/>
              </w:rPr>
              <w:t>(dollars in thousands)</w:t>
            </w: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6"/>
        </w:trPr>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4"/>
                <w:szCs w:val="14"/>
                <w:color w:val="auto"/>
              </w:rPr>
              <w:t>81,219</w:t>
            </w:r>
          </w:p>
        </w:tc>
        <w:tc>
          <w:tcPr>
            <w:tcW w:w="2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60,705</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793"/>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ind w:right="533"/>
              <w:spacing w:after="0"/>
              <w:rPr>
                <w:sz w:val="20"/>
                <w:szCs w:val="20"/>
                <w:color w:val="auto"/>
              </w:rPr>
            </w:pPr>
            <w:r>
              <w:rPr>
                <w:rFonts w:ascii="Times New Roman" w:cs="Times New Roman" w:eastAsia="Times New Roman" w:hAnsi="Times New Roman"/>
                <w:sz w:val="14"/>
                <w:szCs w:val="14"/>
                <w:color w:val="auto"/>
              </w:rPr>
              <w:t>20,514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34 %</w:t>
            </w:r>
          </w:p>
        </w:tc>
      </w:tr>
      <w:tr>
        <w:trPr>
          <w:trHeight w:val="191"/>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Percentage of total revenue</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r>
    </w:tbl>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increase in selling, general, and administrative expenses for the three months ended December 27, 2025, as compared to the three months ended December 28, 2024, is due to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center"/>
              <w:ind w:right="172"/>
              <w:spacing w:after="0"/>
              <w:rPr>
                <w:sz w:val="20"/>
                <w:szCs w:val="20"/>
                <w:color w:val="auto"/>
              </w:rPr>
            </w:pPr>
            <w:r>
              <w:rPr>
                <w:rFonts w:ascii="Times New Roman" w:cs="Times New Roman" w:eastAsia="Times New Roman" w:hAnsi="Times New Roman"/>
                <w:sz w:val="13"/>
                <w:szCs w:val="13"/>
                <w:b w:val="1"/>
                <w:bCs w:val="1"/>
                <w:color w:val="auto"/>
                <w:w w:val="98"/>
              </w:rPr>
              <w:t>Change</w:t>
            </w:r>
          </w:p>
        </w:tc>
      </w:tr>
      <w:tr>
        <w:trPr>
          <w:trHeight w:val="26"/>
        </w:trPr>
        <w:tc>
          <w:tcPr>
            <w:tcW w:w="9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67"/>
        </w:trPr>
        <w:tc>
          <w:tcPr>
            <w:tcW w:w="9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center"/>
              <w:ind w:right="192"/>
              <w:spacing w:after="0"/>
              <w:rPr>
                <w:sz w:val="20"/>
                <w:szCs w:val="20"/>
                <w:color w:val="auto"/>
              </w:rPr>
            </w:pPr>
            <w:r>
              <w:rPr>
                <w:rFonts w:ascii="Times New Roman" w:cs="Times New Roman" w:eastAsia="Times New Roman" w:hAnsi="Times New Roman"/>
                <w:sz w:val="13"/>
                <w:szCs w:val="13"/>
                <w:color w:val="auto"/>
                <w:w w:val="97"/>
              </w:rPr>
              <w:t>(in thousands)</w:t>
            </w:r>
          </w:p>
        </w:tc>
      </w:tr>
      <w:tr>
        <w:trPr>
          <w:trHeight w:val="26"/>
        </w:trPr>
        <w:tc>
          <w:tcPr>
            <w:tcW w:w="9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Employee-related costs</w:t>
            </w: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23,143</w:t>
            </w:r>
          </w:p>
        </w:tc>
      </w:tr>
      <w:tr>
        <w:trPr>
          <w:trHeight w:val="191"/>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Allocated overhead expenses and other</w:t>
            </w:r>
          </w:p>
        </w:tc>
        <w:tc>
          <w:tcPr>
            <w:tcW w:w="260" w:type="dxa"/>
            <w:vAlign w:val="bottom"/>
          </w:tcPr>
          <w:p>
            <w:pPr>
              <w:spacing w:after="0"/>
              <w:rPr>
                <w:sz w:val="16"/>
                <w:szCs w:val="16"/>
                <w:color w:val="auto"/>
              </w:rPr>
            </w:pPr>
          </w:p>
        </w:tc>
        <w:tc>
          <w:tcPr>
            <w:tcW w:w="130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(2,629)</w:t>
            </w:r>
          </w:p>
        </w:tc>
      </w:tr>
      <w:tr>
        <w:trPr>
          <w:trHeight w:val="32"/>
        </w:trPr>
        <w:tc>
          <w:tcPr>
            <w:tcW w:w="9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8"/>
        </w:trPr>
        <w:tc>
          <w:tcPr>
            <w:tcW w:w="97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20,514</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jc w:val="both"/>
        <w:ind w:right="140" w:firstLine="255"/>
        <w:spacing w:after="0" w:line="270" w:lineRule="auto"/>
        <w:rPr>
          <w:sz w:val="20"/>
          <w:szCs w:val="20"/>
          <w:color w:val="auto"/>
        </w:rPr>
      </w:pPr>
      <w:r>
        <w:rPr>
          <w:rFonts w:ascii="Times New Roman" w:cs="Times New Roman" w:eastAsia="Times New Roman" w:hAnsi="Times New Roman"/>
          <w:sz w:val="14"/>
          <w:szCs w:val="14"/>
          <w:color w:val="auto"/>
        </w:rPr>
        <w:t>Employee-related costs increased in the three months ended December 27, 2025, as compared to the three months ended December 28, 2024, primarily as a result of our full-time employee and contractor headcount growth within our selling, general, and administrative functions. We increased our headcount primarily to support our rapid acceleration of System Deployments and business transformation. We incurred incremental costs related to building both shorter-term as well as permanent processes and infrastructure to ramp partnerships and operations.</w:t>
      </w:r>
    </w:p>
    <w:p>
      <w:pPr>
        <w:spacing w:after="0" w:line="8"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Allocated overhead and other expenses decreased in the three months ended December 27, 2025, as compared to the three months ended December 28, 2024, primarily due to a decrease in legal expenses from the prior year as we incurred more legal expenses related to our internal controls remediation and acquisition activity for the three months ended December 28, 2024. This decrease was offset by an increase in information technology related costs to support growth within our employee base and infrastructure.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Restructuring Charges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2"/>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080" w:type="dxa"/>
            <w:vAlign w:val="bottom"/>
          </w:tcPr>
          <w:p>
            <w:pPr>
              <w:spacing w:after="0"/>
              <w:rPr>
                <w:sz w:val="14"/>
                <w:szCs w:val="14"/>
                <w:color w:val="auto"/>
              </w:rPr>
            </w:pPr>
          </w:p>
        </w:tc>
      </w:tr>
      <w:tr>
        <w:trPr>
          <w:trHeight w:val="26"/>
        </w:trPr>
        <w:tc>
          <w:tcPr>
            <w:tcW w:w="5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67"/>
        </w:trPr>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December 27, 2025</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0" w:type="dxa"/>
            <w:vAlign w:val="bottom"/>
          </w:tcPr>
          <w:p>
            <w:pPr>
              <w:spacing w:after="0"/>
              <w:rPr>
                <w:sz w:val="14"/>
                <w:szCs w:val="14"/>
                <w:color w:val="auto"/>
              </w:rPr>
            </w:pPr>
          </w:p>
        </w:tc>
        <w:tc>
          <w:tcPr>
            <w:tcW w:w="1080" w:type="dxa"/>
            <w:vAlign w:val="bottom"/>
          </w:tcPr>
          <w:p>
            <w:pPr>
              <w:jc w:val="right"/>
              <w:ind w:right="653"/>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6"/>
        </w:trPr>
        <w:tc>
          <w:tcPr>
            <w:tcW w:w="5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67"/>
        </w:trPr>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580" w:type="dxa"/>
            <w:vAlign w:val="bottom"/>
            <w:gridSpan w:val="4"/>
          </w:tcPr>
          <w:p>
            <w:pPr>
              <w:ind w:left="1040"/>
              <w:spacing w:after="0"/>
              <w:rPr>
                <w:sz w:val="20"/>
                <w:szCs w:val="20"/>
                <w:color w:val="auto"/>
              </w:rPr>
            </w:pPr>
            <w:r>
              <w:rPr>
                <w:rFonts w:ascii="Times New Roman" w:cs="Times New Roman" w:eastAsia="Times New Roman" w:hAnsi="Times New Roman"/>
                <w:sz w:val="13"/>
                <w:szCs w:val="13"/>
                <w:color w:val="auto"/>
              </w:rPr>
              <w:t>(dollars in thousands)</w:t>
            </w: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6"/>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03"/>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Restructuring Charges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2,673</w:t>
            </w:r>
          </w:p>
        </w:tc>
        <w:tc>
          <w:tcPr>
            <w:tcW w:w="1280" w:type="dxa"/>
            <w:vAlign w:val="bottom"/>
            <w:tcBorders>
              <w:bottom w:val="single" w:sz="8" w:color="CCEEFF"/>
            </w:tcBorders>
            <w:shd w:val="clear" w:color="auto" w:fill="CCEEFF"/>
          </w:tcPr>
          <w:p>
            <w:pPr>
              <w:jc w:val="right"/>
              <w:ind w:right="1074"/>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tcBorders>
              <w:bottom w:val="single" w:sz="8" w:color="CCEEFF"/>
            </w:tcBorders>
            <w:shd w:val="clear" w:color="auto" w:fill="CCEEFF"/>
          </w:tcPr>
          <w:p>
            <w:pPr>
              <w:jc w:val="right"/>
              <w:ind w:right="553"/>
              <w:spacing w:after="0"/>
              <w:rPr>
                <w:sz w:val="20"/>
                <w:szCs w:val="20"/>
                <w:color w:val="auto"/>
              </w:rPr>
            </w:pPr>
            <w:r>
              <w:rPr>
                <w:rFonts w:ascii="Times New Roman" w:cs="Times New Roman" w:eastAsia="Times New Roman" w:hAnsi="Times New Roman"/>
                <w:sz w:val="14"/>
                <w:szCs w:val="14"/>
                <w:color w:val="auto"/>
              </w:rPr>
              <w:t>2,673</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1"/>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Percentage of total revenue</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nil</w:t>
            </w:r>
          </w:p>
        </w:tc>
        <w:tc>
          <w:tcPr>
            <w:tcW w:w="128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nil</w:t>
            </w: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r>
    </w:tbl>
    <w:p>
      <w:pPr>
        <w:spacing w:after="0" w:line="134" w:lineRule="exact"/>
        <w:rPr>
          <w:sz w:val="20"/>
          <w:szCs w:val="20"/>
          <w:color w:val="auto"/>
        </w:rPr>
      </w:pPr>
    </w:p>
    <w:p>
      <w:pPr>
        <w:ind w:right="500" w:firstLine="255"/>
        <w:spacing w:after="0" w:line="287" w:lineRule="auto"/>
        <w:rPr>
          <w:sz w:val="20"/>
          <w:szCs w:val="20"/>
          <w:color w:val="auto"/>
        </w:rPr>
      </w:pPr>
      <w:r>
        <w:rPr>
          <w:rFonts w:ascii="Times New Roman" w:cs="Times New Roman" w:eastAsia="Times New Roman" w:hAnsi="Times New Roman"/>
          <w:sz w:val="14"/>
          <w:szCs w:val="14"/>
          <w:color w:val="auto"/>
        </w:rPr>
        <w:t>We incurred $2.7 million of restructuring charges for the three months ended December 27, 2025 resulting from severance and other benefits expense primarily related to the reduction of workforce across the organization to align resource investment to business needs.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income, net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60" w:type="dxa"/>
            <w:vAlign w:val="bottom"/>
            <w:gridSpan w:val="4"/>
          </w:tcPr>
          <w:p>
            <w:pPr>
              <w:ind w:left="62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1000" w:type="dxa"/>
            <w:vAlign w:val="bottom"/>
          </w:tcPr>
          <w:p>
            <w:pPr>
              <w:spacing w:after="0"/>
              <w:rPr>
                <w:sz w:val="14"/>
                <w:szCs w:val="14"/>
                <w:color w:val="auto"/>
              </w:rPr>
            </w:pPr>
          </w:p>
        </w:tc>
        <w:tc>
          <w:tcPr>
            <w:tcW w:w="980" w:type="dxa"/>
            <w:vAlign w:val="bottom"/>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060" w:type="dxa"/>
            <w:vAlign w:val="bottom"/>
          </w:tcPr>
          <w:p>
            <w:pPr>
              <w:spacing w:after="0"/>
              <w:rPr>
                <w:sz w:val="14"/>
                <w:szCs w:val="14"/>
                <w:color w:val="auto"/>
              </w:rPr>
            </w:pPr>
          </w:p>
        </w:tc>
      </w:tr>
      <w:tr>
        <w:trPr>
          <w:trHeight w:val="26"/>
        </w:trPr>
        <w:tc>
          <w:tcPr>
            <w:tcW w:w="5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67"/>
        </w:trPr>
        <w:tc>
          <w:tcPr>
            <w:tcW w:w="5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December 27, 2025</w:t>
            </w:r>
          </w:p>
        </w:tc>
        <w:tc>
          <w:tcPr>
            <w:tcW w:w="20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80" w:type="dxa"/>
            <w:vAlign w:val="bottom"/>
          </w:tcPr>
          <w:p>
            <w:pPr>
              <w:spacing w:after="0"/>
              <w:rPr>
                <w:sz w:val="14"/>
                <w:szCs w:val="14"/>
                <w:color w:val="auto"/>
              </w:rPr>
            </w:pPr>
          </w:p>
        </w:tc>
        <w:tc>
          <w:tcPr>
            <w:tcW w:w="1060" w:type="dxa"/>
            <w:vAlign w:val="bottom"/>
          </w:tcPr>
          <w:p>
            <w:pPr>
              <w:jc w:val="right"/>
              <w:ind w:right="633"/>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6"/>
        </w:trPr>
        <w:tc>
          <w:tcPr>
            <w:tcW w:w="5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67"/>
        </w:trPr>
        <w:tc>
          <w:tcPr>
            <w:tcW w:w="5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3"/>
          </w:tcPr>
          <w:p>
            <w:pPr>
              <w:jc w:val="right"/>
              <w:ind w:right="473"/>
              <w:spacing w:after="0"/>
              <w:rPr>
                <w:sz w:val="20"/>
                <w:szCs w:val="20"/>
                <w:color w:val="auto"/>
              </w:rPr>
            </w:pPr>
            <w:r>
              <w:rPr>
                <w:rFonts w:ascii="Times New Roman" w:cs="Times New Roman" w:eastAsia="Times New Roman" w:hAnsi="Times New Roman"/>
                <w:sz w:val="13"/>
                <w:szCs w:val="13"/>
                <w:color w:val="auto"/>
              </w:rPr>
              <w:t>(dollars in thousands)</w:t>
            </w: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6"/>
        </w:trPr>
        <w:tc>
          <w:tcPr>
            <w:tcW w:w="5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4"/>
                <w:szCs w:val="14"/>
                <w:color w:val="auto"/>
              </w:rPr>
              <w:t>13,246</w:t>
            </w:r>
          </w:p>
        </w:tc>
        <w:tc>
          <w:tcPr>
            <w:tcW w:w="2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7,823</w:t>
            </w:r>
          </w:p>
        </w:tc>
        <w:tc>
          <w:tcPr>
            <w:tcW w:w="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833"/>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533"/>
              <w:spacing w:after="0"/>
              <w:rPr>
                <w:sz w:val="20"/>
                <w:szCs w:val="20"/>
                <w:color w:val="auto"/>
              </w:rPr>
            </w:pPr>
            <w:r>
              <w:rPr>
                <w:rFonts w:ascii="Times New Roman" w:cs="Times New Roman" w:eastAsia="Times New Roman" w:hAnsi="Times New Roman"/>
                <w:sz w:val="14"/>
                <w:szCs w:val="14"/>
                <w:color w:val="auto"/>
              </w:rPr>
              <w:t>5,423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69 %</w:t>
            </w:r>
          </w:p>
        </w:tc>
      </w:tr>
      <w:tr>
        <w:trPr>
          <w:trHeight w:val="191"/>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Percentage of total revenue</w:t>
            </w: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60" w:type="dxa"/>
            <w:vAlign w:val="bottom"/>
          </w:tcPr>
          <w:p>
            <w:pPr>
              <w:spacing w:after="0"/>
              <w:rPr>
                <w:sz w:val="16"/>
                <w:szCs w:val="16"/>
                <w:color w:val="auto"/>
              </w:rPr>
            </w:pPr>
          </w:p>
        </w:tc>
      </w:tr>
    </w:tbl>
    <w:p>
      <w:pPr>
        <w:spacing w:after="0" w:line="134"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The increase in other income, net for the three months ended December 27, 2025, as compared to the three months ended December 28, 2024, was due to higher interest earned on invested cash balances as a result of an increase of nearly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43" w:name="page44"/>
    <w:bookmarkEnd w:id="43"/>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million on our cash balance for the three months ended December 27, 2025, as compared to the three months ended December 28, 2024.</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20" w:type="dxa"/>
            <w:vAlign w:val="bottom"/>
            <w:gridSpan w:val="4"/>
          </w:tcPr>
          <w:p>
            <w:pPr>
              <w:ind w:left="56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1020" w:type="dxa"/>
            <w:vAlign w:val="bottom"/>
          </w:tcPr>
          <w:p>
            <w:pPr>
              <w:spacing w:after="0"/>
              <w:rPr>
                <w:sz w:val="14"/>
                <w:szCs w:val="14"/>
                <w:color w:val="auto"/>
              </w:rPr>
            </w:pPr>
          </w:p>
        </w:tc>
        <w:tc>
          <w:tcPr>
            <w:tcW w:w="980" w:type="dxa"/>
            <w:vAlign w:val="bottom"/>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080" w:type="dxa"/>
            <w:vAlign w:val="bottom"/>
          </w:tcPr>
          <w:p>
            <w:pPr>
              <w:spacing w:after="0"/>
              <w:rPr>
                <w:sz w:val="14"/>
                <w:szCs w:val="14"/>
                <w:color w:val="auto"/>
              </w:rPr>
            </w:pPr>
          </w:p>
        </w:tc>
      </w:tr>
      <w:tr>
        <w:trPr>
          <w:trHeight w:val="26"/>
        </w:trPr>
        <w:tc>
          <w:tcPr>
            <w:tcW w:w="5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67"/>
        </w:trPr>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December 27, 2025</w:t>
            </w:r>
          </w:p>
        </w:tc>
        <w:tc>
          <w:tcPr>
            <w:tcW w:w="20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80" w:type="dxa"/>
            <w:vAlign w:val="bottom"/>
          </w:tcPr>
          <w:p>
            <w:pPr>
              <w:spacing w:after="0"/>
              <w:rPr>
                <w:sz w:val="14"/>
                <w:szCs w:val="14"/>
                <w:color w:val="auto"/>
              </w:rPr>
            </w:pPr>
          </w:p>
        </w:tc>
        <w:tc>
          <w:tcPr>
            <w:tcW w:w="1080" w:type="dxa"/>
            <w:vAlign w:val="bottom"/>
          </w:tcPr>
          <w:p>
            <w:pPr>
              <w:jc w:val="right"/>
              <w:ind w:right="653"/>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6"/>
        </w:trPr>
        <w:tc>
          <w:tcPr>
            <w:tcW w:w="5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67"/>
        </w:trPr>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3"/>
          </w:tcPr>
          <w:p>
            <w:pPr>
              <w:jc w:val="right"/>
              <w:ind w:right="393"/>
              <w:spacing w:after="0"/>
              <w:rPr>
                <w:sz w:val="20"/>
                <w:szCs w:val="20"/>
                <w:color w:val="auto"/>
              </w:rPr>
            </w:pPr>
            <w:r>
              <w:rPr>
                <w:rFonts w:ascii="Times New Roman" w:cs="Times New Roman" w:eastAsia="Times New Roman" w:hAnsi="Times New Roman"/>
                <w:sz w:val="13"/>
                <w:szCs w:val="13"/>
                <w:color w:val="auto"/>
              </w:rPr>
              <w:t>(dollars in thousands)</w:t>
            </w: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6"/>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03"/>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873"/>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ind w:right="513"/>
              <w:spacing w:after="0"/>
              <w:rPr>
                <w:sz w:val="20"/>
                <w:szCs w:val="20"/>
                <w:color w:val="auto"/>
              </w:rPr>
            </w:pPr>
            <w:r>
              <w:rPr>
                <w:rFonts w:ascii="Times New Roman" w:cs="Times New Roman" w:eastAsia="Times New Roman" w:hAnsi="Times New Roman"/>
                <w:sz w:val="14"/>
                <w:szCs w:val="14"/>
                <w:color w:val="auto"/>
              </w:rPr>
              <w:t>(465)</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310 %</w:t>
            </w:r>
          </w:p>
        </w:tc>
      </w:tr>
      <w:tr>
        <w:trPr>
          <w:trHeight w:val="191"/>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Percentage of total revenue</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nil</w:t>
            </w:r>
          </w:p>
        </w:tc>
        <w:tc>
          <w:tcPr>
            <w:tcW w:w="200" w:type="dxa"/>
            <w:vAlign w:val="bottom"/>
          </w:tcPr>
          <w:p>
            <w:pPr>
              <w:spacing w:after="0"/>
              <w:rPr>
                <w:sz w:val="16"/>
                <w:szCs w:val="16"/>
                <w:color w:val="auto"/>
              </w:rPr>
            </w:pPr>
          </w:p>
        </w:tc>
        <w:tc>
          <w:tcPr>
            <w:tcW w:w="138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nil</w:t>
            </w: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r>
    </w:tbl>
    <w:p>
      <w:pPr>
        <w:spacing w:after="0" w:line="134" w:lineRule="exact"/>
        <w:rPr>
          <w:sz w:val="20"/>
          <w:szCs w:val="20"/>
          <w:color w:val="auto"/>
        </w:rPr>
      </w:pPr>
    </w:p>
    <w:p>
      <w:pPr>
        <w:ind w:right="640" w:firstLine="255"/>
        <w:spacing w:after="0" w:line="287" w:lineRule="auto"/>
        <w:rPr>
          <w:sz w:val="20"/>
          <w:szCs w:val="20"/>
          <w:color w:val="auto"/>
        </w:rPr>
      </w:pPr>
      <w:r>
        <w:rPr>
          <w:rFonts w:ascii="Times New Roman" w:cs="Times New Roman" w:eastAsia="Times New Roman" w:hAnsi="Times New Roman"/>
          <w:sz w:val="14"/>
          <w:szCs w:val="14"/>
          <w:color w:val="auto"/>
        </w:rPr>
        <w:t>The increase in income tax expense for the three months ended December 27, 2025, as compared to the three months ended December 28, 2024, is attributable to the expense related to international income taxes offset by a benefit in international taxes.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96"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In addition to providing financial measurements based on GAAP, we provide additional financial metrics that are not prepared in accordance with GAAP, or non-GAAP financial measures. We use these non-GAAP financial measures, in addition to GAAP financial measures, to understand and compare operating results across accounting periods, for financial and operational decision making, for planning and forecasting purposes, to measure executive compensation, and to evaluate our financial performance. These non-GAAP financial measures are Adjusted EBITDA, Adjusted gross profit, Adjusted gross profit margin, Adjusted research and development expenses, Adjusted selling, general, and administrative expenses, and free cash flow, as discussed below.</w:t>
      </w:r>
    </w:p>
    <w:p>
      <w:pPr>
        <w:spacing w:after="0" w:line="13" w:lineRule="exact"/>
        <w:rPr>
          <w:sz w:val="20"/>
          <w:szCs w:val="20"/>
          <w:color w:val="auto"/>
        </w:rPr>
      </w:pPr>
    </w:p>
    <w:p>
      <w:pPr>
        <w:ind w:right="100" w:firstLine="255"/>
        <w:spacing w:after="0" w:line="264" w:lineRule="auto"/>
        <w:rPr>
          <w:sz w:val="20"/>
          <w:szCs w:val="20"/>
          <w:color w:val="auto"/>
        </w:rPr>
      </w:pPr>
      <w:r>
        <w:rPr>
          <w:rFonts w:ascii="Times New Roman" w:cs="Times New Roman" w:eastAsia="Times New Roman" w:hAnsi="Times New Roman"/>
          <w:sz w:val="14"/>
          <w:szCs w:val="14"/>
          <w:color w:val="auto"/>
        </w:rPr>
        <w:t>We believe that these non-GAAP financial measures reflect our ongoing business in a manner that allows for meaningful comparisons and analysis of trends in the business, as it facilitates comparing financial results across accounting periods and to those of peer companies. We also believe that these non-GAAP financial measures enable investors to evaluate our operating results and future prospects in the same manner as we do. These non-GAAP financial measures may exclude expenses and gains that may be unusual in nature, infrequent, or not reflective of our ongoing operating results.</w:t>
      </w:r>
    </w:p>
    <w:p>
      <w:pPr>
        <w:spacing w:after="0" w:line="13" w:lineRule="exact"/>
        <w:rPr>
          <w:sz w:val="20"/>
          <w:szCs w:val="20"/>
          <w:color w:val="auto"/>
        </w:rPr>
      </w:pPr>
    </w:p>
    <w:p>
      <w:pPr>
        <w:ind w:right="420" w:firstLine="255"/>
        <w:spacing w:after="0" w:line="284" w:lineRule="auto"/>
        <w:rPr>
          <w:sz w:val="20"/>
          <w:szCs w:val="20"/>
          <w:color w:val="auto"/>
        </w:rPr>
      </w:pPr>
      <w:r>
        <w:rPr>
          <w:rFonts w:ascii="Times New Roman" w:cs="Times New Roman" w:eastAsia="Times New Roman" w:hAnsi="Times New Roman"/>
          <w:sz w:val="14"/>
          <w:szCs w:val="14"/>
          <w:color w:val="auto"/>
        </w:rPr>
        <w:t>The non-GAAP financial measures do not replace the presentation of our GAAP financial measures and should only be used as a supplement to, not as a substitute for, our financial results presented in accordance with GAAP.</w:t>
      </w:r>
    </w:p>
    <w:p>
      <w:pPr>
        <w:spacing w:after="0" w:line="1"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We consider Adjusted EBITDA to be an important indicator of the operational strength and performance of our business and a good measure of our historical operating trends. Adjusted EBITDA eliminates items that we do not consider to be part of our core operations. We define Adjusted EBITDA as GAAP net loss excluding the following items: interest income; income taxes; depreciation and amortization of tangible and intangible assets; stock-based compensation; business combination transaction expenses; equity method investment; internal control remediation; business transformation costs; fair value adjustments on strategic investments; restructuring charges; and other infrequent items that may arise from time to time.</w:t>
      </w:r>
    </w:p>
    <w:p>
      <w:pPr>
        <w:spacing w:after="0" w:line="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non-GAAP adjustments, and our basis for excluding them from our non-GAAP financial measures, are outlined below:</w:t>
      </w:r>
    </w:p>
    <w:p>
      <w:pPr>
        <w:spacing w:after="0" w:line="49" w:lineRule="exact"/>
        <w:rPr>
          <w:sz w:val="20"/>
          <w:szCs w:val="20"/>
          <w:color w:val="auto"/>
        </w:rPr>
      </w:pPr>
    </w:p>
    <w:p>
      <w:pPr>
        <w:ind w:left="260" w:right="160" w:hanging="255"/>
        <w:spacing w:after="0" w:line="262" w:lineRule="auto"/>
        <w:tabs>
          <w:tab w:leader="none" w:pos="25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Stock-based compensation </w:t>
      </w:r>
      <w:r>
        <w:rPr>
          <w:rFonts w:ascii="Times New Roman" w:cs="Times New Roman" w:eastAsia="Times New Roman" w:hAnsi="Times New Roman"/>
          <w:sz w:val="14"/>
          <w:szCs w:val="14"/>
          <w:color w:val="auto"/>
        </w:rPr>
        <w:t>– Although stock-based compensation is an important aspect of the compensation paid to our employees, the grant date fair value varies based on the derived stock</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price at the time of grant, varying valuation methodologies, subjective assumptions, and the variety of award types. This makes the comparison of our current financial results to previous and future periods difficult to interpret; therefore, we believe it is useful to exclude stock-based compensation from our non-GAAP financial measures in order to highlight the performance of our business and to be consistent with the way many investors evaluate our performance and compare our operating results to peer companies. Our stock-based compensation non-GAAP financial measures exclusion includes non-cash stock-based compensation expense and payroll taxes related to stock-based compensation awards.</w:t>
      </w:r>
    </w:p>
    <w:p>
      <w:pPr>
        <w:spacing w:after="0" w:line="12" w:lineRule="exact"/>
        <w:rPr>
          <w:rFonts w:ascii="Times New Roman" w:cs="Times New Roman" w:eastAsia="Times New Roman" w:hAnsi="Times New Roman"/>
          <w:sz w:val="14"/>
          <w:szCs w:val="14"/>
          <w:color w:val="auto"/>
        </w:rPr>
      </w:pPr>
    </w:p>
    <w:p>
      <w:pPr>
        <w:ind w:left="260" w:right="220" w:hanging="255"/>
        <w:spacing w:after="0" w:line="265" w:lineRule="auto"/>
        <w:tabs>
          <w:tab w:leader="none" w:pos="256"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Business combination transaction expenses </w:t>
      </w:r>
      <w:r>
        <w:rPr>
          <w:rFonts w:ascii="Times New Roman" w:cs="Times New Roman" w:eastAsia="Times New Roman" w:hAnsi="Times New Roman"/>
          <w:sz w:val="14"/>
          <w:szCs w:val="14"/>
          <w:color w:val="auto"/>
        </w:rPr>
        <w:t>– Business combination transaction expenses represent the expenses incurred related to strategic acquisition opportunities. It primarily includes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investment banker fees, legal fees, professional fees for accountants, transaction fees, advisory fees, due diligence costs, certain other professional fees, and other direct costs associated with strategic activities. These amounts are impacted by the timing of the strategic acquisition opportunities which we may pursue. We exclude business combination transaction expenses from our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44" w:name="page45"/>
    <w:bookmarkEnd w:id="44"/>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0" w:right="140"/>
        <w:spacing w:after="0" w:line="283" w:lineRule="auto"/>
        <w:rPr>
          <w:sz w:val="20"/>
          <w:szCs w:val="20"/>
          <w:color w:val="auto"/>
        </w:rPr>
      </w:pPr>
      <w:r>
        <w:rPr>
          <w:rFonts w:ascii="Times New Roman" w:cs="Times New Roman" w:eastAsia="Times New Roman" w:hAnsi="Times New Roman"/>
          <w:sz w:val="14"/>
          <w:szCs w:val="14"/>
          <w:color w:val="auto"/>
        </w:rPr>
        <w:t>GAAP financial measures to provide a useful comparison of our operating results to prior periods and to peer companies because such amounts vary significantly based on the magnitude of the transaction and do not reflect our core operations.</w:t>
      </w:r>
    </w:p>
    <w:p>
      <w:pPr>
        <w:ind w:left="260" w:right="280" w:hanging="255"/>
        <w:spacing w:after="0" w:line="260" w:lineRule="auto"/>
        <w:tabs>
          <w:tab w:leader="none" w:pos="256"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Restructuring charges </w:t>
      </w:r>
      <w:r>
        <w:rPr>
          <w:rFonts w:ascii="Times New Roman" w:cs="Times New Roman" w:eastAsia="Times New Roman" w:hAnsi="Times New Roman"/>
          <w:sz w:val="14"/>
          <w:szCs w:val="14"/>
          <w:color w:val="auto"/>
        </w:rPr>
        <w:t>– Restructuring charges are costs associated with restructuring plans and are primarily related to employee severance and benefit arrangements, lower of cost and net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realizable value adjustments to inventory and long-lived assets that will no longer be used in operations, and termination fees for any contracts cancelled as part of the restructuring plan. The restructuring charges in fiscal year 2025 represent those charges incurred related to a reduction of our workforce across all areas of the employees that joined the Company’s workforce in connection with the ASR Acquisition. We exclude these items from our non-GAAP financial measures when evaluating our continuing business performance as such items vary significantly based on the magnitude of the restructuring action and do not reflect future expected operating expenses. In addition, these charges do not necessarily provide meaningful insight into the fundamentals of current or past operations of our business.</w:t>
      </w:r>
    </w:p>
    <w:p>
      <w:pPr>
        <w:spacing w:after="0" w:line="14" w:lineRule="exact"/>
        <w:rPr>
          <w:rFonts w:ascii="Times New Roman" w:cs="Times New Roman" w:eastAsia="Times New Roman" w:hAnsi="Times New Roman"/>
          <w:sz w:val="14"/>
          <w:szCs w:val="14"/>
          <w:b w:val="1"/>
          <w:bCs w:val="1"/>
          <w:color w:val="auto"/>
        </w:rPr>
      </w:pPr>
    </w:p>
    <w:p>
      <w:pPr>
        <w:ind w:left="260" w:right="200" w:hanging="255"/>
        <w:spacing w:after="0" w:line="271" w:lineRule="auto"/>
        <w:tabs>
          <w:tab w:leader="none" w:pos="256"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Equity method investment </w:t>
      </w:r>
      <w:r>
        <w:rPr>
          <w:rFonts w:ascii="Times New Roman" w:cs="Times New Roman" w:eastAsia="Times New Roman" w:hAnsi="Times New Roman"/>
          <w:sz w:val="14"/>
          <w:szCs w:val="14"/>
          <w:color w:val="auto"/>
        </w:rPr>
        <w:t>– Equity method investment represents our proportionate share of income or loss of unconsolidated variable interest entities. We exclude this from our non-GAAP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financial measures to provide a useful comparison of our operating results to prior periods and to our peer companies because such amounts are not representative of our normal operating activities.</w:t>
      </w:r>
    </w:p>
    <w:p>
      <w:pPr>
        <w:spacing w:after="0" w:line="6" w:lineRule="exact"/>
        <w:rPr>
          <w:rFonts w:ascii="Times New Roman" w:cs="Times New Roman" w:eastAsia="Times New Roman" w:hAnsi="Times New Roman"/>
          <w:sz w:val="14"/>
          <w:szCs w:val="14"/>
          <w:b w:val="1"/>
          <w:bCs w:val="1"/>
          <w:color w:val="auto"/>
        </w:rPr>
      </w:pPr>
    </w:p>
    <w:p>
      <w:pPr>
        <w:jc w:val="both"/>
        <w:ind w:left="260" w:right="280" w:hanging="255"/>
        <w:spacing w:after="0" w:line="271" w:lineRule="auto"/>
        <w:tabs>
          <w:tab w:leader="none" w:pos="25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Internal control remediation </w:t>
      </w:r>
      <w:r>
        <w:rPr>
          <w:rFonts w:ascii="Times New Roman" w:cs="Times New Roman" w:eastAsia="Times New Roman" w:hAnsi="Times New Roman"/>
          <w:sz w:val="14"/>
          <w:szCs w:val="14"/>
          <w:color w:val="auto"/>
        </w:rPr>
        <w:t>– Internal control remediation costs represent professional services fees related to the Company’s efforts to remediate internal control material weaknesses. We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excluded these fees from our non-GAAP financial measures to provide a useful comparison of our operating results to prior periods and to our peer companies because such amounts are not representative of our normal operating activities.</w:t>
      </w:r>
    </w:p>
    <w:p>
      <w:pPr>
        <w:spacing w:after="0" w:line="6"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Business transformation costs </w:t>
      </w:r>
      <w:r>
        <w:rPr>
          <w:rFonts w:ascii="Times New Roman" w:cs="Times New Roman" w:eastAsia="Times New Roman" w:hAnsi="Times New Roman"/>
          <w:sz w:val="14"/>
          <w:szCs w:val="14"/>
          <w:color w:val="auto"/>
        </w:rPr>
        <w:t>– Business transformation costs represent consultancy fees incurred for specific business initiatives that do not reflect the cost of normal business operations.</w:t>
      </w:r>
    </w:p>
    <w:p>
      <w:pPr>
        <w:spacing w:after="0" w:line="51" w:lineRule="exact"/>
        <w:rPr>
          <w:rFonts w:ascii="Times New Roman" w:cs="Times New Roman" w:eastAsia="Times New Roman" w:hAnsi="Times New Roman"/>
          <w:sz w:val="14"/>
          <w:szCs w:val="14"/>
          <w:b w:val="1"/>
          <w:bCs w:val="1"/>
          <w:color w:val="auto"/>
        </w:rPr>
      </w:pPr>
    </w:p>
    <w:p>
      <w:pPr>
        <w:ind w:left="260" w:right="180" w:hanging="255"/>
        <w:spacing w:after="0" w:line="265" w:lineRule="auto"/>
        <w:tabs>
          <w:tab w:leader="none" w:pos="256"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Fair value adjustments on strategic investments </w:t>
      </w:r>
      <w:r>
        <w:rPr>
          <w:rFonts w:ascii="Times New Roman" w:cs="Times New Roman" w:eastAsia="Times New Roman" w:hAnsi="Times New Roman"/>
          <w:sz w:val="14"/>
          <w:szCs w:val="14"/>
          <w:color w:val="auto"/>
        </w:rPr>
        <w:t>– Fair value adjustments on strategic investments primarily consist of the gain or loss on strategic investments, which includes recurring fair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value adjustments which are adjusted for observable price changes and any potential impairments. See Note 12, </w:t>
      </w:r>
      <w:r>
        <w:rPr>
          <w:rFonts w:ascii="Times New Roman" w:cs="Times New Roman" w:eastAsia="Times New Roman" w:hAnsi="Times New Roman"/>
          <w:sz w:val="14"/>
          <w:szCs w:val="14"/>
          <w:i w:val="1"/>
          <w:iCs w:val="1"/>
          <w:color w:val="auto"/>
        </w:rPr>
        <w:t>Fair Value Measures</w:t>
      </w:r>
      <w:r>
        <w:rPr>
          <w:rFonts w:ascii="Times New Roman" w:cs="Times New Roman" w:eastAsia="Times New Roman" w:hAnsi="Times New Roman"/>
          <w:sz w:val="14"/>
          <w:szCs w:val="14"/>
          <w:color w:val="auto"/>
        </w:rPr>
        <w:t>, included in this report for additional information on our strategic investment activity. We exclude fair value adjustments on strategic investments given the volatility in ongoing adjustments to the valuation of these strategic investments and because such adjustments are unrelated to the operating performance of our business.</w:t>
      </w:r>
    </w:p>
    <w:p>
      <w:pPr>
        <w:spacing w:after="0" w:line="12"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following table reconciles GAAP net loss to Adjusted EBITDA for the three months ended December 27, 2025 and December 28, 2024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gridSpan w:val="4"/>
          </w:tcPr>
          <w:p>
            <w:pPr>
              <w:jc w:val="right"/>
              <w:ind w:right="850"/>
              <w:spacing w:after="0"/>
              <w:rPr>
                <w:sz w:val="20"/>
                <w:szCs w:val="20"/>
                <w:color w:val="auto"/>
              </w:rPr>
            </w:pPr>
            <w:r>
              <w:rPr>
                <w:rFonts w:ascii="Times New Roman" w:cs="Times New Roman" w:eastAsia="Times New Roman" w:hAnsi="Times New Roman"/>
                <w:sz w:val="13"/>
                <w:szCs w:val="13"/>
                <w:b w:val="1"/>
                <w:bCs w:val="1"/>
                <w:color w:val="auto"/>
              </w:rPr>
              <w:t>Three Months Ended</w:t>
            </w:r>
          </w:p>
        </w:tc>
      </w:tr>
      <w:tr>
        <w:trPr>
          <w:trHeight w:val="26"/>
        </w:trPr>
        <w:tc>
          <w:tcPr>
            <w:tcW w:w="8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67"/>
        </w:trPr>
        <w:tc>
          <w:tcPr>
            <w:tcW w:w="8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27, 2025</w:t>
            </w:r>
          </w:p>
        </w:tc>
        <w:tc>
          <w:tcPr>
            <w:tcW w:w="160" w:type="dxa"/>
            <w:vAlign w:val="bottom"/>
          </w:tcPr>
          <w:p>
            <w:pPr>
              <w:spacing w:after="0"/>
              <w:rPr>
                <w:sz w:val="14"/>
                <w:szCs w:val="14"/>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December 28, 2024</w:t>
            </w:r>
          </w:p>
        </w:tc>
      </w:tr>
      <w:tr>
        <w:trPr>
          <w:trHeight w:val="26"/>
        </w:trPr>
        <w:tc>
          <w:tcPr>
            <w:tcW w:w="8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3"/>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13,358</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(16,859)</w:t>
            </w:r>
          </w:p>
        </w:tc>
      </w:tr>
      <w:tr>
        <w:trPr>
          <w:trHeight w:val="191"/>
        </w:trPr>
        <w:tc>
          <w:tcPr>
            <w:tcW w:w="8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income</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(7,769)</w:t>
            </w: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8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 expense</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r>
      <w:tr>
        <w:trPr>
          <w:trHeight w:val="191"/>
        </w:trPr>
        <w:tc>
          <w:tcPr>
            <w:tcW w:w="8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6,860</w:t>
            </w: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8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44,118</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27,081</w:t>
            </w:r>
          </w:p>
        </w:tc>
      </w:tr>
      <w:tr>
        <w:trPr>
          <w:trHeight w:val="191"/>
        </w:trPr>
        <w:tc>
          <w:tcPr>
            <w:tcW w:w="8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Business combination transaction expenses</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3,802</w:t>
            </w: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8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Restructuring charges</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2,624</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8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Equity method investment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1,564</w:t>
            </w: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8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Internal control remediation</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3,076</w:t>
            </w:r>
          </w:p>
        </w:tc>
      </w:tr>
      <w:tr>
        <w:trPr>
          <w:trHeight w:val="191"/>
        </w:trPr>
        <w:tc>
          <w:tcPr>
            <w:tcW w:w="8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Business transformation costs</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8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Fair value adjustments on strategic investments</w:t>
            </w: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66,903</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17,905</w:t>
            </w:r>
          </w:p>
        </w:tc>
      </w:tr>
      <w:tr>
        <w:trPr>
          <w:trHeight w:val="20"/>
        </w:trPr>
        <w:tc>
          <w:tcPr>
            <w:tcW w:w="8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We consider Adjusted gross profit and Adjusted gross profit margin to be important indicators of profitability which we use in our financial and operational decision-making and evaluation of our overall operating performance. We define Adjusted gross profit, a non-GAAP financial measure, as GAAP gross profit excluding the following items: depreciation, stock-based compensation, and restructuring charges. We define Adjusted gross profit margin, a non-GAAP financial measure, as non-GAAP Adjusted gross profit divided by total revenue. The following table reconciles GAAP gross profit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45" w:name="page46"/>
    <w:bookmarkEnd w:id="45"/>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Adjusted gross profit and gross profit margin to Adjusted gross profit margin during the periods presented (dollars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gridSpan w:val="4"/>
          </w:tcPr>
          <w:p>
            <w:pPr>
              <w:jc w:val="right"/>
              <w:ind w:right="850"/>
              <w:spacing w:after="0"/>
              <w:rPr>
                <w:sz w:val="20"/>
                <w:szCs w:val="20"/>
                <w:color w:val="auto"/>
              </w:rPr>
            </w:pPr>
            <w:r>
              <w:rPr>
                <w:rFonts w:ascii="Times New Roman" w:cs="Times New Roman" w:eastAsia="Times New Roman" w:hAnsi="Times New Roman"/>
                <w:sz w:val="13"/>
                <w:szCs w:val="13"/>
                <w:b w:val="1"/>
                <w:bCs w:val="1"/>
                <w:color w:val="auto"/>
              </w:rPr>
              <w:t>Three Months Ended</w:t>
            </w:r>
          </w:p>
        </w:tc>
      </w:tr>
      <w:tr>
        <w:trPr>
          <w:trHeight w:val="26"/>
        </w:trPr>
        <w:tc>
          <w:tcPr>
            <w:tcW w:w="8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67"/>
        </w:trPr>
        <w:tc>
          <w:tcPr>
            <w:tcW w:w="8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27, 2025</w:t>
            </w:r>
          </w:p>
        </w:tc>
        <w:tc>
          <w:tcPr>
            <w:tcW w:w="160" w:type="dxa"/>
            <w:vAlign w:val="bottom"/>
          </w:tcPr>
          <w:p>
            <w:pPr>
              <w:spacing w:after="0"/>
              <w:rPr>
                <w:sz w:val="14"/>
                <w:szCs w:val="14"/>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December 28, 2024</w:t>
            </w:r>
          </w:p>
        </w:tc>
      </w:tr>
      <w:tr>
        <w:trPr>
          <w:trHeight w:val="26"/>
        </w:trPr>
        <w:tc>
          <w:tcPr>
            <w:tcW w:w="8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3"/>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133,424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81,016</w:t>
            </w:r>
          </w:p>
        </w:tc>
      </w:tr>
      <w:tr>
        <w:trPr>
          <w:trHeight w:val="191"/>
        </w:trPr>
        <w:tc>
          <w:tcPr>
            <w:tcW w:w="8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2,469</w:t>
            </w: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8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2,733</w:t>
            </w:r>
          </w:p>
        </w:tc>
      </w:tr>
      <w:tr>
        <w:trPr>
          <w:trHeight w:val="191"/>
        </w:trPr>
        <w:tc>
          <w:tcPr>
            <w:tcW w:w="8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Restructuring charges</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8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3"/>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gross profit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147,247</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86,218</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06"/>
        </w:trPr>
        <w:tc>
          <w:tcPr>
            <w:tcW w:w="8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203"/>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 margin</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21.2 %</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16.6 %</w:t>
            </w:r>
          </w:p>
        </w:tc>
      </w:tr>
      <w:tr>
        <w:trPr>
          <w:trHeight w:val="19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gross profit margin</w:t>
            </w:r>
          </w:p>
        </w:tc>
        <w:tc>
          <w:tcPr>
            <w:tcW w:w="140" w:type="dxa"/>
            <w:vAlign w:val="bottom"/>
          </w:tcPr>
          <w:p>
            <w:pPr>
              <w:spacing w:after="0"/>
              <w:rPr>
                <w:sz w:val="16"/>
                <w:szCs w:val="16"/>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23.4 %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17.7 %</w:t>
            </w:r>
          </w:p>
        </w:tc>
      </w:tr>
    </w:tbl>
    <w:p>
      <w:pPr>
        <w:spacing w:after="0" w:line="124"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4"/>
          <w:szCs w:val="14"/>
          <w:color w:val="auto"/>
        </w:rPr>
        <w:t>We consider Adjusted research and development expenses and Adjusted selling, general, and administrative expenses to be important indicators of profitability which we use in our financial and operational decision-making and evaluation of our overall operating performance. We define Adjusted research and development expenses and Adjusted selling, general, and administrative expenses as GAAP research and development expense or selling, general, and administrative expense excluding the items indicated in the tables below. The following tables reconcile GAAP research and development expenses to Adjusted research and development expenses and GAAP selling, general, and administrative expenses to Adjusted selling, general, and administrative expenses during the periods presented (in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gridSpan w:val="4"/>
          </w:tcPr>
          <w:p>
            <w:pPr>
              <w:jc w:val="right"/>
              <w:ind w:right="850"/>
              <w:spacing w:after="0"/>
              <w:rPr>
                <w:sz w:val="20"/>
                <w:szCs w:val="20"/>
                <w:color w:val="auto"/>
              </w:rPr>
            </w:pPr>
            <w:r>
              <w:rPr>
                <w:rFonts w:ascii="Times New Roman" w:cs="Times New Roman" w:eastAsia="Times New Roman" w:hAnsi="Times New Roman"/>
                <w:sz w:val="13"/>
                <w:szCs w:val="13"/>
                <w:b w:val="1"/>
                <w:bCs w:val="1"/>
                <w:color w:val="auto"/>
              </w:rPr>
              <w:t>Three Months Ended</w:t>
            </w:r>
          </w:p>
        </w:tc>
      </w:tr>
      <w:tr>
        <w:trPr>
          <w:trHeight w:val="26"/>
        </w:trPr>
        <w:tc>
          <w:tcPr>
            <w:tcW w:w="8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67"/>
        </w:trPr>
        <w:tc>
          <w:tcPr>
            <w:tcW w:w="8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27, 2025</w:t>
            </w:r>
          </w:p>
        </w:tc>
        <w:tc>
          <w:tcPr>
            <w:tcW w:w="160" w:type="dxa"/>
            <w:vAlign w:val="bottom"/>
          </w:tcPr>
          <w:p>
            <w:pPr>
              <w:spacing w:after="0"/>
              <w:rPr>
                <w:sz w:val="14"/>
                <w:szCs w:val="14"/>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December 28, 2024</w:t>
            </w:r>
          </w:p>
        </w:tc>
      </w:tr>
      <w:tr>
        <w:trPr>
          <w:trHeight w:val="26"/>
        </w:trPr>
        <w:tc>
          <w:tcPr>
            <w:tcW w:w="8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3"/>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43,006</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43,279</w:t>
            </w:r>
          </w:p>
        </w:tc>
      </w:tr>
      <w:tr>
        <w:trPr>
          <w:trHeight w:val="191"/>
        </w:trPr>
        <w:tc>
          <w:tcPr>
            <w:tcW w:w="8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(2,300)</w:t>
            </w: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8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(12,251)</w:t>
            </w:r>
          </w:p>
        </w:tc>
      </w:tr>
      <w:tr>
        <w:trPr>
          <w:trHeight w:val="208"/>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research and development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29,866</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28,728</w:t>
            </w:r>
          </w:p>
        </w:tc>
      </w:tr>
      <w:tr>
        <w:trPr>
          <w:trHeight w:val="20"/>
        </w:trPr>
        <w:tc>
          <w:tcPr>
            <w:tcW w:w="8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r>
      <w:tr>
        <w:trPr>
          <w:trHeight w:val="302"/>
        </w:trPr>
        <w:tc>
          <w:tcPr>
            <w:tcW w:w="8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40" w:type="dxa"/>
            <w:vAlign w:val="bottom"/>
            <w:gridSpan w:val="4"/>
          </w:tcPr>
          <w:p>
            <w:pPr>
              <w:jc w:val="right"/>
              <w:ind w:right="850"/>
              <w:spacing w:after="0"/>
              <w:rPr>
                <w:sz w:val="20"/>
                <w:szCs w:val="20"/>
                <w:color w:val="auto"/>
              </w:rPr>
            </w:pPr>
            <w:r>
              <w:rPr>
                <w:rFonts w:ascii="Times New Roman" w:cs="Times New Roman" w:eastAsia="Times New Roman" w:hAnsi="Times New Roman"/>
                <w:sz w:val="13"/>
                <w:szCs w:val="13"/>
                <w:b w:val="1"/>
                <w:bCs w:val="1"/>
                <w:color w:val="auto"/>
              </w:rPr>
              <w:t>Three Months Ended</w:t>
            </w:r>
          </w:p>
        </w:tc>
      </w:tr>
      <w:tr>
        <w:trPr>
          <w:trHeight w:val="26"/>
        </w:trPr>
        <w:tc>
          <w:tcPr>
            <w:tcW w:w="8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67"/>
        </w:trPr>
        <w:tc>
          <w:tcPr>
            <w:tcW w:w="8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27, 2025</w:t>
            </w:r>
          </w:p>
        </w:tc>
        <w:tc>
          <w:tcPr>
            <w:tcW w:w="160" w:type="dxa"/>
            <w:vAlign w:val="bottom"/>
          </w:tcPr>
          <w:p>
            <w:pPr>
              <w:spacing w:after="0"/>
              <w:rPr>
                <w:sz w:val="14"/>
                <w:szCs w:val="14"/>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December 28, 2024</w:t>
            </w:r>
          </w:p>
        </w:tc>
      </w:tr>
      <w:tr>
        <w:trPr>
          <w:trHeight w:val="26"/>
        </w:trPr>
        <w:tc>
          <w:tcPr>
            <w:tcW w:w="8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3"/>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81,219</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60,705</w:t>
            </w:r>
          </w:p>
        </w:tc>
      </w:tr>
      <w:tr>
        <w:trPr>
          <w:trHeight w:val="191"/>
        </w:trPr>
        <w:tc>
          <w:tcPr>
            <w:tcW w:w="8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(2,090)</w:t>
            </w: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8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(23,585)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(12,781)</w:t>
            </w:r>
          </w:p>
        </w:tc>
      </w:tr>
      <w:tr>
        <w:trPr>
          <w:trHeight w:val="191"/>
        </w:trPr>
        <w:tc>
          <w:tcPr>
            <w:tcW w:w="8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Business combination transaction expenses</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(3,802)</w:t>
            </w: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8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Internal control remediation</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(3,076)</w:t>
            </w:r>
          </w:p>
        </w:tc>
      </w:tr>
      <w:tr>
        <w:trPr>
          <w:trHeight w:val="191"/>
        </w:trPr>
        <w:tc>
          <w:tcPr>
            <w:tcW w:w="8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Business transformation costs</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8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3"/>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selling, general, and administrative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50,463</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38,956</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We consider free cash flow to be an important indicator of financial liquidity, which we use in our financial and operational decision-making and evaluation of our overall operating performance. We define free cash flow as net cash provided by, or used in, operating activities less purchases of property and equipment and capitalization of internal use software development costs. The following table reconciles GAAP net cash provided by, or used in, operating activities to free cash flow during the periods presented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46" w:name="page47"/>
    <w:bookmarkEnd w:id="46"/>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gridSpan w:val="4"/>
          </w:tcPr>
          <w:p>
            <w:pPr>
              <w:jc w:val="right"/>
              <w:ind w:right="851"/>
              <w:spacing w:after="0"/>
              <w:rPr>
                <w:sz w:val="20"/>
                <w:szCs w:val="20"/>
                <w:color w:val="auto"/>
              </w:rPr>
            </w:pPr>
            <w:r>
              <w:rPr>
                <w:rFonts w:ascii="Times New Roman" w:cs="Times New Roman" w:eastAsia="Times New Roman" w:hAnsi="Times New Roman"/>
                <w:sz w:val="13"/>
                <w:szCs w:val="13"/>
                <w:b w:val="1"/>
                <w:bCs w:val="1"/>
                <w:color w:val="auto"/>
              </w:rPr>
              <w:t>Three Months Ended</w:t>
            </w:r>
          </w:p>
        </w:tc>
      </w:tr>
      <w:tr>
        <w:trPr>
          <w:trHeight w:val="26"/>
        </w:trPr>
        <w:tc>
          <w:tcPr>
            <w:tcW w:w="8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67"/>
        </w:trPr>
        <w:tc>
          <w:tcPr>
            <w:tcW w:w="8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27, 2025</w:t>
            </w:r>
          </w:p>
        </w:tc>
        <w:tc>
          <w:tcPr>
            <w:tcW w:w="160" w:type="dxa"/>
            <w:vAlign w:val="bottom"/>
          </w:tcPr>
          <w:p>
            <w:pPr>
              <w:spacing w:after="0"/>
              <w:rPr>
                <w:sz w:val="14"/>
                <w:szCs w:val="14"/>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3"/>
                <w:szCs w:val="13"/>
                <w:b w:val="1"/>
                <w:bCs w:val="1"/>
                <w:color w:val="auto"/>
              </w:rPr>
              <w:t>December 28, 2024</w:t>
            </w:r>
          </w:p>
        </w:tc>
      </w:tr>
      <w:tr>
        <w:trPr>
          <w:trHeight w:val="26"/>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191,540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205,027</w:t>
            </w:r>
          </w:p>
        </w:tc>
      </w:tr>
      <w:tr>
        <w:trPr>
          <w:trHeight w:val="191"/>
        </w:trPr>
        <w:tc>
          <w:tcPr>
            <w:tcW w:w="8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Purchases of property and equipment and capitalization of internal use software development costs</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(7,357)</w:t>
            </w:r>
          </w:p>
        </w:tc>
      </w:tr>
      <w:tr>
        <w:trPr>
          <w:trHeight w:val="32"/>
        </w:trPr>
        <w:tc>
          <w:tcPr>
            <w:tcW w:w="8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3"/>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Free cash flow</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189,488</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197,670</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27, 2025, our principal sources of liquidity were cash received from customers upon the inception and continuation of contracts to install Systems.</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shows net cash provided by operating activities, net cash used in investing activities, and net cash provided by (used in) financing activities for the three months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27, 2025 and December 28, 2024:</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20" w:type="dxa"/>
            <w:vAlign w:val="bottom"/>
            <w:gridSpan w:val="3"/>
          </w:tcPr>
          <w:p>
            <w:pPr>
              <w:jc w:val="center"/>
              <w:ind w:right="131"/>
              <w:spacing w:after="0"/>
              <w:rPr>
                <w:sz w:val="20"/>
                <w:szCs w:val="20"/>
                <w:color w:val="auto"/>
              </w:rPr>
            </w:pPr>
            <w:r>
              <w:rPr>
                <w:rFonts w:ascii="Times New Roman" w:cs="Times New Roman" w:eastAsia="Times New Roman" w:hAnsi="Times New Roman"/>
                <w:sz w:val="13"/>
                <w:szCs w:val="13"/>
                <w:b w:val="1"/>
                <w:bCs w:val="1"/>
                <w:color w:val="auto"/>
                <w:w w:val="97"/>
              </w:rPr>
              <w:t>Three Months Ended</w:t>
            </w:r>
          </w:p>
        </w:tc>
      </w:tr>
      <w:tr>
        <w:trPr>
          <w:trHeight w:val="26"/>
        </w:trPr>
        <w:tc>
          <w:tcPr>
            <w:tcW w:w="7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67"/>
        </w:trPr>
        <w:tc>
          <w:tcPr>
            <w:tcW w:w="7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December 27, 2025</w:t>
            </w:r>
          </w:p>
        </w:tc>
        <w:tc>
          <w:tcPr>
            <w:tcW w:w="380" w:type="dxa"/>
            <w:vAlign w:val="bottom"/>
          </w:tcPr>
          <w:p>
            <w:pPr>
              <w:spacing w:after="0"/>
              <w:rPr>
                <w:sz w:val="14"/>
                <w:szCs w:val="14"/>
                <w:color w:val="auto"/>
              </w:rPr>
            </w:pPr>
          </w:p>
        </w:tc>
        <w:tc>
          <w:tcPr>
            <w:tcW w:w="1400" w:type="dxa"/>
            <w:vAlign w:val="bottom"/>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w w:val="98"/>
              </w:rPr>
              <w:t>December 28, 2024</w:t>
            </w:r>
          </w:p>
        </w:tc>
      </w:tr>
      <w:tr>
        <w:trPr>
          <w:trHeight w:val="26"/>
        </w:trPr>
        <w:tc>
          <w:tcPr>
            <w:tcW w:w="7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67"/>
        </w:trPr>
        <w:tc>
          <w:tcPr>
            <w:tcW w:w="7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2"/>
          </w:tcPr>
          <w:p>
            <w:pPr>
              <w:jc w:val="center"/>
              <w:ind w:left="1113"/>
              <w:spacing w:after="0"/>
              <w:rPr>
                <w:sz w:val="20"/>
                <w:szCs w:val="20"/>
                <w:color w:val="auto"/>
              </w:rPr>
            </w:pPr>
            <w:r>
              <w:rPr>
                <w:rFonts w:ascii="Times New Roman" w:cs="Times New Roman" w:eastAsia="Times New Roman" w:hAnsi="Times New Roman"/>
                <w:sz w:val="13"/>
                <w:szCs w:val="13"/>
                <w:color w:val="auto"/>
                <w:w w:val="99"/>
              </w:rPr>
              <w:t>(in thousands)</w:t>
            </w:r>
          </w:p>
        </w:tc>
        <w:tc>
          <w:tcPr>
            <w:tcW w:w="1400" w:type="dxa"/>
            <w:vAlign w:val="bottom"/>
          </w:tcPr>
          <w:p>
            <w:pPr>
              <w:spacing w:after="0"/>
              <w:rPr>
                <w:sz w:val="14"/>
                <w:szCs w:val="14"/>
                <w:color w:val="auto"/>
              </w:rPr>
            </w:pPr>
          </w:p>
        </w:tc>
      </w:tr>
      <w:tr>
        <w:trPr>
          <w:trHeight w:val="26"/>
        </w:trPr>
        <w:tc>
          <w:tcPr>
            <w:tcW w:w="7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0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w:t>
            </w:r>
          </w:p>
        </w:tc>
        <w:tc>
          <w:tcPr>
            <w:tcW w:w="22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r>
      <w:tr>
        <w:trPr>
          <w:trHeight w:val="191"/>
        </w:trPr>
        <w:tc>
          <w:tcPr>
            <w:tcW w:w="7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activities</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191,540</w:t>
            </w:r>
          </w:p>
        </w:tc>
        <w:tc>
          <w:tcPr>
            <w:tcW w:w="3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205,027</w:t>
            </w:r>
          </w:p>
        </w:tc>
      </w:tr>
      <w:tr>
        <w:trPr>
          <w:trHeight w:val="32"/>
        </w:trPr>
        <w:tc>
          <w:tcPr>
            <w:tcW w:w="7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03"/>
        </w:trPr>
        <w:tc>
          <w:tcPr>
            <w:tcW w:w="7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Investing activities</w:t>
            </w: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(40,580)</w:t>
            </w:r>
          </w:p>
        </w:tc>
        <w:tc>
          <w:tcPr>
            <w:tcW w:w="38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(25,349)</w:t>
            </w:r>
          </w:p>
        </w:tc>
      </w:tr>
      <w:tr>
        <w:trPr>
          <w:trHeight w:val="191"/>
        </w:trPr>
        <w:tc>
          <w:tcPr>
            <w:tcW w:w="7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Financing activities</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423,146</w:t>
            </w:r>
          </w:p>
        </w:tc>
        <w:tc>
          <w:tcPr>
            <w:tcW w:w="3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(3,862)</w:t>
            </w: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53"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4"/>
          <w:szCs w:val="14"/>
          <w:color w:val="auto"/>
        </w:rPr>
        <w:t>Our net cash provided by operating activities consists of net loss adjusted for certain non-cash items, including depreciation and amortization, foreign currency gains and losses, loss on disposal of assets, provision for excess and obsolete inventory, and stock-based compensation, as well as changes in operating assets and liabilities. The primary changes in working capital items, such as the changes in accounts receivable and deferred revenue, result from the difference in timing of payments from our customers related to System Deployments and the associated costs incurred by us to fulfill the System performance obligation. This may result in an operating cash flow source or use for the period, depending on the timing of payments received as compared to the fulfillment of the System performance obligation.</w:t>
      </w:r>
    </w:p>
    <w:p>
      <w:pPr>
        <w:spacing w:after="0" w:line="16" w:lineRule="exact"/>
        <w:rPr>
          <w:sz w:val="20"/>
          <w:szCs w:val="20"/>
          <w:color w:val="auto"/>
        </w:rPr>
      </w:pPr>
    </w:p>
    <w:p>
      <w:pPr>
        <w:jc w:val="both"/>
        <w:ind w:right="40" w:firstLine="255"/>
        <w:spacing w:after="0" w:line="264" w:lineRule="auto"/>
        <w:rPr>
          <w:sz w:val="20"/>
          <w:szCs w:val="20"/>
          <w:color w:val="auto"/>
        </w:rPr>
      </w:pPr>
      <w:r>
        <w:rPr>
          <w:rFonts w:ascii="Times New Roman" w:cs="Times New Roman" w:eastAsia="Times New Roman" w:hAnsi="Times New Roman"/>
          <w:sz w:val="14"/>
          <w:szCs w:val="14"/>
          <w:color w:val="auto"/>
        </w:rPr>
        <w:t>Net cash provided by operating activities was $191.5 million during the three months ended December 27, 2025. Net cash provided by operating activities was primarily due to our net income of $13.4 million adjusted for non-cash items of $65.0 million, primarily consisting of $8.7 million depreciation and amortization, $45.9 million stock-based compensation, and $4.8 million provision for excess and obsolete inventory, offset by cash provided by operating assets and liabilities of $113.2 million. Cash provided by operating assets and liabilities of $113.2 million was primarily driven by net working capital changes, including the timing of cash payments to vendors and cash receipts from customers.</w:t>
      </w:r>
    </w:p>
    <w:p>
      <w:pPr>
        <w:spacing w:after="0" w:line="13"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4"/>
          <w:szCs w:val="14"/>
          <w:color w:val="auto"/>
        </w:rPr>
        <w:t>Net cash provided by operating activities was $205.0 million during the three months ended December 28, 2024. Net cash provided by operating activities was primarily due to our net loss of $16.9 million adjusted for non-cash items of $34.7 million, primarily consisting of $6.9 million depreciation and amortization, $24.6 million stock-based compensation, offset by cash provided by operating assets and liabilities of $187.2 million. Cash provided by operating assets and liabilities of $187.2 million was primarily driven by net working capital changes, including the timing of cash payments to vendors and cash receipts from customers, an increase in inventory purchases to meet our installation timeline for our customers’ upcoming System installations in connection with the Walmart MAA and other customer contracts, as well as an increase in deferred revenue resulting from an increase in the number of active System Deployments.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investing activities have consisted primarily of property and equipment purchases, capitalization of internal use software development costs, and acquisitions of strategic investments.</w:t>
      </w:r>
    </w:p>
    <w:p>
      <w:pPr>
        <w:spacing w:after="0" w:line="51"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Net cash and cash equivalents used in investing activities during the three months ended December 27, 2025 was primarily driven by $38.5 million of cash paid for strategic investments, which includes our investment in our unconsolidated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47" w:name="page48"/>
    <w:bookmarkEnd w:id="47"/>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variable interest entity, Exol. No other significant investing activities occurred during the three months ended December 27, 2025.</w:t>
      </w:r>
    </w:p>
    <w:p>
      <w:pPr>
        <w:spacing w:after="0" w:line="51" w:lineRule="exact"/>
        <w:rPr>
          <w:sz w:val="20"/>
          <w:szCs w:val="20"/>
          <w:color w:val="auto"/>
        </w:rPr>
      </w:pPr>
    </w:p>
    <w:p>
      <w:pPr>
        <w:ind w:right="420" w:firstLine="255"/>
        <w:spacing w:after="0" w:line="287" w:lineRule="auto"/>
        <w:rPr>
          <w:sz w:val="20"/>
          <w:szCs w:val="20"/>
          <w:color w:val="auto"/>
        </w:rPr>
      </w:pPr>
      <w:r>
        <w:rPr>
          <w:rFonts w:ascii="Times New Roman" w:cs="Times New Roman" w:eastAsia="Times New Roman" w:hAnsi="Times New Roman"/>
          <w:sz w:val="14"/>
          <w:szCs w:val="14"/>
          <w:color w:val="auto"/>
        </w:rPr>
        <w:t>Net cash and cash equivalents provided by investing activities during the three months ended December 28, 2024 consisted of $7.4 million of purchased property and equipment and $18.0 million related to acquisitions of strategic investments, which includes our investment in our unconsolidated variable interest entity, Exol.</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financing activities typically consist of payments and proceeds related to our equity incentive plans for both RSUs and ESPP, and also include proceeds from equity financing transactions.</w:t>
      </w:r>
    </w:p>
    <w:p>
      <w:pPr>
        <w:spacing w:after="0" w:line="51" w:lineRule="exact"/>
        <w:rPr>
          <w:sz w:val="20"/>
          <w:szCs w:val="20"/>
          <w:color w:val="auto"/>
        </w:rPr>
      </w:pPr>
    </w:p>
    <w:p>
      <w:pPr>
        <w:ind w:right="100" w:firstLine="255"/>
        <w:spacing w:after="0" w:line="284" w:lineRule="auto"/>
        <w:rPr>
          <w:sz w:val="20"/>
          <w:szCs w:val="20"/>
          <w:color w:val="auto"/>
        </w:rPr>
      </w:pPr>
      <w:r>
        <w:rPr>
          <w:rFonts w:ascii="Times New Roman" w:cs="Times New Roman" w:eastAsia="Times New Roman" w:hAnsi="Times New Roman"/>
          <w:sz w:val="14"/>
          <w:szCs w:val="14"/>
          <w:color w:val="auto"/>
        </w:rPr>
        <w:t>During the three months ended December 27, 2025, we received net proceeds of $424.4 million from the issuance of Class A common stock upon completion of our equity financing transaction in December 2025. No other significant financing activities occurred during the three months ended December 27, 2025.</w:t>
      </w:r>
    </w:p>
    <w:p>
      <w:pPr>
        <w:spacing w:after="0" w:line="1" w:lineRule="exact"/>
        <w:rPr>
          <w:sz w:val="20"/>
          <w:szCs w:val="20"/>
          <w:color w:val="auto"/>
        </w:rPr>
      </w:pPr>
    </w:p>
    <w:p>
      <w:pPr>
        <w:ind w:right="540" w:firstLine="255"/>
        <w:spacing w:after="0" w:line="287" w:lineRule="auto"/>
        <w:rPr>
          <w:sz w:val="20"/>
          <w:szCs w:val="20"/>
          <w:color w:val="auto"/>
        </w:rPr>
      </w:pPr>
      <w:r>
        <w:rPr>
          <w:rFonts w:ascii="Times New Roman" w:cs="Times New Roman" w:eastAsia="Times New Roman" w:hAnsi="Times New Roman"/>
          <w:sz w:val="14"/>
          <w:szCs w:val="14"/>
          <w:color w:val="auto"/>
        </w:rPr>
        <w:t>During the three months ended December 28, 2024, we paid taxes of $3.0 million related to net share settlement of RSUs and we also paid $0.9 million in distributions to or on behalf of Symbotic Holdings partners to fund all or part of their obligations with respect to the taxable income of Symbotic Holdings that is allocated to them.</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Contractual Obligations and Commitments and Liquidity Outlook</w:t>
      </w:r>
    </w:p>
    <w:p>
      <w:pPr>
        <w:spacing w:after="0" w:line="53" w:lineRule="exact"/>
        <w:rPr>
          <w:sz w:val="20"/>
          <w:szCs w:val="20"/>
          <w:color w:val="auto"/>
        </w:rPr>
      </w:pPr>
    </w:p>
    <w:p>
      <w:pPr>
        <w:ind w:right="80" w:firstLine="255"/>
        <w:spacing w:after="0" w:line="270" w:lineRule="auto"/>
        <w:rPr>
          <w:sz w:val="20"/>
          <w:szCs w:val="20"/>
          <w:color w:val="auto"/>
        </w:rPr>
      </w:pPr>
      <w:r>
        <w:rPr>
          <w:rFonts w:ascii="Times New Roman" w:cs="Times New Roman" w:eastAsia="Times New Roman" w:hAnsi="Times New Roman"/>
          <w:sz w:val="14"/>
          <w:szCs w:val="14"/>
          <w:color w:val="auto"/>
        </w:rPr>
        <w:t>Our cash flows from operations along with equity infusions have historically been sufficient to fund our operating activities and other cash requirements. At December 27, 2025, we had a cash and cash equivalents balance of $1,819.1 million. Our cash requirements for the three months ended December 27, 2025 were primarily related to inventory purchases in order to deliver our Systems to our customers in an orderly manner in line with our installation timeline, and acquisitions of strategic investments to expand our investment profile.</w:t>
      </w:r>
    </w:p>
    <w:p>
      <w:pPr>
        <w:spacing w:after="0" w:line="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 xml:space="preserve">Based on our present business plan, we expect our current cash and cash equivalents, working capital, and our forecasted cash flows from operations to be sufficient to meet our foreseeable cash needs for at least the next 12 months. Our foreseeable cash needs, in addition to our recurring operating expenses, include our expected capital expenditures to support expansion of our infrastructure and workforce, potential strategic acquisitions, and minimum contractual obligations. Contractual obligations are cash that we are obligated to pay as part of certain contracts that we have entered into during our course of business. Our contractual obligations consist of operating lease liabilities that are included in our condensed consolidated balance sheet and vendor commitments associated with agreements that are legally binding. Our operating lease cash requirements have not changed materially since September 27, 2025, and are disclosed within Note 5,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included elsewhere in this Quarterly Report on Form 10-Q.</w:t>
      </w:r>
    </w:p>
    <w:p>
      <w:pPr>
        <w:spacing w:after="0" w:line="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our current and long-term material cash requirements as of December 27, 2025 for our vendor commitments: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2"/>
          </w:tcPr>
          <w:p>
            <w:pPr>
              <w:ind w:left="760"/>
              <w:spacing w:after="0"/>
              <w:rPr>
                <w:sz w:val="20"/>
                <w:szCs w:val="20"/>
                <w:color w:val="auto"/>
              </w:rPr>
            </w:pPr>
            <w:r>
              <w:rPr>
                <w:rFonts w:ascii="Times New Roman" w:cs="Times New Roman" w:eastAsia="Times New Roman" w:hAnsi="Times New Roman"/>
                <w:sz w:val="13"/>
                <w:szCs w:val="13"/>
                <w:b w:val="1"/>
                <w:bCs w:val="1"/>
                <w:color w:val="auto"/>
                <w:w w:val="97"/>
              </w:rPr>
              <w:t>Payments due in:</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6"/>
        </w:trPr>
        <w:tc>
          <w:tcPr>
            <w:tcW w:w="3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67"/>
        </w:trPr>
        <w:tc>
          <w:tcPr>
            <w:tcW w:w="3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59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4"/>
                <w:szCs w:val="14"/>
                <w:color w:val="auto"/>
              </w:rPr>
            </w:pPr>
          </w:p>
        </w:tc>
        <w:tc>
          <w:tcPr>
            <w:tcW w:w="1260" w:type="dxa"/>
            <w:vAlign w:val="bottom"/>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Less than 1 Year</w:t>
            </w:r>
          </w:p>
        </w:tc>
        <w:tc>
          <w:tcPr>
            <w:tcW w:w="280" w:type="dxa"/>
            <w:vAlign w:val="bottom"/>
          </w:tcPr>
          <w:p>
            <w:pPr>
              <w:spacing w:after="0"/>
              <w:rPr>
                <w:sz w:val="14"/>
                <w:szCs w:val="14"/>
                <w:color w:val="auto"/>
              </w:rPr>
            </w:pPr>
          </w:p>
        </w:tc>
        <w:tc>
          <w:tcPr>
            <w:tcW w:w="1220" w:type="dxa"/>
            <w:vAlign w:val="bottom"/>
          </w:tcPr>
          <w:p>
            <w:pPr>
              <w:jc w:val="center"/>
              <w:ind w:right="175"/>
              <w:spacing w:after="0"/>
              <w:rPr>
                <w:sz w:val="20"/>
                <w:szCs w:val="20"/>
                <w:color w:val="auto"/>
              </w:rPr>
            </w:pPr>
            <w:r>
              <w:rPr>
                <w:rFonts w:ascii="Times New Roman" w:cs="Times New Roman" w:eastAsia="Times New Roman" w:hAnsi="Times New Roman"/>
                <w:sz w:val="13"/>
                <w:szCs w:val="13"/>
                <w:b w:val="1"/>
                <w:bCs w:val="1"/>
                <w:color w:val="auto"/>
                <w:w w:val="94"/>
              </w:rPr>
              <w:t>1-3 Years</w:t>
            </w:r>
          </w:p>
        </w:tc>
        <w:tc>
          <w:tcPr>
            <w:tcW w:w="500" w:type="dxa"/>
            <w:vAlign w:val="bottom"/>
          </w:tcPr>
          <w:p>
            <w:pPr>
              <w:spacing w:after="0"/>
              <w:rPr>
                <w:sz w:val="14"/>
                <w:szCs w:val="14"/>
                <w:color w:val="auto"/>
              </w:rPr>
            </w:pPr>
          </w:p>
        </w:tc>
        <w:tc>
          <w:tcPr>
            <w:tcW w:w="980" w:type="dxa"/>
            <w:vAlign w:val="bottom"/>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w w:val="94"/>
              </w:rPr>
              <w:t>3-5 Years</w:t>
            </w:r>
          </w:p>
        </w:tc>
        <w:tc>
          <w:tcPr>
            <w:tcW w:w="220" w:type="dxa"/>
            <w:vAlign w:val="bottom"/>
          </w:tcPr>
          <w:p>
            <w:pPr>
              <w:spacing w:after="0"/>
              <w:rPr>
                <w:sz w:val="14"/>
                <w:szCs w:val="14"/>
                <w:color w:val="auto"/>
              </w:rPr>
            </w:pPr>
          </w:p>
        </w:tc>
        <w:tc>
          <w:tcPr>
            <w:tcW w:w="12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More than 5 Years</w:t>
            </w:r>
          </w:p>
        </w:tc>
      </w:tr>
      <w:tr>
        <w:trPr>
          <w:trHeight w:val="26"/>
        </w:trPr>
        <w:tc>
          <w:tcPr>
            <w:tcW w:w="39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67"/>
        </w:trPr>
        <w:tc>
          <w:tcPr>
            <w:tcW w:w="3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center"/>
              <w:ind w:right="155"/>
              <w:spacing w:after="0"/>
              <w:rPr>
                <w:sz w:val="20"/>
                <w:szCs w:val="20"/>
                <w:color w:val="auto"/>
              </w:rPr>
            </w:pPr>
            <w:r>
              <w:rPr>
                <w:rFonts w:ascii="Times New Roman" w:cs="Times New Roman" w:eastAsia="Times New Roman" w:hAnsi="Times New Roman"/>
                <w:sz w:val="13"/>
                <w:szCs w:val="13"/>
                <w:color w:val="auto"/>
                <w:w w:val="97"/>
              </w:rPr>
              <w:t>(in thousands)</w:t>
            </w: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6"/>
        </w:trPr>
        <w:tc>
          <w:tcPr>
            <w:tcW w:w="3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91"/>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Vendor commitments</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781,260</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710,933</w:t>
            </w:r>
          </w:p>
        </w:tc>
        <w:tc>
          <w:tcPr>
            <w:tcW w:w="2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70,056</w:t>
            </w:r>
          </w:p>
        </w:tc>
        <w:tc>
          <w:tcPr>
            <w:tcW w:w="50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3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Our future capital requirements will depend on many factors, including our growth rate, the timing and extent of spending to support research and development efforts, the expansion of sales and marketing activities, the introduction of new and enhanced product and service offerings, and the cost of any future acquisitions of technology or businesses. In the event that additional financing is required from outside sources, we may be unable to raise the funds on acceptable terms, if at all.</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Other than the change in accounting principle disclosed below, there have been no significant changes in our critical accounting policies and estimates during the three months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27, 2025, as compared to the critical accounting policies and estimates disclosed in the audited consolidated financial statements and related notes thereto as of and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27, 2025, which are included within the Annual Report on Form 10-K filed with the SEC on November 24,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48" w:name="page49"/>
    <w:bookmarkEnd w:id="48"/>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 xml:space="preserve">In the first quarter of fiscal year 2026, we changed our stock-based compensation policy for recognizing expense for graded vesting awards with only service conditions from the accelerated attribution method to the straight-line attribution method. In connection with the Business Combination in June 2022, we granted RSUs with accelerated vesting terms. As those initial RSU awards with accelerated vesting terms have fully vested since the Business Combination, we believe the straight-line attribution method for stock-based compensation expense for awards solely subject to time-based vesting conditions is the preferable accounting policy in accordance with ASC Topic 718, </w:t>
      </w:r>
      <w:r>
        <w:rPr>
          <w:rFonts w:ascii="Times New Roman" w:cs="Times New Roman" w:eastAsia="Times New Roman" w:hAnsi="Times New Roman"/>
          <w:sz w:val="14"/>
          <w:szCs w:val="14"/>
          <w:i w:val="1"/>
          <w:iCs w:val="1"/>
          <w:color w:val="auto"/>
        </w:rPr>
        <w:t>Compensation - Stock Compensation</w:t>
      </w:r>
      <w:r>
        <w:rPr>
          <w:rFonts w:ascii="Times New Roman" w:cs="Times New Roman" w:eastAsia="Times New Roman" w:hAnsi="Times New Roman"/>
          <w:sz w:val="14"/>
          <w:szCs w:val="14"/>
          <w:color w:val="auto"/>
        </w:rPr>
        <w:t>, because it more accurately reflects how our ongoing equity awards are earned over the service period and is the predominant method used in its industry. With the transition from the accelerated attribution method to the straight-line attribution method, we no longer consider stock-based compensation related to our service-based RSUs to be a critical accounting policy.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27, 2025, we had no off-balance sheet arrangements as defined in Instruction 8 to Item 303(b) of Regulation S-K.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96" w:lineRule="exact"/>
        <w:rPr>
          <w:sz w:val="20"/>
          <w:szCs w:val="20"/>
          <w:color w:val="auto"/>
        </w:rPr>
      </w:pPr>
    </w:p>
    <w:p>
      <w:pPr>
        <w:ind w:right="480" w:firstLine="255"/>
        <w:spacing w:after="0" w:line="283" w:lineRule="auto"/>
        <w:rPr>
          <w:sz w:val="20"/>
          <w:szCs w:val="20"/>
          <w:color w:val="auto"/>
        </w:rPr>
      </w:pPr>
      <w:r>
        <w:rPr>
          <w:rFonts w:ascii="Times New Roman" w:cs="Times New Roman" w:eastAsia="Times New Roman" w:hAnsi="Times New Roman"/>
          <w:sz w:val="14"/>
          <w:szCs w:val="14"/>
          <w:color w:val="auto"/>
        </w:rPr>
        <w:t>For information on recent accounting pronouncements, see Recently Issued Accounting Pronouncements and Recently Adopted Accounting Pronouncements in the notes to the unaudited condensed consolidated financial statements appearing elsewhere in this Quarterly Report on Form 10-Q.</w:t>
      </w: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96" w:lineRule="exact"/>
        <w:rPr>
          <w:sz w:val="20"/>
          <w:szCs w:val="20"/>
          <w:color w:val="auto"/>
        </w:rPr>
      </w:pPr>
    </w:p>
    <w:p>
      <w:pPr>
        <w:ind w:right="20" w:firstLine="255"/>
        <w:spacing w:after="0" w:line="283" w:lineRule="auto"/>
        <w:rPr>
          <w:sz w:val="20"/>
          <w:szCs w:val="20"/>
          <w:color w:val="auto"/>
        </w:rPr>
      </w:pPr>
      <w:r>
        <w:rPr>
          <w:rFonts w:ascii="Times New Roman" w:cs="Times New Roman" w:eastAsia="Times New Roman" w:hAnsi="Times New Roman"/>
          <w:sz w:val="14"/>
          <w:szCs w:val="14"/>
          <w:color w:val="auto"/>
        </w:rPr>
        <w:t>There have been no material changes in our assessment of our sensitivity to market risk since our presentation set forth in Item 7A, “Quantitative and Qualitative Disclosures About Market Risk” in the Annual Report on Form 10-K filed with the SEC on November 24, 2025.</w:t>
      </w: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Evaluation of Disclosure Controls and Procedures</w:t>
      </w:r>
    </w:p>
    <w:p>
      <w:pPr>
        <w:spacing w:after="0" w:line="53"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Chief Financial Officer (our principal executive officer and principal financial officer, respectively), has evaluated the effectiveness of our disclosure controls and procedures as defined in Rules 13a-15(e) and 15d-15(e) under the Securities Exchange Act of 1934, as amended (the “Exchange Act”), as of the end of the period covered by this Quarterly Report on Form 10-Q. The term “disclosure controls and procedures,” as defined in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U.S.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that evaluation, our Chief Executive Officer and Chief Financial Officer concluded that, as of December 27, 2025, our disclosure controls and procedures were not effective at the reasonable assurance level due to the previously reported material weakness described below.</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Previously Reported Material Weakness</w:t>
      </w:r>
    </w:p>
    <w:p>
      <w:pPr>
        <w:spacing w:after="0" w:line="53" w:lineRule="exact"/>
        <w:rPr>
          <w:sz w:val="20"/>
          <w:szCs w:val="20"/>
          <w:color w:val="auto"/>
        </w:rPr>
      </w:pPr>
    </w:p>
    <w:p>
      <w:pPr>
        <w:ind w:right="80" w:firstLine="255"/>
        <w:spacing w:after="0" w:line="264" w:lineRule="auto"/>
        <w:rPr>
          <w:sz w:val="20"/>
          <w:szCs w:val="20"/>
          <w:color w:val="auto"/>
        </w:rPr>
      </w:pPr>
      <w:r>
        <w:rPr>
          <w:rFonts w:ascii="Times New Roman" w:cs="Times New Roman" w:eastAsia="Times New Roman" w:hAnsi="Times New Roman"/>
          <w:sz w:val="14"/>
          <w:szCs w:val="14"/>
          <w:color w:val="auto"/>
        </w:rPr>
        <w:t>As previously disclosed in “Part II. Item 9A. Controls and Procedures” in our Annual Report on Form 10-K for the year ended September 27, 2025, our Chief Executive Officer and Chief Financial Officer concluded that our disclosure controls and procedures were not effective at the reasonable assurance level because of the existence of a material weakness. A material weakness is a deficiency, or a combination of deficiencies, in internal control over financial reporting, such that there is a reasonable possibility that a material misstatement of a company's annual or interim consolidated financial statements will not be prevented or detected on a timely basis.</w:t>
      </w:r>
    </w:p>
    <w:p>
      <w:pPr>
        <w:spacing w:after="0" w:line="13" w:lineRule="exact"/>
        <w:rPr>
          <w:sz w:val="20"/>
          <w:szCs w:val="20"/>
          <w:color w:val="auto"/>
        </w:rPr>
      </w:pPr>
    </w:p>
    <w:p>
      <w:pPr>
        <w:ind w:right="380" w:firstLine="255"/>
        <w:spacing w:after="0" w:line="287" w:lineRule="auto"/>
        <w:rPr>
          <w:sz w:val="20"/>
          <w:szCs w:val="20"/>
          <w:color w:val="auto"/>
        </w:rPr>
      </w:pPr>
      <w:r>
        <w:rPr>
          <w:rFonts w:ascii="Times New Roman" w:cs="Times New Roman" w:eastAsia="Times New Roman" w:hAnsi="Times New Roman"/>
          <w:sz w:val="14"/>
          <w:szCs w:val="14"/>
          <w:color w:val="auto"/>
        </w:rPr>
        <w:t>As of December 27, 2025, the Company did not effectively design procedures and controls over the timing of the recognition of cost of revenue. This resulted in timing discrepancies in the recognition of cost of revenue during the year ended September 27, 2025. Given that we recognize revenue on a percentage of completion basis, this also resulted in timing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49" w:name="page50"/>
    <w:bookmarkEnd w:id="49"/>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720"/>
        <w:spacing w:after="0" w:line="284" w:lineRule="auto"/>
        <w:rPr>
          <w:sz w:val="20"/>
          <w:szCs w:val="20"/>
          <w:color w:val="auto"/>
        </w:rPr>
      </w:pPr>
      <w:r>
        <w:rPr>
          <w:rFonts w:ascii="Times New Roman" w:cs="Times New Roman" w:eastAsia="Times New Roman" w:hAnsi="Times New Roman"/>
          <w:sz w:val="14"/>
          <w:szCs w:val="14"/>
          <w:color w:val="auto"/>
        </w:rPr>
        <w:t>discrepancies in the recognition of revenue during the year ended September 27, 2025. These deficiencies in internal control over financial reporting constituted a material weakness as of December 27, 2025.</w:t>
      </w:r>
    </w:p>
    <w:p>
      <w:pPr>
        <w:spacing w:after="0" w:line="1" w:lineRule="exact"/>
        <w:rPr>
          <w:sz w:val="20"/>
          <w:szCs w:val="20"/>
          <w:color w:val="auto"/>
        </w:rPr>
      </w:pPr>
    </w:p>
    <w:p>
      <w:pPr>
        <w:ind w:right="100" w:firstLine="255"/>
        <w:spacing w:after="0" w:line="264" w:lineRule="auto"/>
        <w:rPr>
          <w:sz w:val="20"/>
          <w:szCs w:val="20"/>
          <w:color w:val="auto"/>
        </w:rPr>
      </w:pPr>
      <w:r>
        <w:rPr>
          <w:rFonts w:ascii="Times New Roman" w:cs="Times New Roman" w:eastAsia="Times New Roman" w:hAnsi="Times New Roman"/>
          <w:sz w:val="14"/>
          <w:szCs w:val="14"/>
          <w:color w:val="auto"/>
        </w:rPr>
        <w:t>Notwithstanding the material weakness in internal control over financial reporting, our management, including our Chief Executive Officer and Chief Financial Officer, have concluded that our consolidated financial statements present fairly, in all material respects, our financial position, results of our operations and our cash flows for the periods presented in this Quarterly Report on Form 10-Q, in conformity with U.S. GAAP. There can be no assurance that this material weakness will not result in a misstatement to the annual or interim consolidated financial statements for future periods that would not be prevented or detected.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Changes in Internal Control Over Financial Reporting</w:t>
      </w:r>
    </w:p>
    <w:p>
      <w:pPr>
        <w:spacing w:after="0" w:line="53" w:lineRule="exact"/>
        <w:rPr>
          <w:sz w:val="20"/>
          <w:szCs w:val="20"/>
          <w:color w:val="auto"/>
        </w:rPr>
      </w:pPr>
    </w:p>
    <w:p>
      <w:pPr>
        <w:ind w:right="120" w:firstLine="255"/>
        <w:spacing w:after="0" w:line="287" w:lineRule="auto"/>
        <w:rPr>
          <w:sz w:val="20"/>
          <w:szCs w:val="20"/>
          <w:color w:val="auto"/>
        </w:rPr>
      </w:pPr>
      <w:r>
        <w:rPr>
          <w:rFonts w:ascii="Times New Roman" w:cs="Times New Roman" w:eastAsia="Times New Roman" w:hAnsi="Times New Roman"/>
          <w:sz w:val="14"/>
          <w:szCs w:val="14"/>
          <w:color w:val="auto"/>
        </w:rPr>
        <w:t>Subject to the steps taken in connection with the remediation plan noted below, there have been no changes in our internal control over financial reporting for the three months ended December 27, 2025 that have materially affected, or are reasonably likely to materially affect, our internal control over financial reporting.</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Material Weakness Remediation Plan</w:t>
      </w:r>
    </w:p>
    <w:p>
      <w:pPr>
        <w:spacing w:after="0" w:line="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Management has developed a remediation plan, which it began implementing during fiscal year 2025, that includes the following elements:</w:t>
      </w:r>
    </w:p>
    <w:p>
      <w:pPr>
        <w:spacing w:after="0" w:line="51" w:lineRule="exact"/>
        <w:rPr>
          <w:sz w:val="20"/>
          <w:szCs w:val="20"/>
          <w:color w:val="auto"/>
        </w:rPr>
      </w:pPr>
    </w:p>
    <w:p>
      <w:pPr>
        <w:ind w:left="520" w:right="460" w:hanging="260"/>
        <w:spacing w:after="0" w:line="284"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redesign of the operational processes and evidence requirements for the receipt of goods and services, with a focus on data around documenting the timing of the receipt of goods and services;</w:t>
      </w: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implementing additional compensating controls over the timing of the receipt of goods and services, with a continued focus on milestone related expenses;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training of the employees of the organization receiving goods and services;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implementing a long term ERP system solution to manage vendors which will automate certain aspects of goods and services receipts in fiscal year 2027.</w:t>
      </w:r>
    </w:p>
    <w:p>
      <w:pPr>
        <w:spacing w:after="0" w:line="51"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We completed the implementation of additional compensating controls over the timing of the receipt of goods and services during the third and fourth quarters of fiscal year 2025. Management is committed to the completion of the remediation of this material weakness and expects to successfully implement enhanced control processes. However, as management continues to evaluate and work to improve its internal control over financial reporting, it may determine that additional measures to address control deficiencies or modifications to the remediation plan are necessary. Therefore, management cannot assure you when this material weakness will be remediated, that additional actions will not be required to remediate this material weakness, or the costs of any such additional actions. This material weakness will not be considered remediated until the remediated controls operate for a sufficient period of time and management has concluded, through further testing, that these controls are operating effectively.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67" w:right="339" w:bottom="1440" w:gutter="0" w:footer="0" w:header="0"/>
        </w:sectPr>
      </w:pPr>
    </w:p>
    <w:bookmarkStart w:id="50" w:name="page51"/>
    <w:bookmarkEnd w:id="50"/>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96" w:lineRule="exact"/>
        <w:rPr>
          <w:sz w:val="20"/>
          <w:szCs w:val="20"/>
          <w:color w:val="auto"/>
        </w:rPr>
      </w:pPr>
    </w:p>
    <w:p>
      <w:pPr>
        <w:ind w:right="620" w:firstLine="255"/>
        <w:spacing w:after="0" w:line="284" w:lineRule="auto"/>
        <w:rPr>
          <w:sz w:val="20"/>
          <w:szCs w:val="20"/>
          <w:color w:val="auto"/>
        </w:rPr>
      </w:pPr>
      <w:r>
        <w:rPr>
          <w:rFonts w:ascii="Times New Roman" w:cs="Times New Roman" w:eastAsia="Times New Roman" w:hAnsi="Times New Roman"/>
          <w:sz w:val="14"/>
          <w:szCs w:val="14"/>
          <w:color w:val="auto"/>
        </w:rPr>
        <w:t>We are subject from time to time to various claims, lawsuits and other legal and administrative proceedings (including those described below). Some of these claims, lawsuits and other proceedings may involve highly complex issues that are subject to substantial uncertainties, and could result in damages, fines and penalties, non-monetary sanctions or other relief.</w:t>
      </w:r>
    </w:p>
    <w:p>
      <w:pPr>
        <w:spacing w:after="0" w:line="1"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We intend to recognize provisions for claims or pending litigation when we determine that an unfavorable outcome is probable, and the amount of loss can be reasonably estimated. Due to the inherent uncertain nature of litigation, the ultimate outcome or actual cost of settlement may materially vary from estimates. For additional information, see “Risk Factors – Risks Related to Our Common Stock - We are party to pending litigation, and we may be subject to future litigation in the operation of our business. An adverse outcome in one or more proceedings could adversely affect our business.”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Securities Class Actions</w:t>
      </w:r>
    </w:p>
    <w:p>
      <w:pPr>
        <w:spacing w:after="0" w:line="53"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On December 3, 2024, a putative class action captioned Decker v. Symbotic Inc. et al., Case No. 24-cv-12976 was filed in the United States District Court for the District of Massachusetts by an alleged purchaser of our common stock. The complaint asserted claims for violations of federal securities laws against us and three of our officers on the grounds that we made false and/or misleading statements related to our revenue recognition and the effectiveness of our disclosure controls and procedures. Based on these allegations, the plaintiff brought claims seeking unspecified damages, attorneys’ fees, expert fees, and other costs and relief on behalf of himself and a putative class of persons who purchased our stock between February 8, 2024 and November 26, 2024. On May 5, 2025, the court entered an order appointing a lead plaintiff pursuant to the Private Securities Litigation Reform Act and setting a schedule for the filing of an amended complaint and our response to the complaint.</w:t>
      </w:r>
    </w:p>
    <w:p>
      <w:pPr>
        <w:spacing w:after="0" w:line="19" w:lineRule="exact"/>
        <w:rPr>
          <w:sz w:val="20"/>
          <w:szCs w:val="20"/>
          <w:color w:val="auto"/>
        </w:rPr>
      </w:pPr>
    </w:p>
    <w:p>
      <w:pPr>
        <w:ind w:right="80" w:firstLine="255"/>
        <w:spacing w:after="0" w:line="264" w:lineRule="auto"/>
        <w:rPr>
          <w:sz w:val="20"/>
          <w:szCs w:val="20"/>
          <w:color w:val="auto"/>
        </w:rPr>
      </w:pPr>
      <w:r>
        <w:rPr>
          <w:rFonts w:ascii="Times New Roman" w:cs="Times New Roman" w:eastAsia="Times New Roman" w:hAnsi="Times New Roman"/>
          <w:sz w:val="14"/>
          <w:szCs w:val="14"/>
          <w:color w:val="auto"/>
        </w:rPr>
        <w:t>On July 11, 2025, plaintiffs filed an amended complaint captioned Traina v. Symbotic Inc. et al., Case No. 24-cv-12196. Like the Decker complaint, the amended complaint asserts claims for violations of federal securities laws against us and four of our officers on the grounds that we made false and/or misleading statements or omissions related to our financial results, deployment times, revenue recognition, and internal controls. Based on these allegations, the plaintiffs bring claims seeking unspecified damages, attorneys’ fees, expert fees, and other costs and relief on behalf of themselves and a putative class of persons who purchased our stock between November 20, 2023 and February 5, 2025.</w:t>
      </w:r>
    </w:p>
    <w:p>
      <w:pPr>
        <w:spacing w:after="0" w:line="13" w:lineRule="exact"/>
        <w:rPr>
          <w:sz w:val="20"/>
          <w:szCs w:val="20"/>
          <w:color w:val="auto"/>
        </w:rPr>
      </w:pPr>
    </w:p>
    <w:p>
      <w:pPr>
        <w:ind w:right="40" w:firstLine="255"/>
        <w:spacing w:after="0" w:line="284" w:lineRule="auto"/>
        <w:rPr>
          <w:sz w:val="20"/>
          <w:szCs w:val="20"/>
          <w:color w:val="auto"/>
        </w:rPr>
      </w:pPr>
      <w:r>
        <w:rPr>
          <w:rFonts w:ascii="Times New Roman" w:cs="Times New Roman" w:eastAsia="Times New Roman" w:hAnsi="Times New Roman"/>
          <w:sz w:val="14"/>
          <w:szCs w:val="14"/>
          <w:color w:val="auto"/>
        </w:rPr>
        <w:t>We filed a motion to dismiss the amended complaint on September 11, 2025. The plaintiffs filed an opposition to the motion to dismiss on November 11, 2025. We filed our reply brief in support of our motion to dismiss on December 11, 2025. A hearing on the motion to dismiss was held on December 16, 2025.</w:t>
      </w:r>
    </w:p>
    <w:p>
      <w:pPr>
        <w:spacing w:after="0" w:line="1"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We intend to vigorously defend these cases. If a court ultimately determines that we are liable in either or both of these cases, we may be subject to substantial damages. We cannot predict with any degree of certainty the outcome of these matters or determine the extent of any potential liabilities. We also cannot provide an estimate of the possible loss or range of loss. Any adverse outcome in these matters could expose us to substantial damages that may have a material adverse impact on our operations and cash flows. Despite the potential for significant damages, we do not believe, based on currently available information, that the outcome of these proceedings will have a material adverse effect on our financial condition, although the outcome could be material to our operating results for any particular period, depending, in part, upon the operating results for such period.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Shareholder Derivative Actions</w:t>
      </w:r>
    </w:p>
    <w:p>
      <w:pPr>
        <w:spacing w:after="0" w:line="53" w:lineRule="exact"/>
        <w:rPr>
          <w:sz w:val="20"/>
          <w:szCs w:val="20"/>
          <w:color w:val="auto"/>
        </w:rPr>
      </w:pPr>
    </w:p>
    <w:p>
      <w:pPr>
        <w:ind w:right="60" w:firstLine="255"/>
        <w:spacing w:after="0" w:line="259" w:lineRule="auto"/>
        <w:rPr>
          <w:sz w:val="20"/>
          <w:szCs w:val="20"/>
          <w:color w:val="auto"/>
        </w:rPr>
      </w:pPr>
      <w:r>
        <w:rPr>
          <w:rFonts w:ascii="Times New Roman" w:cs="Times New Roman" w:eastAsia="Times New Roman" w:hAnsi="Times New Roman"/>
          <w:sz w:val="14"/>
          <w:szCs w:val="14"/>
          <w:color w:val="auto"/>
        </w:rPr>
        <w:t>On October 2, 2024, two putative shareholder derivative actions captioned Austen v. Cohen et al., 24-cv-12522 and Kukreja v. Cohen et al., 24-cv-12523 were filed in the United States District Court for the District of Massachusetts by the Company’s alleged shareholders. The actions assert claims on behalf of us against certain senior officers and members of our board of directors for, among others, breach of fiduciary duty, unjust enrichment, and violations of federal securities laws based primarily on allegations that the defendants caused or allowed us to disseminate misleading and inaccurate information to shareholders in connection with our expected earnings for the third quarter of fiscal year 2024. The actions seek compensatory damages, changes to corporate governance and internal procedures, restitution, costs and attorneys’ fees, and other unspecified relief. Motions to consolidate the two actions into a single matter, appoint lead plaintiffs’ counsel, and stay any obligation of the defendants to respond to the complaint based on the pendency of the related securities class action lawsuit were granted on November 24, 2025.</w:t>
      </w:r>
    </w:p>
    <w:p>
      <w:pPr>
        <w:spacing w:after="0" w:line="19" w:lineRule="exact"/>
        <w:rPr>
          <w:sz w:val="20"/>
          <w:szCs w:val="20"/>
          <w:color w:val="auto"/>
        </w:rPr>
      </w:pPr>
    </w:p>
    <w:p>
      <w:pPr>
        <w:ind w:right="360" w:firstLine="255"/>
        <w:spacing w:after="0" w:line="287" w:lineRule="auto"/>
        <w:rPr>
          <w:sz w:val="20"/>
          <w:szCs w:val="20"/>
          <w:color w:val="auto"/>
        </w:rPr>
      </w:pPr>
      <w:r>
        <w:rPr>
          <w:rFonts w:ascii="Times New Roman" w:cs="Times New Roman" w:eastAsia="Times New Roman" w:hAnsi="Times New Roman"/>
          <w:sz w:val="14"/>
          <w:szCs w:val="14"/>
          <w:color w:val="auto"/>
        </w:rPr>
        <w:t>We intend to vigorously defend these cases. If a court ultimately determines that we are liable, we may be subject to substantial damages. We cannot predict with any degree of certainty the outcome of this matter or determine the extent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51" w:name="page52"/>
    <w:bookmarkEnd w:id="51"/>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potential liabilities. We also cannot provide an estimate of the possible loss or range of loss. Any adverse outcome in this matter could expose us to substantial damages that may have a material adverse impact on our operations and cash flows. Despite the potential for significant damages, we do not believe, based on currently available information, that the outcome of this proceeding will have a material adverse effect on our financial condition, although the outcome could be material to our operating results for any particular period, depending, in part, upon the operating results for such period.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96" w:lineRule="exact"/>
        <w:rPr>
          <w:sz w:val="20"/>
          <w:szCs w:val="20"/>
          <w:color w:val="auto"/>
        </w:rPr>
      </w:pPr>
    </w:p>
    <w:p>
      <w:pPr>
        <w:ind w:right="200" w:firstLine="255"/>
        <w:spacing w:after="0" w:line="283" w:lineRule="auto"/>
        <w:rPr>
          <w:sz w:val="20"/>
          <w:szCs w:val="20"/>
          <w:color w:val="auto"/>
        </w:rPr>
      </w:pPr>
      <w:r>
        <w:rPr>
          <w:rFonts w:ascii="Times New Roman" w:cs="Times New Roman" w:eastAsia="Times New Roman" w:hAnsi="Times New Roman"/>
          <w:sz w:val="14"/>
          <w:szCs w:val="14"/>
          <w:color w:val="auto"/>
        </w:rPr>
        <w:t>We are subject to various risks and uncertainties in the course of our business. For a detailed discussion of these risks, please see the section in our Annual Report on Form 10-K filed with the SEC on November 24, 2025 titled “Risk Factors”. Any of the matters highlighted in those risk factors could adversely affect our business, results of operation and financial condition.</w:t>
      </w: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96" w:lineRule="exact"/>
        <w:rPr>
          <w:sz w:val="20"/>
          <w:szCs w:val="20"/>
          <w:color w:val="auto"/>
        </w:rPr>
      </w:pPr>
    </w:p>
    <w:p>
      <w:pPr>
        <w:ind w:right="180" w:firstLine="255"/>
        <w:spacing w:after="0" w:line="284" w:lineRule="auto"/>
        <w:rPr>
          <w:sz w:val="20"/>
          <w:szCs w:val="20"/>
          <w:color w:val="auto"/>
        </w:rPr>
      </w:pPr>
      <w:r>
        <w:rPr>
          <w:rFonts w:ascii="Times New Roman" w:cs="Times New Roman" w:eastAsia="Times New Roman" w:hAnsi="Times New Roman"/>
          <w:sz w:val="14"/>
          <w:szCs w:val="14"/>
          <w:color w:val="auto"/>
        </w:rPr>
        <w:t>During the fiscal quarter ended December 27, 2025, the following director(s) and officer(s), as defined in Rule 16a-1(f) under the Exchange Act, adopted or terminated a “Rule 10b5-1 trading arrangement” or a “non-Rule 10b5-1 trading arrangement,” as defined in Regulation S-K Item 408:</w:t>
      </w:r>
    </w:p>
    <w:p>
      <w:pPr>
        <w:spacing w:after="0" w:line="1"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On December 8, 2025, Charles Kane, a member of our board of directors, entered into a trading plan pursuant to Rule 10b5-1 of the Exchange Act. Mr. Kane’s Rule 10b5-1 trading plan provides for the sale of up to a maximum of 122,000 shares of our Class A Common Stock that he received following the vesting of various RSU grants. Mr. Kane’s Rule 10b5-1 trading plan expires on December 31, 2026, or earlier if all transactions under the trading arrangement are completed. The trading arrangement is intended to satisfy the affirmative defense in Rule 10b5-1(c) under the Exchange Act.</w:t>
      </w:r>
    </w:p>
    <w:p>
      <w:pPr>
        <w:spacing w:after="0" w:line="13" w:lineRule="exact"/>
        <w:rPr>
          <w:sz w:val="20"/>
          <w:szCs w:val="20"/>
          <w:color w:val="auto"/>
        </w:rPr>
      </w:pPr>
    </w:p>
    <w:p>
      <w:pPr>
        <w:ind w:right="80" w:firstLine="255"/>
        <w:spacing w:after="0" w:line="264" w:lineRule="auto"/>
        <w:rPr>
          <w:sz w:val="20"/>
          <w:szCs w:val="20"/>
          <w:color w:val="auto"/>
        </w:rPr>
      </w:pPr>
      <w:r>
        <w:rPr>
          <w:rFonts w:ascii="Times New Roman" w:cs="Times New Roman" w:eastAsia="Times New Roman" w:hAnsi="Times New Roman"/>
          <w:sz w:val="14"/>
          <w:szCs w:val="14"/>
          <w:color w:val="auto"/>
        </w:rPr>
        <w:t>On December 8, 2025, entities related to Todd Krasnow, a member of our board of directors, entered into a trading plan pursuant to Rule 10b5-1 of the Exchange Act. Mr. Kane’s Rule 10b5-1 trading plan provides for the sale of up to a maximum of 108,000 shares of our Class A Common Stock for which Mr. Krasnow is a beneficial owner as defined in Rule 16a-1(a) under the Exchange Act. Mr. Kane’s Rule 10b5-1 trading plan expires on November 3, 2026, or earlier if all transactions under the trading arrangement are completed. The trading arrangement is intended to satisfy the affirmative defense in Rule 10b5-1(c) under the Exchange Act.</w:t>
      </w:r>
    </w:p>
    <w:p>
      <w:pPr>
        <w:spacing w:after="0" w:line="1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On December 8, 2025, Daniela Rus, a member of our board of directors, entered into a trading plan pursuant to Rule 10b5-1 of the Exchange Act. Ms. Rus’ Rule 10b5-1 trading plan provides for the sale of up to a maximum of 11,024 shares of our Class A Common Stock that she received following the vesting of various RSU grants. Ms. Rus’ Rule 10b5-1 trading plan expires on January 31, 2027, or earlier if all transactions under the trading arrangement are completed. The trading arrangement is intended to satisfy the affirmative defense in Rule 10b5-1(c) under the Exchange Act.</w:t>
      </w:r>
    </w:p>
    <w:p>
      <w:pPr>
        <w:spacing w:after="0" w:line="8" w:lineRule="exact"/>
        <w:rPr>
          <w:sz w:val="20"/>
          <w:szCs w:val="20"/>
          <w:color w:val="auto"/>
        </w:rPr>
      </w:pPr>
    </w:p>
    <w:p>
      <w:pPr>
        <w:ind w:right="100" w:firstLine="255"/>
        <w:spacing w:after="0" w:line="264" w:lineRule="auto"/>
        <w:rPr>
          <w:sz w:val="20"/>
          <w:szCs w:val="20"/>
          <w:color w:val="auto"/>
        </w:rPr>
      </w:pPr>
      <w:r>
        <w:rPr>
          <w:rFonts w:ascii="Times New Roman" w:cs="Times New Roman" w:eastAsia="Times New Roman" w:hAnsi="Times New Roman"/>
          <w:sz w:val="14"/>
          <w:szCs w:val="14"/>
          <w:color w:val="auto"/>
        </w:rPr>
        <w:t>On December 10, 2025, Miriam Ort, our Chief Human Resources Officer, entered into a trading plan pursuant to Rule 10b5-1 of the Exchange Act. Ms. Ort’s Rule 10b5-1 trading plan provides for the sale of up to a maximum of 15,392 shares of our Class A Common Stock that she received following the vesting of various RSU grants. Ms. Ort’s Rule 10b5-1 trading plan expires on December 31, 2026, or earlier if all transactions under the trading arrangement are completed. The trading arrangement is intended to satisfy the affirmative defense in Rule 10b5-1(c) under the Exchange Act.</w:t>
      </w:r>
    </w:p>
    <w:p>
      <w:pPr>
        <w:spacing w:after="0" w:line="13" w:lineRule="exact"/>
        <w:rPr>
          <w:sz w:val="20"/>
          <w:szCs w:val="20"/>
          <w:color w:val="auto"/>
        </w:rPr>
      </w:pPr>
    </w:p>
    <w:p>
      <w:pPr>
        <w:ind w:right="140" w:firstLine="255"/>
        <w:spacing w:after="0" w:line="264" w:lineRule="auto"/>
        <w:rPr>
          <w:sz w:val="20"/>
          <w:szCs w:val="20"/>
          <w:color w:val="auto"/>
        </w:rPr>
      </w:pPr>
      <w:r>
        <w:rPr>
          <w:rFonts w:ascii="Times New Roman" w:cs="Times New Roman" w:eastAsia="Times New Roman" w:hAnsi="Times New Roman"/>
          <w:sz w:val="14"/>
          <w:szCs w:val="14"/>
          <w:color w:val="auto"/>
        </w:rPr>
        <w:t>Certain of our directors or officers have made elections to participate in, and are participating in, our Incentive Compensation Plan, ESPP or our defined-contribution benefit plan under the provisions of Section 401(k) of the Internal Revenue Code and have may, and may from time to time make, elections to have shares withheld to cover withholding taxes or pay the exercise price of options, which may be designed to satisfy the affirmative defense conditions of Rule 10b5-1 under the Exchange Act or may constitute non-Rule 10b5–1 trading arrangements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67" w:right="359" w:bottom="1440" w:gutter="0" w:footer="0" w:header="0"/>
        </w:sectPr>
      </w:pPr>
    </w:p>
    <w:bookmarkStart w:id="52" w:name="page53"/>
    <w:bookmarkEnd w:id="52"/>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4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8"/>
              </w:rPr>
              <w:t>Item 6. Exhibits</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55"/>
        </w:trPr>
        <w:tc>
          <w:tcPr>
            <w:tcW w:w="260" w:type="dxa"/>
            <w:vAlign w:val="bottom"/>
          </w:tcPr>
          <w:p>
            <w:pPr>
              <w:spacing w:after="0"/>
              <w:rPr>
                <w:sz w:val="22"/>
                <w:szCs w:val="22"/>
                <w:color w:val="auto"/>
              </w:rPr>
            </w:pPr>
          </w:p>
        </w:tc>
        <w:tc>
          <w:tcPr>
            <w:tcW w:w="794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The exhibits listed below are filed or incorporated by reference into this Report.</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5"/>
        </w:trPr>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320" w:type="dxa"/>
            <w:vAlign w:val="bottom"/>
            <w:gridSpan w:val="5"/>
          </w:tcPr>
          <w:p>
            <w:pPr>
              <w:jc w:val="right"/>
              <w:ind w:right="649"/>
              <w:spacing w:after="0"/>
              <w:rPr>
                <w:sz w:val="20"/>
                <w:szCs w:val="20"/>
                <w:color w:val="auto"/>
              </w:rPr>
            </w:pPr>
            <w:r>
              <w:rPr>
                <w:rFonts w:ascii="Times New Roman" w:cs="Times New Roman" w:eastAsia="Times New Roman" w:hAnsi="Times New Roman"/>
                <w:sz w:val="14"/>
                <w:szCs w:val="14"/>
                <w:color w:val="auto"/>
              </w:rPr>
              <w:t>Incorporated by Reference</w:t>
            </w:r>
          </w:p>
        </w:tc>
      </w:tr>
      <w:tr>
        <w:trPr>
          <w:trHeight w:val="32"/>
        </w:trPr>
        <w:tc>
          <w:tcPr>
            <w:tcW w:w="2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1"/>
        </w:trPr>
        <w:tc>
          <w:tcPr>
            <w:tcW w:w="260" w:type="dxa"/>
            <w:vAlign w:val="bottom"/>
          </w:tcPr>
          <w:p>
            <w:pPr>
              <w:spacing w:after="0"/>
              <w:rPr>
                <w:sz w:val="15"/>
                <w:szCs w:val="15"/>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Exhibit</w:t>
            </w: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320" w:type="dxa"/>
            <w:vAlign w:val="bottom"/>
            <w:gridSpan w:val="9"/>
          </w:tcPr>
          <w:p>
            <w:pPr>
              <w:ind w:left="520"/>
              <w:spacing w:after="0"/>
              <w:rPr>
                <w:sz w:val="20"/>
                <w:szCs w:val="20"/>
                <w:color w:val="auto"/>
              </w:rPr>
            </w:pPr>
            <w:r>
              <w:rPr>
                <w:rFonts w:ascii="Times New Roman" w:cs="Times New Roman" w:eastAsia="Times New Roman" w:hAnsi="Times New Roman"/>
                <w:sz w:val="14"/>
                <w:szCs w:val="14"/>
                <w:color w:val="auto"/>
              </w:rPr>
              <w:t>Description</w:t>
            </w:r>
          </w:p>
        </w:tc>
        <w:tc>
          <w:tcPr>
            <w:tcW w:w="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Form</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Exhibit</w:t>
            </w:r>
          </w:p>
        </w:tc>
        <w:tc>
          <w:tcPr>
            <w:tcW w:w="11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Filing Date</w:t>
            </w:r>
          </w:p>
        </w:tc>
      </w:tr>
      <w:tr>
        <w:trPr>
          <w:trHeight w:val="32"/>
        </w:trPr>
        <w:tc>
          <w:tcPr>
            <w:tcW w:w="2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50"/>
        </w:trPr>
        <w:tc>
          <w:tcPr>
            <w:tcW w:w="1240" w:type="dxa"/>
            <w:vAlign w:val="bottom"/>
            <w:gridSpan w:val="2"/>
          </w:tcPr>
          <w:p>
            <w:pPr>
              <w:ind w:left="280"/>
              <w:spacing w:after="0" w:line="150"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3"/>
                <w:szCs w:val="13"/>
                <w:color w:val="auto"/>
              </w:rPr>
            </w:pPr>
          </w:p>
        </w:tc>
        <w:tc>
          <w:tcPr>
            <w:tcW w:w="6860" w:type="dxa"/>
            <w:vAlign w:val="bottom"/>
            <w:gridSpan w:val="15"/>
          </w:tcPr>
          <w:p>
            <w:pPr>
              <w:spacing w:after="0" w:line="150" w:lineRule="exact"/>
              <w:rPr>
                <w:rFonts w:ascii="Times New Roman" w:cs="Times New Roman" w:eastAsia="Times New Roman" w:hAnsi="Times New Roman"/>
                <w:sz w:val="14"/>
                <w:szCs w:val="14"/>
                <w:color w:val="0000FF"/>
              </w:rPr>
            </w:pPr>
            <w:hyperlink r:id="rId77">
              <w:r>
                <w:rPr>
                  <w:rFonts w:ascii="Times New Roman" w:cs="Times New Roman" w:eastAsia="Times New Roman" w:hAnsi="Times New Roman"/>
                  <w:sz w:val="14"/>
                  <w:szCs w:val="14"/>
                  <w:color w:val="0000FF"/>
                </w:rPr>
                <w:t>Certificate of Incorporation of Symbotic Inc.</w:t>
              </w:r>
            </w:hyperlink>
          </w:p>
        </w:tc>
        <w:tc>
          <w:tcPr>
            <w:tcW w:w="6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8-K</w:t>
            </w:r>
          </w:p>
        </w:tc>
        <w:tc>
          <w:tcPr>
            <w:tcW w:w="1080" w:type="dxa"/>
            <w:vAlign w:val="bottom"/>
            <w:gridSpan w:val="3"/>
          </w:tcPr>
          <w:p>
            <w:pPr>
              <w:jc w:val="right"/>
              <w:ind w:right="629"/>
              <w:spacing w:after="0" w:line="150" w:lineRule="exact"/>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3"/>
                <w:szCs w:val="13"/>
                <w:color w:val="auto"/>
              </w:rPr>
            </w:pPr>
          </w:p>
        </w:tc>
        <w:tc>
          <w:tcPr>
            <w:tcW w:w="1160" w:type="dxa"/>
            <w:vAlign w:val="bottom"/>
          </w:tcPr>
          <w:p>
            <w:pPr>
              <w:jc w:val="right"/>
              <w:ind w:right="509"/>
              <w:spacing w:after="0" w:line="150" w:lineRule="exact"/>
              <w:rPr>
                <w:sz w:val="20"/>
                <w:szCs w:val="20"/>
                <w:color w:val="auto"/>
              </w:rPr>
            </w:pPr>
            <w:r>
              <w:rPr>
                <w:rFonts w:ascii="Times New Roman" w:cs="Times New Roman" w:eastAsia="Times New Roman" w:hAnsi="Times New Roman"/>
                <w:sz w:val="14"/>
                <w:szCs w:val="14"/>
                <w:color w:val="auto"/>
                <w:w w:val="98"/>
              </w:rPr>
              <w:t>6/13/2022</w:t>
            </w:r>
          </w:p>
        </w:tc>
      </w:tr>
      <w:tr>
        <w:trPr>
          <w:trHeight w:val="203"/>
        </w:trPr>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7"/>
                <w:szCs w:val="17"/>
                <w:color w:val="auto"/>
              </w:rPr>
            </w:pPr>
          </w:p>
        </w:tc>
        <w:tc>
          <w:tcPr>
            <w:tcW w:w="142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4"/>
                <w:szCs w:val="14"/>
                <w:color w:val="0000FF"/>
              </w:rPr>
            </w:pPr>
            <w:hyperlink r:id="rId78">
              <w:r>
                <w:rPr>
                  <w:rFonts w:ascii="Times New Roman" w:cs="Times New Roman" w:eastAsia="Times New Roman" w:hAnsi="Times New Roman"/>
                  <w:sz w:val="14"/>
                  <w:szCs w:val="14"/>
                  <w:color w:val="0000FF"/>
                </w:rPr>
                <w:t>Bylaws of Symbotic Inc.</w:t>
              </w:r>
            </w:hyperlink>
          </w:p>
        </w:tc>
        <w:tc>
          <w:tcPr>
            <w:tcW w:w="1120" w:type="dxa"/>
            <w:vAlign w:val="bottom"/>
            <w:tcBorders>
              <w:top w:val="single" w:sz="8" w:color="0000FF"/>
            </w:tcBorders>
            <w:gridSpan w:val="3"/>
          </w:tcPr>
          <w:p>
            <w:pPr>
              <w:spacing w:after="0"/>
              <w:rPr>
                <w:sz w:val="17"/>
                <w:szCs w:val="17"/>
                <w:color w:val="auto"/>
              </w:rPr>
            </w:pPr>
          </w:p>
        </w:tc>
        <w:tc>
          <w:tcPr>
            <w:tcW w:w="4320" w:type="dxa"/>
            <w:vAlign w:val="bottom"/>
            <w:gridSpan w:val="9"/>
          </w:tcPr>
          <w:p>
            <w:pPr>
              <w:spacing w:after="0"/>
              <w:rPr>
                <w:sz w:val="17"/>
                <w:szCs w:val="17"/>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gridSpan w:val="3"/>
          </w:tcPr>
          <w:p>
            <w:pPr>
              <w:jc w:val="right"/>
              <w:ind w:right="629"/>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7"/>
                <w:szCs w:val="17"/>
                <w:color w:val="auto"/>
              </w:rPr>
            </w:pPr>
          </w:p>
        </w:tc>
        <w:tc>
          <w:tcPr>
            <w:tcW w:w="11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98"/>
              </w:rPr>
              <w:t>6/13/2022</w:t>
            </w:r>
          </w:p>
        </w:tc>
      </w:tr>
      <w:tr>
        <w:trPr>
          <w:trHeight w:val="203"/>
        </w:trPr>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7"/>
                <w:szCs w:val="17"/>
                <w:color w:val="auto"/>
              </w:rPr>
            </w:pPr>
          </w:p>
        </w:tc>
        <w:tc>
          <w:tcPr>
            <w:tcW w:w="6100" w:type="dxa"/>
            <w:vAlign w:val="bottom"/>
            <w:tcBorders>
              <w:bottom w:val="single" w:sz="8" w:color="0000FF"/>
            </w:tcBorders>
            <w:gridSpan w:val="8"/>
          </w:tcPr>
          <w:p>
            <w:pPr>
              <w:spacing w:after="0"/>
              <w:rPr>
                <w:rFonts w:ascii="Times New Roman" w:cs="Times New Roman" w:eastAsia="Times New Roman" w:hAnsi="Times New Roman"/>
                <w:sz w:val="14"/>
                <w:szCs w:val="14"/>
                <w:color w:val="0000FF"/>
              </w:rPr>
            </w:pPr>
            <w:hyperlink r:id="rId79">
              <w:r>
                <w:rPr>
                  <w:rFonts w:ascii="Times New Roman" w:cs="Times New Roman" w:eastAsia="Times New Roman" w:hAnsi="Times New Roman"/>
                  <w:sz w:val="14"/>
                  <w:szCs w:val="14"/>
                  <w:color w:val="0000FF"/>
                </w:rPr>
                <w:t>Warrant to purchase common units, dated June 7, 2022, between Symbotic Holdings LLC and Walmart Inc.</w:t>
              </w:r>
            </w:hyperlink>
          </w:p>
        </w:tc>
        <w:tc>
          <w:tcPr>
            <w:tcW w:w="760" w:type="dxa"/>
            <w:vAlign w:val="bottom"/>
            <w:gridSpan w:val="7"/>
          </w:tcPr>
          <w:p>
            <w:pPr>
              <w:spacing w:after="0"/>
              <w:rPr>
                <w:sz w:val="17"/>
                <w:szCs w:val="17"/>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gridSpan w:val="3"/>
          </w:tcPr>
          <w:p>
            <w:pPr>
              <w:jc w:val="right"/>
              <w:ind w:right="629"/>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7"/>
                <w:szCs w:val="17"/>
                <w:color w:val="auto"/>
              </w:rPr>
            </w:pPr>
          </w:p>
        </w:tc>
        <w:tc>
          <w:tcPr>
            <w:tcW w:w="11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98"/>
              </w:rPr>
              <w:t>6/13/2022</w:t>
            </w:r>
          </w:p>
        </w:tc>
      </w:tr>
      <w:tr>
        <w:trPr>
          <w:trHeight w:val="203"/>
        </w:trPr>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7"/>
                <w:szCs w:val="17"/>
                <w:color w:val="auto"/>
              </w:rPr>
            </w:pPr>
          </w:p>
        </w:tc>
        <w:tc>
          <w:tcPr>
            <w:tcW w:w="6420" w:type="dxa"/>
            <w:vAlign w:val="bottom"/>
            <w:tcBorders>
              <w:bottom w:val="single" w:sz="8" w:color="0000FF"/>
            </w:tcBorders>
            <w:gridSpan w:val="9"/>
          </w:tcPr>
          <w:p>
            <w:pPr>
              <w:spacing w:after="0"/>
              <w:rPr>
                <w:rFonts w:ascii="Times New Roman" w:cs="Times New Roman" w:eastAsia="Times New Roman" w:hAnsi="Times New Roman"/>
                <w:sz w:val="14"/>
                <w:szCs w:val="14"/>
                <w:color w:val="0000FF"/>
              </w:rPr>
            </w:pPr>
            <w:hyperlink r:id="rId80">
              <w:r>
                <w:rPr>
                  <w:rFonts w:ascii="Times New Roman" w:cs="Times New Roman" w:eastAsia="Times New Roman" w:hAnsi="Times New Roman"/>
                  <w:sz w:val="14"/>
                  <w:szCs w:val="14"/>
                  <w:color w:val="0000FF"/>
                </w:rPr>
                <w:t>Warrant to purchase class A common stock, dated July 23, 2023, between Symbotic Inc. and Sunlight Investment</w:t>
              </w:r>
            </w:hyperlink>
          </w:p>
        </w:tc>
        <w:tc>
          <w:tcPr>
            <w:tcW w:w="440" w:type="dxa"/>
            <w:vAlign w:val="bottom"/>
            <w:gridSpan w:val="6"/>
          </w:tcPr>
          <w:p>
            <w:pPr>
              <w:spacing w:after="0"/>
              <w:rPr>
                <w:sz w:val="17"/>
                <w:szCs w:val="17"/>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gridSpan w:val="3"/>
          </w:tcPr>
          <w:p>
            <w:pPr>
              <w:jc w:val="right"/>
              <w:ind w:right="629"/>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7"/>
                <w:szCs w:val="17"/>
                <w:color w:val="auto"/>
              </w:rPr>
            </w:pPr>
          </w:p>
        </w:tc>
        <w:tc>
          <w:tcPr>
            <w:tcW w:w="11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98"/>
              </w:rPr>
              <w:t>7/24/2023</w:t>
            </w:r>
          </w:p>
        </w:tc>
      </w:tr>
      <w:tr>
        <w:trPr>
          <w:trHeight w:val="160"/>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60" w:type="dxa"/>
            <w:vAlign w:val="bottom"/>
            <w:gridSpan w:val="15"/>
          </w:tcPr>
          <w:p>
            <w:pPr>
              <w:spacing w:after="0"/>
              <w:rPr>
                <w:rFonts w:ascii="Times New Roman" w:cs="Times New Roman" w:eastAsia="Times New Roman" w:hAnsi="Times New Roman"/>
                <w:sz w:val="14"/>
                <w:szCs w:val="14"/>
                <w:color w:val="0000FF"/>
              </w:rPr>
            </w:pPr>
            <w:hyperlink r:id="rId80">
              <w:r>
                <w:rPr>
                  <w:rFonts w:ascii="Times New Roman" w:cs="Times New Roman" w:eastAsia="Times New Roman" w:hAnsi="Times New Roman"/>
                  <w:sz w:val="14"/>
                  <w:szCs w:val="14"/>
                  <w:color w:val="0000FF"/>
                </w:rPr>
                <w:t>Corp.</w:t>
              </w:r>
            </w:hyperlink>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0"/>
        </w:trPr>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2"/>
        </w:trPr>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6860" w:type="dxa"/>
            <w:vAlign w:val="bottom"/>
            <w:gridSpan w:val="15"/>
          </w:tcPr>
          <w:p>
            <w:pPr>
              <w:spacing w:after="0"/>
              <w:rPr>
                <w:rFonts w:ascii="Times New Roman" w:cs="Times New Roman" w:eastAsia="Times New Roman" w:hAnsi="Times New Roman"/>
                <w:sz w:val="14"/>
                <w:szCs w:val="14"/>
                <w:color w:val="0000FF"/>
              </w:rPr>
            </w:pPr>
            <w:hyperlink r:id="rId81">
              <w:r>
                <w:rPr>
                  <w:rFonts w:ascii="Times New Roman" w:cs="Times New Roman" w:eastAsia="Times New Roman" w:hAnsi="Times New Roman"/>
                  <w:sz w:val="14"/>
                  <w:szCs w:val="14"/>
                  <w:color w:val="0000FF"/>
                </w:rPr>
                <w:t>Description of securities of Symbotic Inc.</w:t>
              </w:r>
            </w:hyperlink>
          </w:p>
        </w:tc>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10-K</w:t>
            </w:r>
          </w:p>
        </w:tc>
        <w:tc>
          <w:tcPr>
            <w:tcW w:w="1080" w:type="dxa"/>
            <w:vAlign w:val="bottom"/>
            <w:gridSpan w:val="3"/>
          </w:tcPr>
          <w:p>
            <w:pPr>
              <w:jc w:val="right"/>
              <w:ind w:right="629"/>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6"/>
                <w:szCs w:val="16"/>
                <w:color w:val="auto"/>
              </w:rPr>
            </w:pPr>
          </w:p>
        </w:tc>
        <w:tc>
          <w:tcPr>
            <w:tcW w:w="11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98"/>
              </w:rPr>
              <w:t>12/9/2022</w:t>
            </w:r>
          </w:p>
        </w:tc>
      </w:tr>
      <w:tr>
        <w:trPr>
          <w:trHeight w:val="203"/>
        </w:trPr>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7"/>
                <w:szCs w:val="17"/>
                <w:color w:val="auto"/>
              </w:rPr>
            </w:pPr>
          </w:p>
        </w:tc>
        <w:tc>
          <w:tcPr>
            <w:tcW w:w="2360" w:type="dxa"/>
            <w:vAlign w:val="bottom"/>
            <w:tcBorders>
              <w:top w:val="single" w:sz="8" w:color="0000FF"/>
            </w:tcBorders>
            <w:gridSpan w:val="5"/>
          </w:tcPr>
          <w:p>
            <w:pPr>
              <w:spacing w:after="0"/>
              <w:rPr>
                <w:rFonts w:ascii="Times New Roman" w:cs="Times New Roman" w:eastAsia="Times New Roman" w:hAnsi="Times New Roman"/>
                <w:sz w:val="14"/>
                <w:szCs w:val="14"/>
                <w:color w:val="0000FF"/>
              </w:rPr>
            </w:pPr>
            <w:hyperlink r:id="rId82">
              <w:r>
                <w:rPr>
                  <w:rFonts w:ascii="Times New Roman" w:cs="Times New Roman" w:eastAsia="Times New Roman" w:hAnsi="Times New Roman"/>
                  <w:sz w:val="14"/>
                  <w:szCs w:val="14"/>
                  <w:color w:val="0000FF"/>
                </w:rPr>
                <w:t>Form of Indenture</w:t>
              </w:r>
            </w:hyperlink>
          </w:p>
        </w:tc>
        <w:tc>
          <w:tcPr>
            <w:tcW w:w="4500" w:type="dxa"/>
            <w:vAlign w:val="bottom"/>
            <w:gridSpan w:val="10"/>
          </w:tcPr>
          <w:p>
            <w:pPr>
              <w:spacing w:after="0"/>
              <w:rPr>
                <w:sz w:val="17"/>
                <w:szCs w:val="17"/>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S-3</w:t>
            </w:r>
          </w:p>
        </w:tc>
        <w:tc>
          <w:tcPr>
            <w:tcW w:w="1080" w:type="dxa"/>
            <w:vAlign w:val="bottom"/>
            <w:gridSpan w:val="3"/>
          </w:tcPr>
          <w:p>
            <w:pPr>
              <w:jc w:val="right"/>
              <w:ind w:right="629"/>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7"/>
                <w:szCs w:val="17"/>
                <w:color w:val="auto"/>
              </w:rPr>
            </w:pPr>
          </w:p>
        </w:tc>
        <w:tc>
          <w:tcPr>
            <w:tcW w:w="11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98"/>
              </w:rPr>
              <w:t>7/24/2023</w:t>
            </w:r>
          </w:p>
        </w:tc>
      </w:tr>
      <w:tr>
        <w:trPr>
          <w:trHeight w:val="20"/>
        </w:trPr>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3"/>
        </w:trPr>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Pr>
          <w:p>
            <w:pPr>
              <w:spacing w:after="0"/>
              <w:rPr>
                <w:sz w:val="17"/>
                <w:szCs w:val="17"/>
                <w:color w:val="auto"/>
              </w:rPr>
            </w:pPr>
          </w:p>
        </w:tc>
        <w:tc>
          <w:tcPr>
            <w:tcW w:w="31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Preferability Letter on Change in Accounting Principle</w:t>
            </w:r>
          </w:p>
        </w:tc>
        <w:tc>
          <w:tcPr>
            <w:tcW w:w="3740" w:type="dxa"/>
            <w:vAlign w:val="bottom"/>
            <w:gridSpan w:val="8"/>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7"/>
                <w:szCs w:val="17"/>
                <w:color w:val="auto"/>
              </w:rPr>
            </w:pPr>
          </w:p>
        </w:tc>
        <w:tc>
          <w:tcPr>
            <w:tcW w:w="686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Rule 13a-14(a)/ Rule 15d-14(a) of the Securities Exchange Act of</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60"/>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70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1934, as amended</w:t>
            </w:r>
          </w:p>
        </w:tc>
        <w:tc>
          <w:tcPr>
            <w:tcW w:w="160" w:type="dxa"/>
            <w:vAlign w:val="bottom"/>
            <w:gridSpan w:val="3"/>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0"/>
        </w:trPr>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0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2"/>
        </w:trPr>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6"/>
                <w:szCs w:val="16"/>
                <w:color w:val="auto"/>
              </w:rPr>
            </w:pPr>
          </w:p>
        </w:tc>
        <w:tc>
          <w:tcPr>
            <w:tcW w:w="66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Rule 13a-14(a)/ Rule 15d-14(a) of the Securities Exchange Act of</w:t>
            </w:r>
          </w:p>
        </w:tc>
        <w:tc>
          <w:tcPr>
            <w:tcW w:w="200" w:type="dxa"/>
            <w:vAlign w:val="bottom"/>
            <w:gridSpan w:val="5"/>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60"/>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6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1934, as amended</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0"/>
        </w:trPr>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2"/>
        </w:trPr>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16"/>
                <w:szCs w:val="16"/>
                <w:color w:val="auto"/>
              </w:rPr>
            </w:pPr>
          </w:p>
        </w:tc>
        <w:tc>
          <w:tcPr>
            <w:tcW w:w="67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18 U.S.C. Section 1350, as adopted pursuant to Section 906 of the</w:t>
            </w:r>
          </w:p>
        </w:tc>
        <w:tc>
          <w:tcPr>
            <w:tcW w:w="140" w:type="dxa"/>
            <w:vAlign w:val="bottom"/>
            <w:gridSpan w:val="2"/>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60"/>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Sarbanes-Oxley Act of 2002</w:t>
            </w:r>
          </w:p>
        </w:tc>
        <w:tc>
          <w:tcPr>
            <w:tcW w:w="5240" w:type="dxa"/>
            <w:vAlign w:val="bottom"/>
            <w:gridSpan w:val="11"/>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92"/>
        </w:trPr>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Pr>
          <w:p>
            <w:pPr>
              <w:spacing w:after="0"/>
              <w:rPr>
                <w:sz w:val="16"/>
                <w:szCs w:val="16"/>
                <w:color w:val="auto"/>
              </w:rPr>
            </w:pPr>
          </w:p>
        </w:tc>
        <w:tc>
          <w:tcPr>
            <w:tcW w:w="66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18 U.S.C. Section 1350, as adopted pursuant to Section 906 of the</w:t>
            </w:r>
          </w:p>
        </w:tc>
        <w:tc>
          <w:tcPr>
            <w:tcW w:w="180" w:type="dxa"/>
            <w:vAlign w:val="bottom"/>
            <w:gridSpan w:val="4"/>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60"/>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Sarbanes-Oxley Act of 2002</w:t>
            </w:r>
          </w:p>
        </w:tc>
        <w:tc>
          <w:tcPr>
            <w:tcW w:w="5240" w:type="dxa"/>
            <w:vAlign w:val="bottom"/>
            <w:gridSpan w:val="11"/>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24"/>
        </w:trPr>
        <w:tc>
          <w:tcPr>
            <w:tcW w:w="26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686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686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686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686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686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bl>
    <w:p>
      <w:pPr>
        <w:spacing w:after="0" w:line="39" w:lineRule="exact"/>
        <w:rPr>
          <w:sz w:val="20"/>
          <w:szCs w:val="20"/>
          <w:color w:val="auto"/>
        </w:rPr>
      </w:pPr>
    </w:p>
    <w:p>
      <w:pPr>
        <w:ind w:left="1340" w:right="3600" w:hanging="1066"/>
        <w:spacing w:after="0" w:line="303" w:lineRule="auto"/>
        <w:tabs>
          <w:tab w:leader="none" w:pos="1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with applicable taxonomy extension information contained in Exhibits 101.*)</w:t>
      </w:r>
    </w:p>
    <w:p>
      <w:pPr>
        <w:spacing w:after="0" w:line="124" w:lineRule="exact"/>
        <w:rPr>
          <w:sz w:val="20"/>
          <w:szCs w:val="20"/>
          <w:color w:val="auto"/>
        </w:rPr>
      </w:pPr>
    </w:p>
    <w:p>
      <w:pPr>
        <w:ind w:left="1260" w:hanging="986"/>
        <w:spacing w:after="0"/>
        <w:tabs>
          <w:tab w:leader="none" w:pos="1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w:t>
      </w:r>
    </w:p>
    <w:p>
      <w:pPr>
        <w:spacing w:after="0" w:line="61" w:lineRule="exact"/>
        <w:rPr>
          <w:rFonts w:ascii="Times New Roman" w:cs="Times New Roman" w:eastAsia="Times New Roman" w:hAnsi="Times New Roman"/>
          <w:sz w:val="14"/>
          <w:szCs w:val="14"/>
          <w:color w:val="auto"/>
        </w:rPr>
      </w:pPr>
    </w:p>
    <w:p>
      <w:pPr>
        <w:ind w:left="12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of the exhibits and schedules have been omitted in accordance with Item 601(a)(5) of Regulation S-K. We agree to furnish a copy of all omitted exhibits and</w:t>
      </w:r>
    </w:p>
    <w:p>
      <w:pPr>
        <w:spacing w:after="0" w:line="23" w:lineRule="exact"/>
        <w:rPr>
          <w:rFonts w:ascii="Times New Roman" w:cs="Times New Roman" w:eastAsia="Times New Roman" w:hAnsi="Times New Roman"/>
          <w:sz w:val="14"/>
          <w:szCs w:val="14"/>
          <w:color w:val="auto"/>
        </w:rPr>
      </w:pPr>
    </w:p>
    <w:p>
      <w:pPr>
        <w:ind w:left="1260" w:hanging="951"/>
        <w:spacing w:after="0"/>
        <w:tabs>
          <w:tab w:leader="none" w:pos="126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schedules to the SEC upon its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167" w:right="459" w:bottom="1440" w:gutter="0" w:footer="0" w:header="0"/>
        </w:sectPr>
      </w:pPr>
    </w:p>
    <w:bookmarkStart w:id="53" w:name="page54"/>
    <w:bookmarkEnd w:id="53"/>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4, 2026</w:t>
      </w:r>
    </w:p>
    <w:p>
      <w:pPr>
        <w:spacing w:after="0" w:line="92" w:lineRule="exact"/>
        <w:rPr>
          <w:sz w:val="20"/>
          <w:szCs w:val="20"/>
          <w:color w:val="auto"/>
        </w:rPr>
      </w:pPr>
    </w:p>
    <w:tbl>
      <w:tblPr>
        <w:tblLayout w:type="fixed"/>
        <w:tblInd w:w="1100" w:type="dxa"/>
        <w:tblCellMar>
          <w:top w:w="0" w:type="dxa"/>
          <w:left w:w="0" w:type="dxa"/>
          <w:bottom w:w="0" w:type="dxa"/>
          <w:right w:w="0" w:type="dxa"/>
        </w:tblCellMar>
      </w:tblPr>
      <w:tr>
        <w:trPr>
          <w:trHeight w:val="186"/>
        </w:trPr>
        <w:tc>
          <w:tcPr>
            <w:tcW w:w="1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Symbotic Inc.</w:t>
            </w:r>
          </w:p>
        </w:tc>
        <w:tc>
          <w:tcPr>
            <w:tcW w:w="5000" w:type="dxa"/>
            <w:vAlign w:val="bottom"/>
          </w:tcPr>
          <w:p>
            <w:pPr>
              <w:spacing w:after="0"/>
              <w:rPr>
                <w:sz w:val="16"/>
                <w:szCs w:val="16"/>
                <w:color w:val="auto"/>
              </w:rPr>
            </w:pPr>
          </w:p>
        </w:tc>
      </w:tr>
      <w:tr>
        <w:trPr>
          <w:trHeight w:val="435"/>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Maria G. Freve</w:t>
            </w:r>
          </w:p>
        </w:tc>
      </w:tr>
      <w:tr>
        <w:trPr>
          <w:trHeight w:val="32"/>
        </w:trPr>
        <w:tc>
          <w:tcPr>
            <w:tcW w:w="136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181"/>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Maria G. Freve</w:t>
            </w:r>
          </w:p>
        </w:tc>
      </w:tr>
      <w:tr>
        <w:trPr>
          <w:trHeight w:val="219"/>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Vice President, Controller and Chief Accounting Officer</w:t>
            </w:r>
          </w:p>
        </w:tc>
      </w:tr>
      <w:tr>
        <w:trPr>
          <w:trHeight w:val="184"/>
        </w:trPr>
        <w:tc>
          <w:tcPr>
            <w:tcW w:w="1360" w:type="dxa"/>
            <w:vAlign w:val="bottom"/>
          </w:tcPr>
          <w:p>
            <w:pPr>
              <w:spacing w:after="0"/>
              <w:rPr>
                <w:sz w:val="16"/>
                <w:szCs w:val="16"/>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10580"/>
          </w:cols>
          <w:pgMar w:left="300" w:top="167" w:right="1019" w:bottom="1440"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302 OF THE SARBANES-OXLEY ACT OF 2002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Richard B. Cohen, certify that: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I have reviewed this Quarterly Report on Form 10-Q for the fiscal quarter ended December 27, 2025 of Symbotic Inc.;</w:t>
      </w:r>
    </w:p>
    <w:p>
      <w:pPr>
        <w:spacing w:after="0" w:line="115" w:lineRule="exact"/>
        <w:rPr>
          <w:sz w:val="20"/>
          <w:szCs w:val="20"/>
          <w:color w:val="auto"/>
        </w:rPr>
      </w:pPr>
    </w:p>
    <w:p>
      <w:pPr>
        <w:ind w:right="120"/>
        <w:spacing w:after="0" w:line="303" w:lineRule="auto"/>
        <w:rPr>
          <w:sz w:val="20"/>
          <w:szCs w:val="20"/>
          <w:color w:val="auto"/>
        </w:rPr>
      </w:pPr>
      <w:r>
        <w:rPr>
          <w:rFonts w:ascii="Times New Roman" w:cs="Times New Roman" w:eastAsia="Times New Roman" w:hAnsi="Times New Roman"/>
          <w:sz w:val="14"/>
          <w:szCs w:val="14"/>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sz w:val="20"/>
          <w:szCs w:val="20"/>
          <w:color w:val="auto"/>
        </w:rPr>
      </w:pPr>
    </w:p>
    <w:p>
      <w:pPr>
        <w:ind w:right="180"/>
        <w:spacing w:after="0" w:line="319" w:lineRule="auto"/>
        <w:rPr>
          <w:sz w:val="20"/>
          <w:szCs w:val="20"/>
          <w:color w:val="auto"/>
        </w:rPr>
      </w:pPr>
      <w:r>
        <w:rPr>
          <w:rFonts w:ascii="Times New Roman" w:cs="Times New Roman" w:eastAsia="Times New Roman" w:hAnsi="Times New Roman"/>
          <w:sz w:val="14"/>
          <w:szCs w:val="14"/>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 w:lineRule="exact"/>
        <w:rPr>
          <w:sz w:val="20"/>
          <w:szCs w:val="20"/>
          <w:color w:val="auto"/>
        </w:rPr>
      </w:pPr>
    </w:p>
    <w:p>
      <w:pPr>
        <w:ind w:right="40"/>
        <w:spacing w:after="0" w:line="303" w:lineRule="auto"/>
        <w:rPr>
          <w:sz w:val="20"/>
          <w:szCs w:val="20"/>
          <w:color w:val="auto"/>
        </w:rPr>
      </w:pPr>
      <w:r>
        <w:rPr>
          <w:rFonts w:ascii="Times New Roman" w:cs="Times New Roman" w:eastAsia="Times New Roman" w:hAnsi="Times New Roman"/>
          <w:sz w:val="14"/>
          <w:szCs w:val="14"/>
          <w:color w:val="auto"/>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0" w:lineRule="exact"/>
        <w:rPr>
          <w:sz w:val="20"/>
          <w:szCs w:val="20"/>
          <w:color w:val="auto"/>
        </w:rPr>
      </w:pPr>
    </w:p>
    <w:p>
      <w:pPr>
        <w:ind w:left="520" w:right="60" w:hanging="260"/>
        <w:spacing w:after="0" w:line="303" w:lineRule="auto"/>
        <w:tabs>
          <w:tab w:leader="none" w:pos="51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left="520" w:right="500" w:hanging="260"/>
        <w:spacing w:after="0" w:line="319" w:lineRule="auto"/>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 w:lineRule="exact"/>
        <w:rPr>
          <w:rFonts w:ascii="Times New Roman" w:cs="Times New Roman" w:eastAsia="Times New Roman" w:hAnsi="Times New Roman"/>
          <w:sz w:val="14"/>
          <w:szCs w:val="14"/>
          <w:color w:val="auto"/>
        </w:rPr>
      </w:pPr>
    </w:p>
    <w:p>
      <w:pPr>
        <w:ind w:left="520" w:right="680" w:hanging="260"/>
        <w:spacing w:after="0" w:line="303" w:lineRule="auto"/>
        <w:tabs>
          <w:tab w:leader="none" w:pos="51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Times New Roman" w:cs="Times New Roman" w:eastAsia="Times New Roman" w:hAnsi="Times New Roman"/>
          <w:sz w:val="14"/>
          <w:szCs w:val="14"/>
          <w:color w:val="auto"/>
        </w:rPr>
      </w:pPr>
    </w:p>
    <w:p>
      <w:pPr>
        <w:ind w:left="520" w:right="300" w:hanging="260"/>
        <w:spacing w:after="0" w:line="303" w:lineRule="auto"/>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sz w:val="20"/>
          <w:szCs w:val="20"/>
          <w:color w:val="auto"/>
        </w:rPr>
      </w:pPr>
    </w:p>
    <w:p>
      <w:pPr>
        <w:ind w:right="140"/>
        <w:spacing w:after="0" w:line="319" w:lineRule="auto"/>
        <w:rPr>
          <w:sz w:val="20"/>
          <w:szCs w:val="20"/>
          <w:color w:val="auto"/>
        </w:rPr>
      </w:pPr>
      <w:r>
        <w:rPr>
          <w:rFonts w:ascii="Times New Roman" w:cs="Times New Roman" w:eastAsia="Times New Roman" w:hAnsi="Times New Roman"/>
          <w:sz w:val="14"/>
          <w:szCs w:val="14"/>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sz w:val="20"/>
          <w:szCs w:val="20"/>
          <w:color w:val="auto"/>
        </w:rPr>
      </w:pPr>
    </w:p>
    <w:p>
      <w:pPr>
        <w:ind w:left="520" w:right="360" w:hanging="260"/>
        <w:spacing w:after="0" w:line="303" w:lineRule="auto"/>
        <w:tabs>
          <w:tab w:leader="none" w:pos="51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80"/>
          </w:cols>
          <w:pgMar w:left="300" w:top="1141" w:right="31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4, 2026</w:t>
            </w:r>
          </w:p>
        </w:tc>
        <w:tc>
          <w:tcPr>
            <w:tcW w:w="7060" w:type="dxa"/>
            <w:vAlign w:val="bottom"/>
            <w:gridSpan w:val="2"/>
          </w:tcPr>
          <w:p>
            <w:pPr>
              <w:ind w:left="2880"/>
              <w:spacing w:after="0"/>
              <w:rPr>
                <w:sz w:val="20"/>
                <w:szCs w:val="20"/>
                <w:color w:val="auto"/>
              </w:rPr>
            </w:pPr>
            <w:r>
              <w:rPr>
                <w:rFonts w:ascii="Times New Roman" w:cs="Times New Roman" w:eastAsia="Times New Roman" w:hAnsi="Times New Roman"/>
                <w:sz w:val="14"/>
                <w:szCs w:val="14"/>
                <w:color w:val="auto"/>
              </w:rPr>
              <w:t>By: /s/ Richard B. Cohen</w:t>
            </w:r>
          </w:p>
        </w:tc>
      </w:tr>
      <w:tr>
        <w:trPr>
          <w:trHeight w:val="167"/>
        </w:trPr>
        <w:tc>
          <w:tcPr>
            <w:tcW w:w="42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Richard B. Cohen</w:t>
            </w:r>
          </w:p>
        </w:tc>
      </w:tr>
      <w:tr>
        <w:trPr>
          <w:trHeight w:val="180"/>
        </w:trPr>
        <w:tc>
          <w:tcPr>
            <w:tcW w:w="42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Chairman and Chief Executive Officer</w:t>
            </w:r>
          </w:p>
        </w:tc>
      </w:tr>
      <w:tr>
        <w:trPr>
          <w:trHeight w:val="184"/>
        </w:trPr>
        <w:tc>
          <w:tcPr>
            <w:tcW w:w="42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r>
    </w:tbl>
    <w:p>
      <w:pPr>
        <w:sectPr>
          <w:pgSz w:w="11900" w:h="16838" w:orient="portrait"/>
          <w:cols w:equalWidth="0" w:num="1">
            <w:col w:w="11260"/>
          </w:cols>
          <w:pgMar w:left="320" w:top="1175" w:right="31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FINANCIAL OFFICER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302 OF THE SARBANES-OXLEY ACT OF 2002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Izilda Martins, certify that: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I have reviewed this Quarterly Report on Form 10-Q for the fiscal quarter ended December 27, 2025 of Symbotic Inc.;</w:t>
      </w:r>
    </w:p>
    <w:p>
      <w:pPr>
        <w:spacing w:after="0" w:line="115" w:lineRule="exact"/>
        <w:rPr>
          <w:sz w:val="20"/>
          <w:szCs w:val="20"/>
          <w:color w:val="auto"/>
        </w:rPr>
      </w:pPr>
    </w:p>
    <w:p>
      <w:pPr>
        <w:ind w:right="120"/>
        <w:spacing w:after="0" w:line="303" w:lineRule="auto"/>
        <w:rPr>
          <w:sz w:val="20"/>
          <w:szCs w:val="20"/>
          <w:color w:val="auto"/>
        </w:rPr>
      </w:pPr>
      <w:r>
        <w:rPr>
          <w:rFonts w:ascii="Times New Roman" w:cs="Times New Roman" w:eastAsia="Times New Roman" w:hAnsi="Times New Roman"/>
          <w:sz w:val="14"/>
          <w:szCs w:val="14"/>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sz w:val="20"/>
          <w:szCs w:val="20"/>
          <w:color w:val="auto"/>
        </w:rPr>
      </w:pPr>
    </w:p>
    <w:p>
      <w:pPr>
        <w:ind w:right="180"/>
        <w:spacing w:after="0" w:line="319" w:lineRule="auto"/>
        <w:rPr>
          <w:sz w:val="20"/>
          <w:szCs w:val="20"/>
          <w:color w:val="auto"/>
        </w:rPr>
      </w:pPr>
      <w:r>
        <w:rPr>
          <w:rFonts w:ascii="Times New Roman" w:cs="Times New Roman" w:eastAsia="Times New Roman" w:hAnsi="Times New Roman"/>
          <w:sz w:val="14"/>
          <w:szCs w:val="14"/>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 w:lineRule="exact"/>
        <w:rPr>
          <w:sz w:val="20"/>
          <w:szCs w:val="20"/>
          <w:color w:val="auto"/>
        </w:rPr>
      </w:pPr>
    </w:p>
    <w:p>
      <w:pPr>
        <w:ind w:right="40"/>
        <w:spacing w:after="0" w:line="303" w:lineRule="auto"/>
        <w:rPr>
          <w:sz w:val="20"/>
          <w:szCs w:val="20"/>
          <w:color w:val="auto"/>
        </w:rPr>
      </w:pPr>
      <w:r>
        <w:rPr>
          <w:rFonts w:ascii="Times New Roman" w:cs="Times New Roman" w:eastAsia="Times New Roman" w:hAnsi="Times New Roman"/>
          <w:sz w:val="14"/>
          <w:szCs w:val="14"/>
          <w:color w:val="auto"/>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0" w:lineRule="exact"/>
        <w:rPr>
          <w:sz w:val="20"/>
          <w:szCs w:val="20"/>
          <w:color w:val="auto"/>
        </w:rPr>
      </w:pPr>
    </w:p>
    <w:p>
      <w:pPr>
        <w:ind w:left="520" w:right="80" w:hanging="260"/>
        <w:spacing w:after="0" w:line="303" w:lineRule="auto"/>
        <w:tabs>
          <w:tab w:leader="none" w:pos="51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left="520" w:right="500" w:hanging="260"/>
        <w:spacing w:after="0" w:line="319" w:lineRule="auto"/>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 w:lineRule="exact"/>
        <w:rPr>
          <w:rFonts w:ascii="Times New Roman" w:cs="Times New Roman" w:eastAsia="Times New Roman" w:hAnsi="Times New Roman"/>
          <w:sz w:val="14"/>
          <w:szCs w:val="14"/>
          <w:color w:val="auto"/>
        </w:rPr>
      </w:pPr>
    </w:p>
    <w:p>
      <w:pPr>
        <w:ind w:left="520" w:right="680" w:hanging="260"/>
        <w:spacing w:after="0" w:line="303" w:lineRule="auto"/>
        <w:tabs>
          <w:tab w:leader="none" w:pos="51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Times New Roman" w:cs="Times New Roman" w:eastAsia="Times New Roman" w:hAnsi="Times New Roman"/>
          <w:sz w:val="14"/>
          <w:szCs w:val="14"/>
          <w:color w:val="auto"/>
        </w:rPr>
      </w:pPr>
    </w:p>
    <w:p>
      <w:pPr>
        <w:ind w:left="520" w:right="320" w:hanging="260"/>
        <w:spacing w:after="0" w:line="303" w:lineRule="auto"/>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sz w:val="20"/>
          <w:szCs w:val="20"/>
          <w:color w:val="auto"/>
        </w:rPr>
      </w:pPr>
    </w:p>
    <w:p>
      <w:pPr>
        <w:ind w:right="140"/>
        <w:spacing w:after="0" w:line="319" w:lineRule="auto"/>
        <w:rPr>
          <w:sz w:val="20"/>
          <w:szCs w:val="20"/>
          <w:color w:val="auto"/>
        </w:rPr>
      </w:pPr>
      <w:r>
        <w:rPr>
          <w:rFonts w:ascii="Times New Roman" w:cs="Times New Roman" w:eastAsia="Times New Roman" w:hAnsi="Times New Roman"/>
          <w:sz w:val="14"/>
          <w:szCs w:val="14"/>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sz w:val="20"/>
          <w:szCs w:val="20"/>
          <w:color w:val="auto"/>
        </w:rPr>
      </w:pPr>
    </w:p>
    <w:p>
      <w:pPr>
        <w:ind w:left="520" w:right="360" w:hanging="260"/>
        <w:spacing w:after="0" w:line="303" w:lineRule="auto"/>
        <w:tabs>
          <w:tab w:leader="none" w:pos="51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80"/>
          </w:cols>
          <w:pgMar w:left="300" w:top="1141" w:right="31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84"/>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4, 2026</w:t>
            </w:r>
          </w:p>
        </w:tc>
        <w:tc>
          <w:tcPr>
            <w:tcW w:w="7320" w:type="dxa"/>
            <w:vAlign w:val="bottom"/>
            <w:gridSpan w:val="2"/>
          </w:tcPr>
          <w:p>
            <w:pPr>
              <w:ind w:left="2640"/>
              <w:spacing w:after="0"/>
              <w:rPr>
                <w:sz w:val="20"/>
                <w:szCs w:val="20"/>
                <w:color w:val="auto"/>
              </w:rPr>
            </w:pPr>
            <w:r>
              <w:rPr>
                <w:rFonts w:ascii="Times New Roman" w:cs="Times New Roman" w:eastAsia="Times New Roman" w:hAnsi="Times New Roman"/>
                <w:sz w:val="14"/>
                <w:szCs w:val="14"/>
                <w:color w:val="auto"/>
              </w:rPr>
              <w:t>By: /s/ Izilda Martins</w:t>
            </w:r>
          </w:p>
        </w:tc>
      </w:tr>
      <w:tr>
        <w:trPr>
          <w:trHeight w:val="167"/>
        </w:trPr>
        <w:tc>
          <w:tcPr>
            <w:tcW w:w="39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Izilda Martins</w:t>
            </w:r>
          </w:p>
        </w:tc>
      </w:tr>
      <w:tr>
        <w:trPr>
          <w:trHeight w:val="180"/>
        </w:trPr>
        <w:tc>
          <w:tcPr>
            <w:tcW w:w="39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 and Treasurer</w:t>
            </w:r>
          </w:p>
        </w:tc>
      </w:tr>
      <w:tr>
        <w:trPr>
          <w:trHeight w:val="184"/>
        </w:trPr>
        <w:tc>
          <w:tcPr>
            <w:tcW w:w="39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Financial Officer)</w:t>
            </w:r>
          </w:p>
        </w:tc>
      </w:tr>
    </w:tbl>
    <w:p>
      <w:pPr>
        <w:sectPr>
          <w:pgSz w:w="11900" w:h="16838" w:orient="portrait"/>
          <w:cols w:equalWidth="0" w:num="1">
            <w:col w:w="11260"/>
          </w:cols>
          <w:pgMar w:left="320" w:top="1175" w:right="31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96" w:lineRule="exact"/>
        <w:rPr>
          <w:sz w:val="20"/>
          <w:szCs w:val="20"/>
          <w:color w:val="auto"/>
        </w:rPr>
      </w:pPr>
    </w:p>
    <w:p>
      <w:pPr>
        <w:ind w:right="140"/>
        <w:spacing w:after="0" w:line="293" w:lineRule="auto"/>
        <w:rPr>
          <w:sz w:val="20"/>
          <w:szCs w:val="20"/>
          <w:color w:val="auto"/>
        </w:rPr>
      </w:pPr>
      <w:r>
        <w:rPr>
          <w:rFonts w:ascii="Times New Roman" w:cs="Times New Roman" w:eastAsia="Times New Roman" w:hAnsi="Times New Roman"/>
          <w:sz w:val="14"/>
          <w:szCs w:val="14"/>
          <w:color w:val="auto"/>
        </w:rPr>
        <w:t>In connection with the Quarterly Report on Form 10-Q of Symbotic Inc. (the “Company”) for the fiscal quarter ended December 27, 2025, as filed with the Securities and Exchange Commission on the date hereof (the “Report”), I, Richard B. Cohen, Chairman and Chief Executive Officer of the Company, certify, pursuant to 18 U.S.C. Section 1350, as adopted pursuant to Section 906 of the Sarbanes-Oxley Act of 2002, that, to my knowledge: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Report fully complies with the requirements of Section 13(a) or 15(d) of the Securities Exchange Act of 1934; and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4, 2026</w:t>
            </w:r>
          </w:p>
        </w:tc>
        <w:tc>
          <w:tcPr>
            <w:tcW w:w="7060" w:type="dxa"/>
            <w:vAlign w:val="bottom"/>
            <w:gridSpan w:val="2"/>
          </w:tcPr>
          <w:p>
            <w:pPr>
              <w:ind w:left="2880"/>
              <w:spacing w:after="0"/>
              <w:rPr>
                <w:sz w:val="20"/>
                <w:szCs w:val="20"/>
                <w:color w:val="auto"/>
              </w:rPr>
            </w:pPr>
            <w:r>
              <w:rPr>
                <w:rFonts w:ascii="Times New Roman" w:cs="Times New Roman" w:eastAsia="Times New Roman" w:hAnsi="Times New Roman"/>
                <w:sz w:val="14"/>
                <w:szCs w:val="14"/>
                <w:color w:val="auto"/>
              </w:rPr>
              <w:t>By: /s/ Richard B. Cohen</w:t>
            </w:r>
          </w:p>
        </w:tc>
      </w:tr>
      <w:tr>
        <w:trPr>
          <w:trHeight w:val="167"/>
        </w:trPr>
        <w:tc>
          <w:tcPr>
            <w:tcW w:w="42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Richard B. Cohen</w:t>
            </w:r>
          </w:p>
        </w:tc>
      </w:tr>
      <w:tr>
        <w:trPr>
          <w:trHeight w:val="180"/>
        </w:trPr>
        <w:tc>
          <w:tcPr>
            <w:tcW w:w="42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Chairman and Chief Executive Officer</w:t>
            </w:r>
          </w:p>
        </w:tc>
      </w:tr>
      <w:tr>
        <w:trPr>
          <w:trHeight w:val="184"/>
        </w:trPr>
        <w:tc>
          <w:tcPr>
            <w:tcW w:w="42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80"/>
          </w:cols>
          <w:pgMar w:left="300" w:top="1141" w:right="31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FINANCIAL OFFICER PURSUANT TO</w:t>
      </w:r>
    </w:p>
    <w:p>
      <w:pPr>
        <w:spacing w:after="0" w:line="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96" w:lineRule="exact"/>
        <w:rPr>
          <w:sz w:val="20"/>
          <w:szCs w:val="20"/>
          <w:color w:val="auto"/>
        </w:rPr>
      </w:pPr>
    </w:p>
    <w:p>
      <w:pPr>
        <w:ind w:right="140"/>
        <w:spacing w:after="0" w:line="293" w:lineRule="auto"/>
        <w:rPr>
          <w:sz w:val="20"/>
          <w:szCs w:val="20"/>
          <w:color w:val="auto"/>
        </w:rPr>
      </w:pPr>
      <w:r>
        <w:rPr>
          <w:rFonts w:ascii="Times New Roman" w:cs="Times New Roman" w:eastAsia="Times New Roman" w:hAnsi="Times New Roman"/>
          <w:sz w:val="14"/>
          <w:szCs w:val="14"/>
          <w:color w:val="auto"/>
        </w:rPr>
        <w:t>In connection with the Quarterly Report on Form 10-Q of Symbotic Inc. (the “Company”) for the fiscal quarter ended December 27, 2025, as filed with the Securities and Exchange Commission on the date hereof (the “Report”), I, Izilda Martins, Chief Financial Officer and Treasurer of the Company, certify, pursuant to 18 U.S.C. Section 1350, as adopted pursuant to Section 906 of the Sarbanes-Oxley Act of 2002, that, to my knowledge: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Report fully complies with the requirements of Section 13(a) or 15(d) of the Securities Exchange Act of 1934; and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4, 2026</w:t>
            </w:r>
          </w:p>
        </w:tc>
        <w:tc>
          <w:tcPr>
            <w:tcW w:w="7320" w:type="dxa"/>
            <w:vAlign w:val="bottom"/>
            <w:gridSpan w:val="2"/>
          </w:tcPr>
          <w:p>
            <w:pPr>
              <w:ind w:left="2640"/>
              <w:spacing w:after="0"/>
              <w:rPr>
                <w:sz w:val="20"/>
                <w:szCs w:val="20"/>
                <w:color w:val="auto"/>
              </w:rPr>
            </w:pPr>
            <w:r>
              <w:rPr>
                <w:rFonts w:ascii="Times New Roman" w:cs="Times New Roman" w:eastAsia="Times New Roman" w:hAnsi="Times New Roman"/>
                <w:sz w:val="14"/>
                <w:szCs w:val="14"/>
                <w:color w:val="auto"/>
              </w:rPr>
              <w:t>By: /s/ Izilda Martins</w:t>
            </w:r>
          </w:p>
        </w:tc>
      </w:tr>
      <w:tr>
        <w:trPr>
          <w:trHeight w:val="167"/>
        </w:trPr>
        <w:tc>
          <w:tcPr>
            <w:tcW w:w="39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Izilda Martins</w:t>
            </w:r>
          </w:p>
        </w:tc>
      </w:tr>
      <w:tr>
        <w:trPr>
          <w:trHeight w:val="180"/>
        </w:trPr>
        <w:tc>
          <w:tcPr>
            <w:tcW w:w="39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 and Treasurer</w:t>
            </w:r>
          </w:p>
        </w:tc>
      </w:tr>
      <w:tr>
        <w:trPr>
          <w:trHeight w:val="184"/>
        </w:trPr>
        <w:tc>
          <w:tcPr>
            <w:tcW w:w="39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Financial Officer)</w:t>
            </w: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280"/>
      </w:cols>
      <w:pgMar w:left="300" w:top="114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04"/>
    </w:lvl>
  </w:abstractNum>
  <w:abstractNum w:abstractNumId="12">
    <w:nsid w:val="1BEFD79F"/>
    <w:multiLevelType w:val="hybridMultilevel"/>
    <w:lvl w:ilvl="0">
      <w:lvlJc w:val="left"/>
      <w:lvlText w:val="#"/>
      <w:numFmt w:val="bullet"/>
      <w:start w:val="1"/>
    </w:lvl>
    <w:lvl w:ilvl="1">
      <w:lvlJc w:val="left"/>
      <w:lvlText w:val="++"/>
      <w:numFmt w:val="bullet"/>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77" Type="http://schemas.openxmlformats.org/officeDocument/2006/relationships/hyperlink" Target="https://www.sec.gov/Archives/edgar/data/1837240/000119312522172211/d369444dex31.htm" TargetMode="External"/><Relationship Id="rId78" Type="http://schemas.openxmlformats.org/officeDocument/2006/relationships/hyperlink" Target="https://www.sec.gov/Archives/edgar/data/1837240/000119312522172211/d369444dex32.htm" TargetMode="External"/><Relationship Id="rId79" Type="http://schemas.openxmlformats.org/officeDocument/2006/relationships/hyperlink" Target="https://www.sec.gov/Archives/edgar/data/1837240/000119312522172211/d369444dex41.htm" TargetMode="External"/><Relationship Id="rId80" Type="http://schemas.openxmlformats.org/officeDocument/2006/relationships/hyperlink" Target="https://www.sec.gov/Archives/edgar/data/1837240/000119312523191837/d518855dex41.htm" TargetMode="External"/><Relationship Id="rId81" Type="http://schemas.openxmlformats.org/officeDocument/2006/relationships/hyperlink" Target="https://www.sec.gov/Archives/edgar/data/1837240/000183724022000049/exhibit42-descriptionofsec.htm" TargetMode="External"/><Relationship Id="rId82" Type="http://schemas.openxmlformats.org/officeDocument/2006/relationships/hyperlink" Target="https://www.sec.gov/Archives/edgar/data/1837240/000119312523191872/d538793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2026-02-04T15:25:39Z</dcterms:created>
  <dcterms:modified xsi:type="dcterms:W3CDTF">2026-02-04T15:25:39Z</dcterms:modified>
</cp:coreProperties>
</file>