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60" w:after="283"/>
        <w:ind w:left="0" w:right="0" w:firstLine="360"/>
        <w:jc w:val="left"/>
        <w:rPr/>
      </w:pPr>
      <w:r>
        <w:rPr/>
      </w:r>
    </w:p>
    <w:p>
      <w:pPr>
        <w:pStyle w:val="TextBody"/>
        <w:bidi w:val="0"/>
        <w:spacing w:before="0" w:after="12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60" w:after="60"/>
        <w:jc w:val="center"/>
        <w:rPr/>
      </w:pPr>
      <w:r>
        <w:rPr/>
      </w:r>
    </w:p>
    <w:tbl>
      <w:tblPr>
        <w:tblW w:w="2130" w:type="dxa"/>
        <w:jc w:val="center"/>
        <w:tblInd w:w="0" w:type="dxa"/>
        <w:tblLayout w:type="fixed"/>
        <w:tblCellMar>
          <w:top w:w="28" w:type="dxa"/>
          <w:left w:w="28" w:type="dxa"/>
          <w:bottom w:w="28" w:type="dxa"/>
          <w:right w:w="28" w:type="dxa"/>
        </w:tblCellMar>
      </w:tblPr>
      <w:tblGrid>
        <w:gridCol w:w="681"/>
        <w:gridCol w:w="599"/>
        <w:gridCol w:w="850"/>
      </w:tblGrid>
      <w:tr>
        <w:trPr/>
        <w:tc>
          <w:tcPr>
            <w:tcW w:w="6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36"/>
              </w:rPr>
            </w:pPr>
            <w:r>
              <w:rPr>
                <w:rFonts w:ascii="Times New Roman;serif" w:hAnsi="Times New Roman;serif"/>
                <w:b/>
                <w:color w:val="000000"/>
                <w:sz w:val="36"/>
              </w:rPr>
              <w:t>FORM 10-Q</w:t>
            </w:r>
          </w:p>
        </w:tc>
      </w:tr>
    </w:tbl>
    <w:p>
      <w:pPr>
        <w:pStyle w:val="TextBody"/>
        <w:bidi w:val="0"/>
        <w:spacing w:before="60" w:after="283"/>
        <w:jc w:val="center"/>
        <w:rPr/>
      </w:pPr>
      <w:r>
        <w:rPr/>
      </w:r>
    </w:p>
    <w:p>
      <w:pPr>
        <w:pStyle w:val="TextBody"/>
        <w:bidi w:val="0"/>
        <w:spacing w:lineRule="auto" w:line="400" w:before="60" w:after="10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307" w:before="6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27, 2026 </w:t>
      </w:r>
    </w:p>
    <w:p>
      <w:pPr>
        <w:pStyle w:val="TextBody"/>
        <w:bidi w:val="0"/>
        <w:spacing w:lineRule="auto" w:line="400" w:before="60" w:after="283"/>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307" w:before="60" w:after="283"/>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 ______ to </w:t>
      </w:r>
    </w:p>
    <w:p>
      <w:pPr>
        <w:pStyle w:val="TextBody"/>
        <w:bidi w:val="0"/>
        <w:spacing w:before="60" w:after="283"/>
        <w:jc w:val="left"/>
        <w:rPr/>
      </w:pPr>
      <w:r>
        <w:rPr/>
      </w:r>
    </w:p>
    <w:p>
      <w:pPr>
        <w:pStyle w:val="TextBody"/>
        <w:bidi w:val="0"/>
        <w:spacing w:lineRule="auto" w:line="400" w:before="6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001-40175 </w:t>
      </w:r>
    </w:p>
    <w:p>
      <w:pPr>
        <w:pStyle w:val="TextBody"/>
        <w:bidi w:val="0"/>
        <w:spacing w:before="60" w:after="283"/>
        <w:jc w:val="center"/>
        <w:rPr/>
      </w:pPr>
      <w:r>
        <w:rPr/>
      </w:r>
    </w:p>
    <w:p>
      <w:pPr>
        <w:pStyle w:val="TextBody"/>
        <w:bidi w:val="0"/>
        <w:spacing w:lineRule="auto" w:line="400" w:before="60" w:after="283"/>
        <w:jc w:val="center"/>
        <w:rPr>
          <w:rFonts w:ascii="Times New Roman;serif" w:hAnsi="Times New Roman;serif"/>
          <w:b/>
          <w:color w:val="000000"/>
          <w:sz w:val="36"/>
        </w:rPr>
      </w:pPr>
      <w:r>
        <w:rPr>
          <w:rFonts w:ascii="Times New Roman;serif" w:hAnsi="Times New Roman;serif"/>
          <w:b/>
          <w:color w:val="000000"/>
          <w:sz w:val="36"/>
        </w:rPr>
        <w:t xml:space="preserve">SYMBOTIC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10205" w:type="dxa"/>
        <w:jc w:val="left"/>
        <w:tblInd w:w="0" w:type="dxa"/>
        <w:tblLayout w:type="fixed"/>
        <w:tblCellMar>
          <w:top w:w="28" w:type="dxa"/>
          <w:left w:w="28" w:type="dxa"/>
          <w:bottom w:w="28" w:type="dxa"/>
          <w:right w:w="28" w:type="dxa"/>
        </w:tblCellMar>
      </w:tblPr>
      <w:tblGrid>
        <w:gridCol w:w="1027"/>
        <w:gridCol w:w="903"/>
        <w:gridCol w:w="912"/>
        <w:gridCol w:w="832"/>
        <w:gridCol w:w="832"/>
        <w:gridCol w:w="832"/>
        <w:gridCol w:w="832"/>
        <w:gridCol w:w="832"/>
        <w:gridCol w:w="848"/>
        <w:gridCol w:w="666"/>
        <w:gridCol w:w="666"/>
        <w:gridCol w:w="645"/>
        <w:gridCol w:w="109"/>
        <w:gridCol w:w="109"/>
        <w:gridCol w:w="160"/>
      </w:tblGrid>
      <w:tr>
        <w:trPr/>
        <w:tc>
          <w:tcPr>
            <w:tcW w:w="102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4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2"/>
              </w:rPr>
            </w:pPr>
            <w:r>
              <w:rPr>
                <w:rFonts w:ascii="Times New Roman;serif" w:hAnsi="Times New Roman;serif"/>
                <w:b/>
                <w:color w:val="000000"/>
                <w:sz w:val="22"/>
              </w:rPr>
              <w:t>Delaware</w:t>
            </w:r>
          </w:p>
        </w:tc>
        <w:tc>
          <w:tcPr>
            <w:tcW w:w="50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2"/>
              </w:rPr>
            </w:pPr>
            <w:r>
              <w:rPr>
                <w:rFonts w:ascii="Times New Roman;serif" w:hAnsi="Times New Roman;serif"/>
                <w:b/>
                <w:color w:val="000000"/>
                <w:sz w:val="22"/>
              </w:rPr>
              <w:t>98-1572401</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50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8" w:type="dxa"/>
            <w:gridSpan w:val="6"/>
            <w:vMerge w:val="restart"/>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2"/>
              </w:rPr>
            </w:pPr>
            <w:r>
              <w:rPr>
                <w:rFonts w:ascii="Times New Roman;serif" w:hAnsi="Times New Roman;serif"/>
                <w:b/>
                <w:color w:val="000000"/>
                <w:sz w:val="22"/>
              </w:rPr>
              <w:t>200 Research Drive</w:t>
            </w:r>
          </w:p>
          <w:p>
            <w:pPr>
              <w:pStyle w:val="TableContents"/>
              <w:bidi w:val="0"/>
              <w:spacing w:lineRule="auto" w:line="300" w:before="0" w:after="2"/>
              <w:jc w:val="center"/>
              <w:rPr>
                <w:rFonts w:ascii="Times New Roman;serif" w:hAnsi="Times New Roman;serif"/>
                <w:b/>
                <w:color w:val="000000"/>
                <w:sz w:val="22"/>
              </w:rPr>
            </w:pPr>
            <w:r>
              <w:rPr>
                <w:rFonts w:ascii="Times New Roman;serif" w:hAnsi="Times New Roman;serif"/>
                <w:b/>
                <w:color w:val="000000"/>
                <w:sz w:val="22"/>
              </w:rPr>
              <w:t xml:space="preserve">Wilmington, MA 01887 </w:t>
            </w:r>
          </w:p>
          <w:p>
            <w:pPr>
              <w:pStyle w:val="TableContents"/>
              <w:bidi w:val="0"/>
              <w:spacing w:lineRule="auto" w:line="300" w:before="0" w:after="2"/>
              <w:jc w:val="center"/>
              <w:rPr>
                <w:rFonts w:ascii="Times New Roman;serif" w:hAnsi="Times New Roman;serif"/>
                <w:b/>
                <w:color w:val="000000"/>
                <w:sz w:val="22"/>
              </w:rPr>
            </w:pPr>
            <w:r>
              <w:rPr>
                <w:rFonts w:ascii="Times New Roman;serif" w:hAnsi="Times New Roman;serif"/>
                <w:b/>
                <w:color w:val="000000"/>
                <w:sz w:val="22"/>
              </w:rPr>
              <w:t>(978) 284-2800</w:t>
            </w:r>
          </w:p>
        </w:tc>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8" w:type="dxa"/>
            <w:gridSpan w:val="6"/>
            <w:vMerge w:val="continue"/>
            <w:tcBorders/>
            <w:tcMar>
              <w:top w:w="0" w:type="dxa"/>
              <w:left w:w="0" w:type="dxa"/>
              <w:bottom w:w="0" w:type="dxa"/>
              <w:right w:w="0" w:type="dxa"/>
            </w:tcMar>
            <w:vAlign w:val="center"/>
          </w:tcPr>
          <w:p>
            <w:pPr>
              <w:pStyle w:val="Normal"/>
              <w:bidi w:val="0"/>
              <w:jc w:val="left"/>
              <w:rPr/>
            </w:pPr>
            <w:r>
              <w:rPr/>
            </w:r>
          </w:p>
        </w:tc>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8"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(Address, Including Zip Code, and Telephone Number, Including Area Code, of Registrant’s Principal Executive Offices)</w:t>
            </w:r>
          </w:p>
        </w:tc>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p>
      <w:pPr>
        <w:pStyle w:val="TextBody"/>
        <w:bidi w:val="0"/>
        <w:spacing w:before="60" w:after="283"/>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13360"/>
                <wp:effectExtent l="0" t="0" r="0" b="0"/>
                <wp:wrapNone/>
                <wp:docPr id="1" name="Frame1"/>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ind w:left="0" w:right="0" w:firstLine="3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ind w:left="0" w:right="0" w:firstLine="360"/>
                        <w:jc w:val="center"/>
                        <w:rPr/>
                      </w:pPr>
                      <w:r>
                        <w:rPr/>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543"/>
        <w:gridCol w:w="1349"/>
        <w:gridCol w:w="1365"/>
        <w:gridCol w:w="109"/>
        <w:gridCol w:w="109"/>
        <w:gridCol w:w="109"/>
        <w:gridCol w:w="536"/>
        <w:gridCol w:w="536"/>
        <w:gridCol w:w="538"/>
        <w:gridCol w:w="109"/>
        <w:gridCol w:w="109"/>
        <w:gridCol w:w="109"/>
        <w:gridCol w:w="1077"/>
        <w:gridCol w:w="1077"/>
        <w:gridCol w:w="1530"/>
      </w:tblGrid>
      <w:tr>
        <w:trPr/>
        <w:tc>
          <w:tcPr>
            <w:tcW w:w="1543"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r>
      <w:tr>
        <w:trPr/>
        <w:tc>
          <w:tcPr>
            <w:tcW w:w="4257"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SYM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60" w:after="283"/>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r>
        <w:rPr>
          <w:color w:val="000000"/>
        </w:rPr>
        <w:t> </w:t>
      </w:r>
    </w:p>
    <w:p>
      <w:pPr>
        <w:pStyle w:val="TextBody"/>
        <w:bidi w:val="0"/>
        <w:spacing w:before="60" w:after="283"/>
        <w:jc w:val="left"/>
        <w:rPr/>
      </w:pPr>
      <w:r>
        <w:rPr/>
      </w:r>
    </w:p>
    <w:p>
      <w:pPr>
        <w:pStyle w:val="TextBody"/>
        <w:bidi w:val="0"/>
        <w:spacing w:lineRule="auto" w:line="288" w:before="60" w:after="283"/>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r>
        <w:rPr>
          <w:color w:val="000000"/>
        </w:rPr>
        <w:t> </w:t>
      </w:r>
    </w:p>
    <w:p>
      <w:pPr>
        <w:pStyle w:val="TextBody"/>
        <w:bidi w:val="0"/>
        <w:spacing w:before="60" w:after="283"/>
        <w:jc w:val="both"/>
        <w:rPr/>
      </w:pPr>
      <w:r>
        <w:rPr/>
      </w:r>
    </w:p>
    <w:p>
      <w:pPr>
        <w:pStyle w:val="TextBody"/>
        <w:bidi w:val="0"/>
        <w:spacing w:lineRule="auto" w:line="288" w:before="60" w:after="10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5626" w:type="dxa"/>
        <w:jc w:val="left"/>
        <w:tblInd w:w="0" w:type="dxa"/>
        <w:tblLayout w:type="fixed"/>
        <w:tblCellMar>
          <w:top w:w="28" w:type="dxa"/>
          <w:left w:w="28" w:type="dxa"/>
          <w:bottom w:w="28" w:type="dxa"/>
          <w:right w:w="28" w:type="dxa"/>
        </w:tblCellMar>
      </w:tblPr>
      <w:tblGrid>
        <w:gridCol w:w="695"/>
        <w:gridCol w:w="611"/>
        <w:gridCol w:w="613"/>
        <w:gridCol w:w="225"/>
        <w:gridCol w:w="225"/>
        <w:gridCol w:w="226"/>
        <w:gridCol w:w="769"/>
        <w:gridCol w:w="769"/>
        <w:gridCol w:w="772"/>
        <w:gridCol w:w="211"/>
        <w:gridCol w:w="211"/>
        <w:gridCol w:w="299"/>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676" w:type="dxa"/>
            <w:gridSpan w:val="3"/>
            <w:tcBorders/>
            <w:tcMar>
              <w:top w:w="0" w:type="dxa"/>
              <w:left w:w="0" w:type="dxa"/>
              <w:bottom w:w="0" w:type="dxa"/>
              <w:right w:w="0" w:type="dxa"/>
            </w:tcMar>
            <w:vAlign w:val="center"/>
          </w:tcPr>
          <w:p>
            <w:pPr>
              <w:pStyle w:val="TableContents"/>
              <w:bidi w:val="0"/>
              <w:spacing w:lineRule="auto" w:line="240" w:before="53" w:after="30"/>
              <w:ind w:left="0" w:right="0" w:firstLine="360"/>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721" w:type="dxa"/>
            <w:gridSpan w:val="3"/>
            <w:tcBorders/>
            <w:tcMar>
              <w:top w:w="0" w:type="dxa"/>
              <w:left w:w="0" w:type="dxa"/>
              <w:bottom w:w="0" w:type="dxa"/>
              <w:right w:w="0" w:type="dxa"/>
            </w:tcMar>
            <w:vAlign w:val="center"/>
          </w:tcPr>
          <w:p>
            <w:pPr>
              <w:pStyle w:val="TableContents"/>
              <w:bidi w:val="0"/>
              <w:spacing w:lineRule="auto" w:line="240" w:before="53" w:after="30"/>
              <w:ind w:left="0" w:right="0" w:firstLine="360"/>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676" w:type="dxa"/>
            <w:gridSpan w:val="3"/>
            <w:tcBorders/>
            <w:tcMar>
              <w:top w:w="0" w:type="dxa"/>
              <w:left w:w="0" w:type="dxa"/>
              <w:bottom w:w="0" w:type="dxa"/>
              <w:right w:w="0" w:type="dxa"/>
            </w:tcMar>
            <w:vAlign w:val="center"/>
          </w:tcPr>
          <w:p>
            <w:pPr>
              <w:pStyle w:val="TableContents"/>
              <w:bidi w:val="0"/>
              <w:spacing w:lineRule="auto" w:line="240" w:before="53" w:after="30"/>
              <w:ind w:left="0" w:right="0" w:firstLine="360"/>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721" w:type="dxa"/>
            <w:gridSpan w:val="3"/>
            <w:tcBorders/>
            <w:tcMar>
              <w:top w:w="0" w:type="dxa"/>
              <w:left w:w="0" w:type="dxa"/>
              <w:bottom w:w="0" w:type="dxa"/>
              <w:right w:w="0" w:type="dxa"/>
            </w:tcMar>
            <w:vAlign w:val="center"/>
          </w:tcPr>
          <w:p>
            <w:pPr>
              <w:pStyle w:val="TableContents"/>
              <w:bidi w:val="0"/>
              <w:spacing w:lineRule="auto" w:line="240" w:before="53" w:after="30"/>
              <w:ind w:left="0" w:right="0" w:firstLine="360"/>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721" w:type="dxa"/>
            <w:gridSpan w:val="3"/>
            <w:tcBorders/>
            <w:tcMar>
              <w:top w:w="0" w:type="dxa"/>
              <w:left w:w="0" w:type="dxa"/>
              <w:bottom w:w="0" w:type="dxa"/>
              <w:right w:w="0" w:type="dxa"/>
            </w:tcMar>
            <w:vAlign w:val="center"/>
          </w:tcPr>
          <w:p>
            <w:pPr>
              <w:pStyle w:val="TableContents"/>
              <w:bidi w:val="0"/>
              <w:spacing w:lineRule="auto" w:line="240" w:before="53" w:after="30"/>
              <w:ind w:left="0" w:right="0" w:firstLine="360"/>
              <w:jc w:val="center"/>
              <w:rPr>
                <w:color w:val="000000"/>
              </w:rPr>
            </w:pPr>
            <w:r>
              <w:rPr>
                <w:color w:val="000000"/>
              </w:rPr>
              <w:t>☐</w:t>
            </w:r>
          </w:p>
        </w:tc>
      </w:tr>
    </w:tbl>
    <w:p>
      <w:pPr>
        <w:pStyle w:val="TextBody"/>
        <w:bidi w:val="0"/>
        <w:spacing w:lineRule="auto" w:line="400" w:before="60" w:after="283"/>
        <w:jc w:val="center"/>
        <w:rPr>
          <w:color w:val="000000"/>
        </w:rPr>
      </w:pPr>
      <w:r>
        <w:rPr>
          <w:color w:val="000000"/>
        </w:rPr>
        <w:t>                </w:t>
      </w:r>
    </w:p>
    <w:p>
      <w:pPr>
        <w:pStyle w:val="TextBody"/>
        <w:bidi w:val="0"/>
        <w:spacing w:lineRule="auto" w:line="288" w:before="6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before="60" w:after="283"/>
        <w:jc w:val="left"/>
        <w:rPr/>
      </w:pPr>
      <w:r>
        <w:rPr/>
      </w:r>
    </w:p>
    <w:p>
      <w:pPr>
        <w:pStyle w:val="TextBody"/>
        <w:bidi w:val="0"/>
        <w:spacing w:lineRule="auto" w:line="307" w:before="60" w:after="283"/>
        <w:jc w:val="left"/>
        <w:rPr/>
      </w:pPr>
      <w:r>
        <w:rPr>
          <w:rFonts w:ascii="Times New Roman;serif" w:hAnsi="Times New Roman;serif"/>
          <w:b w:val="false"/>
          <w:color w:val="000000"/>
          <w:sz w:val="20"/>
        </w:rPr>
        <w:t>Indicate by check mark whether the registrant is a shell company (as defined in Rule 12b-2 of the Exchange Act). Yes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No  </w:t>
      </w:r>
      <w:r>
        <w:rPr>
          <w:color w:val="000000"/>
        </w:rPr>
        <w:t>☒</w:t>
      </w:r>
    </w:p>
    <w:p>
      <w:pPr>
        <w:pStyle w:val="TextBody"/>
        <w:bidi w:val="0"/>
        <w:spacing w:before="60" w:after="283"/>
        <w:jc w:val="left"/>
        <w:rPr/>
      </w:pPr>
      <w:r>
        <w:rPr/>
      </w:r>
    </w:p>
    <w:p>
      <w:pPr>
        <w:pStyle w:val="TextBody"/>
        <w:bidi w:val="0"/>
        <w:spacing w:lineRule="auto" w:line="400" w:before="60" w:after="283"/>
        <w:jc w:val="left"/>
        <w:rPr>
          <w:rFonts w:ascii="Times New Roman;serif" w:hAnsi="Times New Roman;serif"/>
          <w:b w:val="false"/>
          <w:color w:val="000000"/>
          <w:sz w:val="20"/>
        </w:rPr>
      </w:pPr>
      <w:r>
        <w:rPr>
          <w:rFonts w:ascii="Times New Roman;serif" w:hAnsi="Times New Roman;serif"/>
          <w:b w:val="false"/>
          <w:color w:val="000000"/>
          <w:sz w:val="20"/>
        </w:rPr>
        <w:t>As of August 3, 2026, the following shares of common stock were outstanding:</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129,873,381 shares of Class A common stock, par value $0.0001 per share</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71,369,131 shares of Class V-1 common stock, par value $0.0001 per share</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403,559,196 shares of Class V-3 common stock, par value $0.0001 per share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13360"/>
                <wp:effectExtent l="0" t="0" r="0" b="0"/>
                <wp:wrapNone/>
                <wp:docPr id="2" name="Frame2"/>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ind w:left="0" w:right="0" w:firstLine="3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ind w:left="0" w:right="0" w:firstLine="360"/>
                        <w:jc w:val="center"/>
                        <w:rPr/>
                      </w:pPr>
                      <w:r>
                        <w:rPr/>
                      </w:r>
                    </w:p>
                  </w:txbxContent>
                </v:textbox>
                <w10:wrap type="none"/>
              </v:rect>
            </w:pict>
          </mc:Fallback>
        </mc:AlternateContent>
      </w:r>
    </w:p>
    <w:p>
      <w:pPr>
        <w:pStyle w:val="TextBody"/>
        <w:bidi w:val="0"/>
        <w:spacing w:before="60" w:after="283"/>
        <w:ind w:left="0" w:right="0" w:firstLine="360"/>
        <w:jc w:val="left"/>
        <w:rPr/>
      </w:pPr>
      <w:r>
        <w:rPr/>
      </w:r>
    </w:p>
    <w:tbl>
      <w:tblPr>
        <w:tblW w:w="10205" w:type="dxa"/>
        <w:jc w:val="center"/>
        <w:tblInd w:w="0" w:type="dxa"/>
        <w:tblLayout w:type="fixed"/>
        <w:tblCellMar>
          <w:top w:w="28" w:type="dxa"/>
          <w:left w:w="28" w:type="dxa"/>
          <w:bottom w:w="28" w:type="dxa"/>
          <w:right w:w="28" w:type="dxa"/>
        </w:tblCellMar>
      </w:tblPr>
      <w:tblGrid>
        <w:gridCol w:w="238"/>
        <w:gridCol w:w="209"/>
        <w:gridCol w:w="209"/>
        <w:gridCol w:w="2997"/>
        <w:gridCol w:w="2987"/>
        <w:gridCol w:w="2991"/>
        <w:gridCol w:w="167"/>
        <w:gridCol w:w="167"/>
        <w:gridCol w:w="240"/>
      </w:tblGrid>
      <w:tr>
        <w:trPr/>
        <w:tc>
          <w:tcPr>
            <w:tcW w:w="2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997" w:type="dxa"/>
            <w:tcBorders/>
            <w:vAlign w:val="center"/>
          </w:tcPr>
          <w:p>
            <w:pPr>
              <w:pStyle w:val="TableContents"/>
              <w:bidi w:val="0"/>
              <w:spacing w:before="0" w:after="283"/>
              <w:jc w:val="left"/>
              <w:rPr>
                <w:sz w:val="4"/>
                <w:szCs w:val="4"/>
              </w:rPr>
            </w:pPr>
            <w:r>
              <w:rPr>
                <w:sz w:val="4"/>
                <w:szCs w:val="4"/>
              </w:rPr>
            </w:r>
          </w:p>
        </w:tc>
        <w:tc>
          <w:tcPr>
            <w:tcW w:w="2987" w:type="dxa"/>
            <w:tcBorders/>
            <w:vAlign w:val="center"/>
          </w:tcPr>
          <w:p>
            <w:pPr>
              <w:pStyle w:val="TableContents"/>
              <w:bidi w:val="0"/>
              <w:spacing w:before="0" w:after="283"/>
              <w:jc w:val="left"/>
              <w:rPr>
                <w:sz w:val="4"/>
                <w:szCs w:val="4"/>
              </w:rPr>
            </w:pPr>
            <w:r>
              <w:rPr>
                <w:sz w:val="4"/>
                <w:szCs w:val="4"/>
              </w:rPr>
            </w:r>
          </w:p>
        </w:tc>
        <w:tc>
          <w:tcPr>
            <w:tcW w:w="299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TABLE OF CONTENTS</w:t>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pPr>
            <w:hyperlink w:anchor="iecbadb85086145d3932d30df12e097f6_10">
              <w:r>
                <w:rPr>
                  <w:rStyle w:val="InternetLink"/>
                  <w:rFonts w:ascii="Times New Roman;serif" w:hAnsi="Times New Roman;serif"/>
                  <w:b/>
                  <w:color w:val="0E32E1"/>
                  <w:sz w:val="20"/>
                  <w:u w:val="single"/>
                </w:rPr>
                <w:t>Part I - Financial Information</w:t>
              </w:r>
            </w:hyperlink>
          </w:p>
        </w:tc>
        <w:tc>
          <w:tcPr>
            <w:tcW w:w="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6"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Item 1. </w:t>
            </w:r>
          </w:p>
        </w:tc>
        <w:tc>
          <w:tcPr>
            <w:tcW w:w="897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ecbadb85086145d3932d30df12e097f6_13">
              <w:r>
                <w:rPr>
                  <w:rStyle w:val="InternetLink"/>
                  <w:rFonts w:ascii="Times New Roman;serif" w:hAnsi="Times New Roman;serif"/>
                  <w:b w:val="false"/>
                  <w:color w:val="0000FF"/>
                  <w:sz w:val="20"/>
                  <w:u w:val="single"/>
                </w:rPr>
                <w:t>Financial Statements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pPr>
            <w:hyperlink w:anchor="iecbadb85086145d3932d30df12e097f6_13">
              <w:r>
                <w:rPr>
                  <w:rStyle w:val="InternetLink"/>
                  <w:rFonts w:ascii="Times New Roman;serif" w:hAnsi="Times New Roman;serif"/>
                  <w:b w:val="false"/>
                  <w:strike w:val="false"/>
                  <w:dstrike w:val="false"/>
                  <w:color w:val="000000"/>
                  <w:sz w:val="20"/>
                  <w:u w:val="none"/>
                  <w:effect w:val="none"/>
                </w:rPr>
                <w:t>1</w:t>
              </w:r>
            </w:hyperlink>
          </w:p>
        </w:tc>
      </w:tr>
      <w:tr>
        <w:trPr/>
        <w:tc>
          <w:tcPr>
            <w:tcW w:w="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ecbadb85086145d3932d30df12e097f6_13">
              <w:r>
                <w:rPr>
                  <w:rStyle w:val="InternetLink"/>
                  <w:rFonts w:ascii="Times New Roman;serif" w:hAnsi="Times New Roman;serif"/>
                  <w:b w:val="false"/>
                  <w:color w:val="0000FF"/>
                  <w:sz w:val="20"/>
                  <w:u w:val="single"/>
                </w:rPr>
                <w:t>Unaudited Condensed Consolidated Financial Statements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pPr>
            <w:hyperlink w:anchor="iecbadb85086145d3932d30df12e097f6_13">
              <w:r>
                <w:rPr>
                  <w:rStyle w:val="InternetLink"/>
                  <w:rFonts w:ascii="Times New Roman;serif" w:hAnsi="Times New Roman;serif"/>
                  <w:b w:val="false"/>
                  <w:strike w:val="false"/>
                  <w:dstrike w:val="false"/>
                  <w:color w:val="000000"/>
                  <w:sz w:val="20"/>
                  <w:u w:val="none"/>
                  <w:effect w:val="none"/>
                </w:rPr>
                <w:t>1</w:t>
              </w:r>
            </w:hyperlink>
          </w:p>
        </w:tc>
      </w:tr>
      <w:tr>
        <w:trPr/>
        <w:tc>
          <w:tcPr>
            <w:tcW w:w="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ecbadb85086145d3932d30df12e097f6_16">
              <w:r>
                <w:rPr>
                  <w:rStyle w:val="InternetLink"/>
                  <w:rFonts w:ascii="Times New Roman;serif" w:hAnsi="Times New Roman;serif"/>
                  <w:b w:val="false"/>
                  <w:color w:val="000080"/>
                  <w:sz w:val="20"/>
                  <w:u w:val="single"/>
                </w:rPr>
                <w:t xml:space="preserve">Unaudited Condensed Consolidated Balance Sheets as of </w:t>
              </w:r>
            </w:hyperlink>
            <w:hyperlink w:anchor="iecbadb85086145d3932d30df12e097f6_16">
              <w:r>
                <w:rPr>
                  <w:rStyle w:val="InternetLink"/>
                  <w:rFonts w:ascii="Times New Roman;serif" w:hAnsi="Times New Roman;serif"/>
                  <w:b w:val="false"/>
                  <w:color w:val="000080"/>
                  <w:sz w:val="20"/>
                  <w:u w:val="single"/>
                </w:rPr>
                <w:t>June</w:t>
              </w:r>
            </w:hyperlink>
            <w:hyperlink w:anchor="iecbadb85086145d3932d30df12e097f6_16">
              <w:r>
                <w:rPr>
                  <w:rStyle w:val="InternetLink"/>
                  <w:rFonts w:ascii="Times New Roman;serif" w:hAnsi="Times New Roman;serif"/>
                  <w:b w:val="false"/>
                  <w:color w:val="000080"/>
                  <w:sz w:val="20"/>
                  <w:u w:val="single"/>
                </w:rPr>
                <w:t xml:space="preserve"> 2</w:t>
              </w:r>
            </w:hyperlink>
            <w:hyperlink w:anchor="iecbadb85086145d3932d30df12e097f6_16">
              <w:r>
                <w:rPr>
                  <w:rStyle w:val="InternetLink"/>
                  <w:rFonts w:ascii="Times New Roman;serif" w:hAnsi="Times New Roman;serif"/>
                  <w:b w:val="false"/>
                  <w:color w:val="000080"/>
                  <w:sz w:val="20"/>
                  <w:u w:val="single"/>
                </w:rPr>
                <w:t>7</w:t>
              </w:r>
            </w:hyperlink>
            <w:hyperlink w:anchor="iecbadb85086145d3932d30df12e097f6_16">
              <w:r>
                <w:rPr>
                  <w:rStyle w:val="InternetLink"/>
                  <w:rFonts w:ascii="Times New Roman;serif" w:hAnsi="Times New Roman;serif"/>
                  <w:b w:val="false"/>
                  <w:color w:val="000080"/>
                  <w:sz w:val="20"/>
                  <w:u w:val="single"/>
                </w:rPr>
                <w:t>, 2026</w:t>
              </w:r>
            </w:hyperlink>
            <w:hyperlink w:anchor="iecbadb85086145d3932d30df12e097f6_16">
              <w:r>
                <w:rPr>
                  <w:rStyle w:val="InternetLink"/>
                  <w:rFonts w:ascii="Times New Roman;serif" w:hAnsi="Times New Roman;serif"/>
                  <w:b w:val="false"/>
                  <w:color w:val="000080"/>
                  <w:sz w:val="20"/>
                  <w:u w:val="single"/>
                </w:rPr>
                <w:t xml:space="preserve"> and September 27, 2025</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pPr>
            <w:hyperlink w:anchor="iecbadb85086145d3932d30df12e097f6_16">
              <w:r>
                <w:rPr>
                  <w:rStyle w:val="InternetLink"/>
                  <w:rFonts w:ascii="Times New Roman;serif" w:hAnsi="Times New Roman;serif"/>
                  <w:b w:val="false"/>
                  <w:strike w:val="false"/>
                  <w:dstrike w:val="false"/>
                  <w:color w:val="000000"/>
                  <w:sz w:val="20"/>
                  <w:u w:val="none"/>
                  <w:effect w:val="none"/>
                </w:rPr>
                <w:t>1</w:t>
              </w:r>
            </w:hyperlink>
          </w:p>
        </w:tc>
      </w:tr>
      <w:tr>
        <w:trPr/>
        <w:tc>
          <w:tcPr>
            <w:tcW w:w="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iecbadb85086145d3932d30df12e097f6_19">
              <w:r>
                <w:rPr>
                  <w:rStyle w:val="InternetLink"/>
                  <w:rFonts w:ascii="Times New Roman;serif" w:hAnsi="Times New Roman;serif"/>
                  <w:b w:val="false"/>
                  <w:color w:val="000080"/>
                  <w:sz w:val="20"/>
                  <w:u w:val="single"/>
                </w:rPr>
                <w:t>Unaudited Condensed Consolidated Statements of Operations for the Three</w:t>
              </w:r>
            </w:hyperlink>
            <w:hyperlink w:anchor="iecbadb85086145d3932d30df12e097f6_19">
              <w:r>
                <w:rPr>
                  <w:rStyle w:val="InternetLink"/>
                  <w:rFonts w:ascii="Times New Roman;serif" w:hAnsi="Times New Roman;serif"/>
                  <w:b w:val="false"/>
                  <w:color w:val="000080"/>
                  <w:sz w:val="20"/>
                  <w:u w:val="single"/>
                </w:rPr>
                <w:t xml:space="preserve"> and </w:t>
              </w:r>
            </w:hyperlink>
            <w:hyperlink w:anchor="iecbadb85086145d3932d30df12e097f6_19">
              <w:r>
                <w:rPr>
                  <w:rStyle w:val="InternetLink"/>
                  <w:rFonts w:ascii="Times New Roman;serif" w:hAnsi="Times New Roman;serif"/>
                  <w:b w:val="false"/>
                  <w:color w:val="000080"/>
                  <w:sz w:val="20"/>
                  <w:u w:val="single"/>
                </w:rPr>
                <w:t>Nine</w:t>
              </w:r>
            </w:hyperlink>
            <w:hyperlink w:anchor="iecbadb85086145d3932d30df12e097f6_19">
              <w:r>
                <w:rPr>
                  <w:rStyle w:val="InternetLink"/>
                  <w:rFonts w:ascii="Times New Roman;serif" w:hAnsi="Times New Roman;serif"/>
                  <w:b w:val="false"/>
                  <w:color w:val="000080"/>
                  <w:sz w:val="20"/>
                  <w:u w:val="single"/>
                </w:rPr>
                <w:t xml:space="preserve"> Months Ended </w:t>
              </w:r>
            </w:hyperlink>
            <w:hyperlink w:anchor="iecbadb85086145d3932d30df12e097f6_19">
              <w:r>
                <w:rPr>
                  <w:rStyle w:val="InternetLink"/>
                  <w:rFonts w:ascii="Times New Roman;serif" w:hAnsi="Times New Roman;serif"/>
                  <w:b w:val="false"/>
                  <w:color w:val="000080"/>
                  <w:sz w:val="20"/>
                  <w:u w:val="single"/>
                </w:rPr>
                <w:t>June 27</w:t>
              </w:r>
            </w:hyperlink>
            <w:hyperlink w:anchor="iecbadb85086145d3932d30df12e097f6_19">
              <w:r>
                <w:rPr>
                  <w:rStyle w:val="InternetLink"/>
                  <w:rFonts w:ascii="Times New Roman;serif" w:hAnsi="Times New Roman;serif"/>
                  <w:b w:val="false"/>
                  <w:color w:val="000080"/>
                  <w:sz w:val="20"/>
                  <w:u w:val="single"/>
                </w:rPr>
                <w:t>, 2026</w:t>
              </w:r>
            </w:hyperlink>
            <w:hyperlink w:anchor="iecbadb85086145d3932d30df12e097f6_19">
              <w:r>
                <w:rPr>
                  <w:rStyle w:val="InternetLink"/>
                  <w:rFonts w:ascii="Times New Roman;serif" w:hAnsi="Times New Roman;serif"/>
                  <w:b w:val="false"/>
                  <w:color w:val="000080"/>
                  <w:sz w:val="20"/>
                  <w:u w:val="single"/>
                </w:rPr>
                <w:t xml:space="preserve"> and</w:t>
              </w:r>
            </w:hyperlink>
            <w:hyperlink w:anchor="iecbadb85086145d3932d30df12e097f6_19">
              <w:r>
                <w:rPr>
                  <w:rStyle w:val="InternetLink"/>
                  <w:rFonts w:ascii="Times New Roman;serif" w:hAnsi="Times New Roman;serif"/>
                  <w:b w:val="false"/>
                  <w:color w:val="000080"/>
                  <w:sz w:val="20"/>
                  <w:u w:val="single"/>
                </w:rPr>
                <w:t xml:space="preserve"> </w:t>
              </w:r>
            </w:hyperlink>
            <w:hyperlink w:anchor="iecbadb85086145d3932d30df12e097f6_19">
              <w:r>
                <w:rPr>
                  <w:rStyle w:val="InternetLink"/>
                  <w:rFonts w:ascii="Times New Roman;serif" w:hAnsi="Times New Roman;serif"/>
                  <w:b w:val="false"/>
                  <w:color w:val="000080"/>
                  <w:sz w:val="20"/>
                  <w:u w:val="single"/>
                </w:rPr>
                <w:t>June 28</w:t>
              </w:r>
            </w:hyperlink>
            <w:hyperlink w:anchor="iecbadb85086145d3932d30df12e097f6_19">
              <w:r>
                <w:rPr>
                  <w:rStyle w:val="InternetLink"/>
                  <w:rFonts w:ascii="Times New Roman;serif" w:hAnsi="Times New Roman;serif"/>
                  <w:b w:val="false"/>
                  <w:color w:val="000080"/>
                  <w:sz w:val="20"/>
                  <w:u w:val="single"/>
                </w:rPr>
                <w:t>, 2025</w:t>
              </w:r>
            </w:hyperlink>
            <w:hyperlink w:anchor="iecbadb85086145d3932d30df12e097f6_19">
              <w:r>
                <w:rPr>
                  <w:rStyle w:val="InternetLink"/>
                  <w:rFonts w:ascii="Times New Roman;serif" w:hAnsi="Times New Roman;serif"/>
                  <w:b w:val="false"/>
                  <w:color w:val="000080"/>
                  <w:sz w:val="20"/>
                  <w:u w:val="single"/>
                </w:rPr>
                <w:t xml:space="preserve"> </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pPr>
            <w:hyperlink w:anchor="iecbadb85086145d3932d30df12e097f6_19">
              <w:r>
                <w:rPr>
                  <w:rStyle w:val="InternetLink"/>
                  <w:rFonts w:ascii="Times New Roman;serif" w:hAnsi="Times New Roman;serif"/>
                  <w:b w:val="false"/>
                  <w:strike w:val="false"/>
                  <w:dstrike w:val="false"/>
                  <w:color w:val="000000"/>
                  <w:sz w:val="20"/>
                  <w:u w:val="none"/>
                  <w:effect w:val="none"/>
                </w:rPr>
                <w:t>3</w:t>
              </w:r>
            </w:hyperlink>
          </w:p>
        </w:tc>
      </w:tr>
      <w:tr>
        <w:trPr/>
        <w:tc>
          <w:tcPr>
            <w:tcW w:w="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ecbadb85086145d3932d30df12e097f6_22">
              <w:r>
                <w:rPr>
                  <w:rStyle w:val="InternetLink"/>
                  <w:rFonts w:ascii="Times New Roman;serif" w:hAnsi="Times New Roman;serif"/>
                  <w:b w:val="false"/>
                  <w:color w:val="000080"/>
                  <w:sz w:val="20"/>
                  <w:u w:val="single"/>
                </w:rPr>
                <w:t>Unaudited Condensed Consolidated Statements of Comprehensive Income (Loss) for the Three</w:t>
              </w:r>
            </w:hyperlink>
            <w:hyperlink w:anchor="iecbadb85086145d3932d30df12e097f6_22">
              <w:r>
                <w:rPr>
                  <w:rStyle w:val="InternetLink"/>
                  <w:rFonts w:ascii="Times New Roman;serif" w:hAnsi="Times New Roman;serif"/>
                  <w:b w:val="false"/>
                  <w:color w:val="000080"/>
                  <w:sz w:val="20"/>
                  <w:u w:val="single"/>
                </w:rPr>
                <w:t xml:space="preserve"> and </w:t>
              </w:r>
            </w:hyperlink>
            <w:hyperlink w:anchor="iecbadb85086145d3932d30df12e097f6_22">
              <w:r>
                <w:rPr>
                  <w:rStyle w:val="InternetLink"/>
                  <w:rFonts w:ascii="Times New Roman;serif" w:hAnsi="Times New Roman;serif"/>
                  <w:b w:val="false"/>
                  <w:color w:val="000080"/>
                  <w:sz w:val="20"/>
                  <w:u w:val="single"/>
                </w:rPr>
                <w:t>Nine</w:t>
              </w:r>
            </w:hyperlink>
            <w:hyperlink w:anchor="iecbadb85086145d3932d30df12e097f6_22">
              <w:r>
                <w:rPr>
                  <w:rStyle w:val="InternetLink"/>
                  <w:rFonts w:ascii="Times New Roman;serif" w:hAnsi="Times New Roman;serif"/>
                  <w:b w:val="false"/>
                  <w:color w:val="000080"/>
                  <w:sz w:val="20"/>
                  <w:u w:val="single"/>
                </w:rPr>
                <w:t xml:space="preserve"> Months Ended </w:t>
              </w:r>
            </w:hyperlink>
            <w:hyperlink w:anchor="iecbadb85086145d3932d30df12e097f6_22">
              <w:r>
                <w:rPr>
                  <w:rStyle w:val="InternetLink"/>
                  <w:rFonts w:ascii="Times New Roman;serif" w:hAnsi="Times New Roman;serif"/>
                  <w:b w:val="false"/>
                  <w:color w:val="000080"/>
                  <w:sz w:val="20"/>
                  <w:u w:val="single"/>
                </w:rPr>
                <w:t>June 27</w:t>
              </w:r>
            </w:hyperlink>
            <w:hyperlink w:anchor="iecbadb85086145d3932d30df12e097f6_22">
              <w:r>
                <w:rPr>
                  <w:rStyle w:val="InternetLink"/>
                  <w:rFonts w:ascii="Times New Roman;serif" w:hAnsi="Times New Roman;serif"/>
                  <w:b w:val="false"/>
                  <w:color w:val="000080"/>
                  <w:sz w:val="20"/>
                  <w:u w:val="single"/>
                </w:rPr>
                <w:t>, 202</w:t>
              </w:r>
            </w:hyperlink>
            <w:hyperlink w:anchor="iecbadb85086145d3932d30df12e097f6_22">
              <w:r>
                <w:rPr>
                  <w:rStyle w:val="InternetLink"/>
                  <w:rFonts w:ascii="Times New Roman;serif" w:hAnsi="Times New Roman;serif"/>
                  <w:b w:val="false"/>
                  <w:color w:val="000080"/>
                  <w:sz w:val="20"/>
                  <w:u w:val="single"/>
                </w:rPr>
                <w:t>6</w:t>
              </w:r>
            </w:hyperlink>
            <w:hyperlink w:anchor="iecbadb85086145d3932d30df12e097f6_22">
              <w:r>
                <w:rPr>
                  <w:rStyle w:val="InternetLink"/>
                  <w:rFonts w:ascii="Times New Roman;serif" w:hAnsi="Times New Roman;serif"/>
                  <w:b w:val="false"/>
                  <w:color w:val="000080"/>
                  <w:sz w:val="20"/>
                  <w:u w:val="single"/>
                </w:rPr>
                <w:t xml:space="preserve"> and</w:t>
              </w:r>
            </w:hyperlink>
            <w:hyperlink w:anchor="iecbadb85086145d3932d30df12e097f6_22">
              <w:r>
                <w:rPr>
                  <w:rStyle w:val="InternetLink"/>
                  <w:rFonts w:ascii="Times New Roman;serif" w:hAnsi="Times New Roman;serif"/>
                  <w:b w:val="false"/>
                  <w:color w:val="000080"/>
                  <w:sz w:val="20"/>
                  <w:u w:val="single"/>
                </w:rPr>
                <w:t xml:space="preserve"> June 28</w:t>
              </w:r>
            </w:hyperlink>
            <w:hyperlink w:anchor="iecbadb85086145d3932d30df12e097f6_22">
              <w:r>
                <w:rPr>
                  <w:rStyle w:val="InternetLink"/>
                  <w:rFonts w:ascii="Times New Roman;serif" w:hAnsi="Times New Roman;serif"/>
                  <w:b w:val="false"/>
                  <w:color w:val="000080"/>
                  <w:sz w:val="20"/>
                  <w:u w:val="single"/>
                </w:rPr>
                <w:t>, 2025</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pPr>
            <w:hyperlink w:anchor="iecbadb85086145d3932d30df12e097f6_22">
              <w:r>
                <w:rPr>
                  <w:rStyle w:val="InternetLink"/>
                  <w:rFonts w:ascii="Times New Roman;serif" w:hAnsi="Times New Roman;serif"/>
                  <w:b w:val="false"/>
                  <w:strike w:val="false"/>
                  <w:dstrike w:val="false"/>
                  <w:color w:val="000000"/>
                  <w:sz w:val="20"/>
                  <w:u w:val="none"/>
                  <w:effect w:val="none"/>
                </w:rPr>
                <w:t>4</w:t>
              </w:r>
            </w:hyperlink>
          </w:p>
        </w:tc>
      </w:tr>
      <w:tr>
        <w:trPr/>
        <w:tc>
          <w:tcPr>
            <w:tcW w:w="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ecbadb85086145d3932d30df12e097f6_25">
              <w:r>
                <w:rPr>
                  <w:rStyle w:val="InternetLink"/>
                  <w:rFonts w:ascii="Times New Roman;serif" w:hAnsi="Times New Roman;serif"/>
                  <w:b w:val="false"/>
                  <w:color w:val="000080"/>
                  <w:sz w:val="20"/>
                  <w:u w:val="single"/>
                </w:rPr>
                <w:t>Unaudited Condensed Consolidated Statements of Changes in Stockholders' Equity for the Three</w:t>
              </w:r>
            </w:hyperlink>
            <w:hyperlink w:anchor="iecbadb85086145d3932d30df12e097f6_25">
              <w:r>
                <w:rPr>
                  <w:rStyle w:val="InternetLink"/>
                  <w:rFonts w:ascii="Times New Roman;serif" w:hAnsi="Times New Roman;serif"/>
                  <w:b w:val="false"/>
                  <w:color w:val="000080"/>
                  <w:sz w:val="20"/>
                  <w:u w:val="single"/>
                </w:rPr>
                <w:t xml:space="preserve"> and </w:t>
              </w:r>
            </w:hyperlink>
            <w:hyperlink w:anchor="iecbadb85086145d3932d30df12e097f6_25">
              <w:r>
                <w:rPr>
                  <w:rStyle w:val="InternetLink"/>
                  <w:rFonts w:ascii="Times New Roman;serif" w:hAnsi="Times New Roman;serif"/>
                  <w:b w:val="false"/>
                  <w:color w:val="000080"/>
                  <w:sz w:val="20"/>
                  <w:u w:val="single"/>
                </w:rPr>
                <w:t>Nine</w:t>
              </w:r>
            </w:hyperlink>
            <w:hyperlink w:anchor="iecbadb85086145d3932d30df12e097f6_25">
              <w:r>
                <w:rPr>
                  <w:rStyle w:val="InternetLink"/>
                  <w:rFonts w:ascii="Times New Roman;serif" w:hAnsi="Times New Roman;serif"/>
                  <w:b w:val="false"/>
                  <w:color w:val="000080"/>
                  <w:sz w:val="20"/>
                  <w:u w:val="single"/>
                </w:rPr>
                <w:t xml:space="preserve"> Months Ended </w:t>
              </w:r>
            </w:hyperlink>
            <w:hyperlink w:anchor="iecbadb85086145d3932d30df12e097f6_25">
              <w:r>
                <w:rPr>
                  <w:rStyle w:val="InternetLink"/>
                  <w:rFonts w:ascii="Times New Roman;serif" w:hAnsi="Times New Roman;serif"/>
                  <w:b w:val="false"/>
                  <w:color w:val="000080"/>
                  <w:sz w:val="20"/>
                  <w:u w:val="single"/>
                </w:rPr>
                <w:t>June 27</w:t>
              </w:r>
            </w:hyperlink>
            <w:hyperlink w:anchor="iecbadb85086145d3932d30df12e097f6_25">
              <w:r>
                <w:rPr>
                  <w:rStyle w:val="InternetLink"/>
                  <w:rFonts w:ascii="Times New Roman;serif" w:hAnsi="Times New Roman;serif"/>
                  <w:b w:val="false"/>
                  <w:color w:val="000080"/>
                  <w:sz w:val="20"/>
                  <w:u w:val="single"/>
                </w:rPr>
                <w:t>, 2026</w:t>
              </w:r>
            </w:hyperlink>
            <w:hyperlink w:anchor="iecbadb85086145d3932d30df12e097f6_25">
              <w:r>
                <w:rPr>
                  <w:rStyle w:val="InternetLink"/>
                  <w:rFonts w:ascii="Times New Roman;serif" w:hAnsi="Times New Roman;serif"/>
                  <w:b w:val="false"/>
                  <w:color w:val="000080"/>
                  <w:sz w:val="20"/>
                  <w:u w:val="single"/>
                </w:rPr>
                <w:t xml:space="preserve"> and</w:t>
              </w:r>
            </w:hyperlink>
            <w:hyperlink w:anchor="iecbadb85086145d3932d30df12e097f6_25">
              <w:r>
                <w:rPr>
                  <w:rStyle w:val="InternetLink"/>
                  <w:rFonts w:ascii="Times New Roman;serif" w:hAnsi="Times New Roman;serif"/>
                  <w:b w:val="false"/>
                  <w:color w:val="000080"/>
                  <w:sz w:val="20"/>
                  <w:u w:val="single"/>
                </w:rPr>
                <w:t xml:space="preserve"> June 28</w:t>
              </w:r>
            </w:hyperlink>
            <w:hyperlink w:anchor="iecbadb85086145d3932d30df12e097f6_25">
              <w:r>
                <w:rPr>
                  <w:rStyle w:val="InternetLink"/>
                  <w:rFonts w:ascii="Times New Roman;serif" w:hAnsi="Times New Roman;serif"/>
                  <w:b w:val="false"/>
                  <w:color w:val="000080"/>
                  <w:sz w:val="20"/>
                  <w:u w:val="single"/>
                </w:rPr>
                <w:t>, 2025</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pPr>
            <w:hyperlink w:anchor="iecbadb85086145d3932d30df12e097f6_25">
              <w:r>
                <w:rPr>
                  <w:rStyle w:val="InternetLink"/>
                  <w:rFonts w:ascii="Times New Roman;serif" w:hAnsi="Times New Roman;serif"/>
                  <w:b w:val="false"/>
                  <w:strike w:val="false"/>
                  <w:dstrike w:val="false"/>
                  <w:color w:val="000000"/>
                  <w:sz w:val="20"/>
                  <w:u w:val="none"/>
                  <w:effect w:val="none"/>
                </w:rPr>
                <w:t>5</w:t>
              </w:r>
            </w:hyperlink>
          </w:p>
        </w:tc>
      </w:tr>
      <w:tr>
        <w:trPr/>
        <w:tc>
          <w:tcPr>
            <w:tcW w:w="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ecbadb85086145d3932d30df12e097f6_28">
              <w:r>
                <w:rPr>
                  <w:rStyle w:val="InternetLink"/>
                  <w:rFonts w:ascii="Times New Roman;serif" w:hAnsi="Times New Roman;serif"/>
                  <w:b w:val="false"/>
                  <w:color w:val="000080"/>
                  <w:sz w:val="20"/>
                  <w:u w:val="single"/>
                </w:rPr>
                <w:t xml:space="preserve">Unaudited Condensed Consolidated Statements of Cash Flows for the </w:t>
              </w:r>
            </w:hyperlink>
            <w:hyperlink w:anchor="iecbadb85086145d3932d30df12e097f6_28">
              <w:r>
                <w:rPr>
                  <w:rStyle w:val="InternetLink"/>
                  <w:rFonts w:ascii="Times New Roman;serif" w:hAnsi="Times New Roman;serif"/>
                  <w:b w:val="false"/>
                  <w:color w:val="000080"/>
                  <w:sz w:val="20"/>
                  <w:u w:val="single"/>
                </w:rPr>
                <w:t>Nine</w:t>
              </w:r>
            </w:hyperlink>
            <w:hyperlink w:anchor="iecbadb85086145d3932d30df12e097f6_28">
              <w:r>
                <w:rPr>
                  <w:rStyle w:val="InternetLink"/>
                  <w:rFonts w:ascii="Times New Roman;serif" w:hAnsi="Times New Roman;serif"/>
                  <w:b w:val="false"/>
                  <w:color w:val="000080"/>
                  <w:sz w:val="20"/>
                  <w:u w:val="single"/>
                </w:rPr>
                <w:t xml:space="preserve"> Months Ended</w:t>
              </w:r>
            </w:hyperlink>
            <w:hyperlink w:anchor="iecbadb85086145d3932d30df12e097f6_28">
              <w:r>
                <w:rPr>
                  <w:rStyle w:val="InternetLink"/>
                  <w:rFonts w:ascii="Times New Roman;serif" w:hAnsi="Times New Roman;serif"/>
                  <w:b w:val="false"/>
                  <w:color w:val="000080"/>
                  <w:sz w:val="20"/>
                  <w:u w:val="single"/>
                </w:rPr>
                <w:t xml:space="preserve"> June 27</w:t>
              </w:r>
            </w:hyperlink>
            <w:hyperlink w:anchor="iecbadb85086145d3932d30df12e097f6_28">
              <w:r>
                <w:rPr>
                  <w:rStyle w:val="InternetLink"/>
                  <w:rFonts w:ascii="Times New Roman;serif" w:hAnsi="Times New Roman;serif"/>
                  <w:b w:val="false"/>
                  <w:color w:val="000080"/>
                  <w:sz w:val="20"/>
                  <w:u w:val="single"/>
                </w:rPr>
                <w:t>, 2026</w:t>
              </w:r>
            </w:hyperlink>
            <w:hyperlink w:anchor="iecbadb85086145d3932d30df12e097f6_28">
              <w:r>
                <w:rPr>
                  <w:rStyle w:val="InternetLink"/>
                  <w:rFonts w:ascii="Times New Roman;serif" w:hAnsi="Times New Roman;serif"/>
                  <w:b w:val="false"/>
                  <w:color w:val="000080"/>
                  <w:sz w:val="20"/>
                  <w:u w:val="single"/>
                </w:rPr>
                <w:t xml:space="preserve"> and</w:t>
              </w:r>
            </w:hyperlink>
            <w:hyperlink w:anchor="iecbadb85086145d3932d30df12e097f6_28">
              <w:r>
                <w:rPr>
                  <w:rStyle w:val="InternetLink"/>
                  <w:rFonts w:ascii="Times New Roman;serif" w:hAnsi="Times New Roman;serif"/>
                  <w:b w:val="false"/>
                  <w:color w:val="000080"/>
                  <w:sz w:val="20"/>
                  <w:u w:val="single"/>
                </w:rPr>
                <w:t xml:space="preserve"> </w:t>
              </w:r>
            </w:hyperlink>
            <w:hyperlink w:anchor="iecbadb85086145d3932d30df12e097f6_28">
              <w:r>
                <w:rPr>
                  <w:rStyle w:val="InternetLink"/>
                  <w:rFonts w:ascii="Times New Roman;serif" w:hAnsi="Times New Roman;serif"/>
                  <w:b w:val="false"/>
                  <w:color w:val="000080"/>
                  <w:sz w:val="20"/>
                  <w:u w:val="single"/>
                </w:rPr>
                <w:t>June 28</w:t>
              </w:r>
            </w:hyperlink>
            <w:hyperlink w:anchor="iecbadb85086145d3932d30df12e097f6_28">
              <w:r>
                <w:rPr>
                  <w:rStyle w:val="InternetLink"/>
                  <w:rFonts w:ascii="Times New Roman;serif" w:hAnsi="Times New Roman;serif"/>
                  <w:b w:val="false"/>
                  <w:color w:val="000080"/>
                  <w:sz w:val="20"/>
                  <w:u w:val="single"/>
                </w:rPr>
                <w:t>, 2025</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pPr>
            <w:hyperlink w:anchor="iecbadb85086145d3932d30df12e097f6_28">
              <w:r>
                <w:rPr>
                  <w:rStyle w:val="InternetLink"/>
                  <w:rFonts w:ascii="Times New Roman;serif" w:hAnsi="Times New Roman;serif"/>
                  <w:b w:val="false"/>
                  <w:strike w:val="false"/>
                  <w:dstrike w:val="false"/>
                  <w:color w:val="000000"/>
                  <w:sz w:val="20"/>
                  <w:u w:val="none"/>
                  <w:effect w:val="none"/>
                </w:rPr>
                <w:t>8</w:t>
              </w:r>
            </w:hyperlink>
          </w:p>
        </w:tc>
      </w:tr>
      <w:tr>
        <w:trPr/>
        <w:tc>
          <w:tcPr>
            <w:tcW w:w="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ecbadb85086145d3932d30df12e097f6_31">
              <w:r>
                <w:rPr>
                  <w:rStyle w:val="InternetLink"/>
                  <w:rFonts w:ascii="Times New Roman;serif" w:hAnsi="Times New Roman;serif"/>
                  <w:b w:val="false"/>
                  <w:color w:val="0000FF"/>
                  <w:sz w:val="20"/>
                  <w:u w:val="single"/>
                </w:rPr>
                <w:t>Notes to Unaudited Condensed Consolidated Financial Statements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right"/>
              <w:rPr/>
            </w:pPr>
            <w:hyperlink w:anchor="iecbadb85086145d3932d30df12e097f6_31">
              <w:r>
                <w:rPr>
                  <w:rStyle w:val="InternetLink"/>
                  <w:rFonts w:ascii="Times New Roman;serif" w:hAnsi="Times New Roman;serif"/>
                  <w:b w:val="false"/>
                  <w:strike w:val="false"/>
                  <w:dstrike w:val="false"/>
                  <w:color w:val="000000"/>
                  <w:sz w:val="20"/>
                  <w:u w:val="none"/>
                  <w:effect w:val="none"/>
                </w:rPr>
                <w:t>10</w:t>
              </w:r>
            </w:hyperlink>
          </w:p>
        </w:tc>
      </w:tr>
      <w:tr>
        <w:trPr/>
        <w:tc>
          <w:tcPr>
            <w:tcW w:w="656"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97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ecbadb85086145d3932d30df12e097f6_94">
              <w:r>
                <w:rPr>
                  <w:rStyle w:val="InternetLink"/>
                  <w:rFonts w:ascii="Times New Roman;serif" w:hAnsi="Times New Roman;serif"/>
                  <w:b w:val="false"/>
                  <w:color w:val="0E32E1"/>
                  <w:sz w:val="20"/>
                  <w:u w:val="single"/>
                </w:rPr>
                <w:t>Management’s Discussion and Analysis of Financial Condition and Results of Operations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right"/>
              <w:rPr/>
            </w:pPr>
            <w:hyperlink w:anchor="iecbadb85086145d3932d30df12e097f6_94">
              <w:r>
                <w:rPr>
                  <w:rStyle w:val="InternetLink"/>
                  <w:rFonts w:ascii="Times New Roman;serif" w:hAnsi="Times New Roman;serif"/>
                  <w:b w:val="false"/>
                  <w:strike w:val="false"/>
                  <w:dstrike w:val="false"/>
                  <w:color w:val="000000"/>
                  <w:sz w:val="20"/>
                  <w:u w:val="none"/>
                  <w:effect w:val="none"/>
                </w:rPr>
                <w:t>33</w:t>
              </w:r>
            </w:hyperlink>
          </w:p>
        </w:tc>
      </w:tr>
      <w:tr>
        <w:trPr/>
        <w:tc>
          <w:tcPr>
            <w:tcW w:w="656"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97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ecbadb85086145d3932d30df12e097f6_97">
              <w:r>
                <w:rPr>
                  <w:rStyle w:val="InternetLink"/>
                  <w:rFonts w:ascii="Times New Roman;serif" w:hAnsi="Times New Roman;serif"/>
                  <w:b w:val="false"/>
                  <w:color w:val="0E32E1"/>
                  <w:sz w:val="20"/>
                  <w:u w:val="single"/>
                </w:rPr>
                <w:t>Quantitative and Qualitative Disclosures About Market Risk</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right"/>
              <w:rPr/>
            </w:pPr>
            <w:hyperlink w:anchor="iecbadb85086145d3932d30df12e097f6_97">
              <w:r>
                <w:rPr>
                  <w:rStyle w:val="InternetLink"/>
                  <w:rFonts w:ascii="Times New Roman;serif" w:hAnsi="Times New Roman;serif"/>
                  <w:b w:val="false"/>
                  <w:strike w:val="false"/>
                  <w:dstrike w:val="false"/>
                  <w:color w:val="000000"/>
                  <w:sz w:val="20"/>
                  <w:u w:val="none"/>
                  <w:effect w:val="none"/>
                </w:rPr>
                <w:t>48</w:t>
              </w:r>
            </w:hyperlink>
          </w:p>
        </w:tc>
      </w:tr>
      <w:tr>
        <w:trPr/>
        <w:tc>
          <w:tcPr>
            <w:tcW w:w="656"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97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ecbadb85086145d3932d30df12e097f6_100">
              <w:r>
                <w:rPr>
                  <w:rStyle w:val="InternetLink"/>
                  <w:rFonts w:ascii="Times New Roman;serif" w:hAnsi="Times New Roman;serif"/>
                  <w:b w:val="false"/>
                  <w:color w:val="0E32E1"/>
                  <w:sz w:val="20"/>
                  <w:u w:val="single"/>
                </w:rPr>
                <w:t>Controls and Procedures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pPr>
            <w:hyperlink w:anchor="iecbadb85086145d3932d30df12e097f6_100">
              <w:r>
                <w:rPr>
                  <w:rStyle w:val="InternetLink"/>
                  <w:rFonts w:ascii="Times New Roman;serif" w:hAnsi="Times New Roman;serif"/>
                  <w:b w:val="false"/>
                  <w:strike w:val="false"/>
                  <w:dstrike w:val="false"/>
                  <w:color w:val="000000"/>
                  <w:sz w:val="20"/>
                  <w:u w:val="none"/>
                  <w:effect w:val="none"/>
                </w:rPr>
                <w:t>48</w:t>
              </w:r>
            </w:hyperlink>
          </w:p>
        </w:tc>
      </w:tr>
      <w:tr>
        <w:trPr/>
        <w:tc>
          <w:tcPr>
            <w:tcW w:w="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pPr>
            <w:hyperlink w:anchor="iecbadb85086145d3932d30df12e097f6_103">
              <w:r>
                <w:rPr>
                  <w:rStyle w:val="InternetLink"/>
                  <w:rFonts w:ascii="Times New Roman;serif" w:hAnsi="Times New Roman;serif"/>
                  <w:b/>
                  <w:color w:val="0E32E1"/>
                  <w:sz w:val="20"/>
                  <w:u w:val="single"/>
                </w:rPr>
                <w:t>Part II - Other Information</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6"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97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ecbadb85086145d3932d30df12e097f6_106">
              <w:r>
                <w:rPr>
                  <w:rStyle w:val="InternetLink"/>
                  <w:rFonts w:ascii="Times New Roman;serif" w:hAnsi="Times New Roman;serif"/>
                  <w:b w:val="false"/>
                  <w:color w:val="0E32E1"/>
                  <w:sz w:val="20"/>
                  <w:u w:val="single"/>
                </w:rPr>
                <w:t>Legal Proceedings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right"/>
              <w:rPr/>
            </w:pPr>
            <w:hyperlink w:anchor="iecbadb85086145d3932d30df12e097f6_106">
              <w:r>
                <w:rPr>
                  <w:rStyle w:val="InternetLink"/>
                  <w:rFonts w:ascii="Times New Roman;serif" w:hAnsi="Times New Roman;serif"/>
                  <w:b w:val="false"/>
                  <w:strike w:val="false"/>
                  <w:dstrike w:val="false"/>
                  <w:color w:val="000000"/>
                  <w:sz w:val="20"/>
                  <w:u w:val="none"/>
                  <w:effect w:val="none"/>
                </w:rPr>
                <w:t>50</w:t>
              </w:r>
            </w:hyperlink>
          </w:p>
        </w:tc>
      </w:tr>
      <w:tr>
        <w:trPr/>
        <w:tc>
          <w:tcPr>
            <w:tcW w:w="656"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97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ecbadb85086145d3932d30df12e097f6_109">
              <w:r>
                <w:rPr>
                  <w:rStyle w:val="InternetLink"/>
                  <w:rFonts w:ascii="Times New Roman;serif" w:hAnsi="Times New Roman;serif"/>
                  <w:b w:val="false"/>
                  <w:color w:val="0E32E1"/>
                  <w:sz w:val="20"/>
                  <w:u w:val="single"/>
                </w:rPr>
                <w:t>Risk Factors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right"/>
              <w:rPr/>
            </w:pPr>
            <w:hyperlink w:anchor="iecbadb85086145d3932d30df12e097f6_109">
              <w:r>
                <w:rPr>
                  <w:rStyle w:val="InternetLink"/>
                  <w:rFonts w:ascii="Times New Roman;serif" w:hAnsi="Times New Roman;serif"/>
                  <w:b w:val="false"/>
                  <w:strike w:val="false"/>
                  <w:dstrike w:val="false"/>
                  <w:color w:val="000000"/>
                  <w:sz w:val="20"/>
                  <w:u w:val="none"/>
                  <w:effect w:val="none"/>
                </w:rPr>
                <w:t>50</w:t>
              </w:r>
            </w:hyperlink>
          </w:p>
        </w:tc>
      </w:tr>
      <w:tr>
        <w:trPr/>
        <w:tc>
          <w:tcPr>
            <w:tcW w:w="656"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97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ecbadb85086145d3932d30df12e097f6_112">
              <w:r>
                <w:rPr>
                  <w:rStyle w:val="InternetLink"/>
                  <w:rFonts w:ascii="Times New Roman;serif" w:hAnsi="Times New Roman;serif"/>
                  <w:b w:val="false"/>
                  <w:color w:val="0E32E1"/>
                  <w:sz w:val="20"/>
                  <w:u w:val="single"/>
                </w:rPr>
                <w:t>Unregistered Sales of Equity Securities and Use of Proceeds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right"/>
              <w:rPr/>
            </w:pPr>
            <w:hyperlink w:anchor="iecbadb85086145d3932d30df12e097f6_112">
              <w:r>
                <w:rPr>
                  <w:rStyle w:val="InternetLink"/>
                  <w:rFonts w:ascii="Times New Roman;serif" w:hAnsi="Times New Roman;serif"/>
                  <w:b w:val="false"/>
                  <w:strike w:val="false"/>
                  <w:dstrike w:val="false"/>
                  <w:color w:val="000000"/>
                  <w:sz w:val="20"/>
                  <w:u w:val="none"/>
                  <w:effect w:val="none"/>
                </w:rPr>
                <w:t>50</w:t>
              </w:r>
            </w:hyperlink>
          </w:p>
        </w:tc>
      </w:tr>
      <w:tr>
        <w:trPr/>
        <w:tc>
          <w:tcPr>
            <w:tcW w:w="656"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97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ecbadb85086145d3932d30df12e097f6_115">
              <w:r>
                <w:rPr>
                  <w:rStyle w:val="InternetLink"/>
                  <w:rFonts w:ascii="Times New Roman;serif" w:hAnsi="Times New Roman;serif"/>
                  <w:b w:val="false"/>
                  <w:color w:val="0E32E1"/>
                  <w:sz w:val="20"/>
                  <w:u w:val="single"/>
                </w:rPr>
                <w:t>Defaults Upon Senior Securities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right"/>
              <w:rPr/>
            </w:pPr>
            <w:hyperlink w:anchor="iecbadb85086145d3932d30df12e097f6_115">
              <w:r>
                <w:rPr>
                  <w:rStyle w:val="InternetLink"/>
                  <w:rFonts w:ascii="Times New Roman;serif" w:hAnsi="Times New Roman;serif"/>
                  <w:b w:val="false"/>
                  <w:strike w:val="false"/>
                  <w:dstrike w:val="false"/>
                  <w:color w:val="000000"/>
                  <w:sz w:val="20"/>
                  <w:u w:val="none"/>
                  <w:effect w:val="none"/>
                </w:rPr>
                <w:t>50</w:t>
              </w:r>
            </w:hyperlink>
          </w:p>
        </w:tc>
      </w:tr>
      <w:tr>
        <w:trPr/>
        <w:tc>
          <w:tcPr>
            <w:tcW w:w="656"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97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ecbadb85086145d3932d30df12e097f6_118">
              <w:r>
                <w:rPr>
                  <w:rStyle w:val="InternetLink"/>
                  <w:rFonts w:ascii="Times New Roman;serif" w:hAnsi="Times New Roman;serif"/>
                  <w:b w:val="false"/>
                  <w:color w:val="0E32E1"/>
                  <w:sz w:val="20"/>
                  <w:u w:val="single"/>
                </w:rPr>
                <w:t>Mine Safety Disclosures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right"/>
              <w:rPr/>
            </w:pPr>
            <w:hyperlink w:anchor="iecbadb85086145d3932d30df12e097f6_118">
              <w:r>
                <w:rPr>
                  <w:rStyle w:val="InternetLink"/>
                  <w:rFonts w:ascii="Times New Roman;serif" w:hAnsi="Times New Roman;serif"/>
                  <w:b w:val="false"/>
                  <w:strike w:val="false"/>
                  <w:dstrike w:val="false"/>
                  <w:color w:val="000000"/>
                  <w:sz w:val="20"/>
                  <w:u w:val="none"/>
                  <w:effect w:val="none"/>
                </w:rPr>
                <w:t>50</w:t>
              </w:r>
            </w:hyperlink>
          </w:p>
        </w:tc>
      </w:tr>
      <w:tr>
        <w:trPr/>
        <w:tc>
          <w:tcPr>
            <w:tcW w:w="656"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97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ecbadb85086145d3932d30df12e097f6_121">
              <w:r>
                <w:rPr>
                  <w:rStyle w:val="InternetLink"/>
                  <w:rFonts w:ascii="Times New Roman;serif" w:hAnsi="Times New Roman;serif"/>
                  <w:b w:val="false"/>
                  <w:color w:val="0E32E1"/>
                  <w:sz w:val="20"/>
                  <w:u w:val="single"/>
                </w:rPr>
                <w:t>Other Information</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right"/>
              <w:rPr/>
            </w:pPr>
            <w:hyperlink w:anchor="iecbadb85086145d3932d30df12e097f6_121">
              <w:r>
                <w:rPr>
                  <w:rStyle w:val="InternetLink"/>
                  <w:rFonts w:ascii="Times New Roman;serif" w:hAnsi="Times New Roman;serif"/>
                  <w:b w:val="false"/>
                  <w:strike w:val="false"/>
                  <w:dstrike w:val="false"/>
                  <w:color w:val="000000"/>
                  <w:sz w:val="20"/>
                  <w:u w:val="none"/>
                  <w:effect w:val="none"/>
                </w:rPr>
                <w:t>50</w:t>
              </w:r>
            </w:hyperlink>
          </w:p>
        </w:tc>
      </w:tr>
      <w:tr>
        <w:trPr/>
        <w:tc>
          <w:tcPr>
            <w:tcW w:w="656"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97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ecbadb85086145d3932d30df12e097f6_127">
              <w:r>
                <w:rPr>
                  <w:rStyle w:val="InternetLink"/>
                  <w:rFonts w:ascii="Times New Roman;serif" w:hAnsi="Times New Roman;serif"/>
                  <w:b w:val="false"/>
                  <w:color w:val="0E32E1"/>
                  <w:sz w:val="20"/>
                  <w:u w:val="single"/>
                </w:rPr>
                <w:t>Exhibits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pPr>
            <w:hyperlink w:anchor="iecbadb85086145d3932d30df12e097f6_127">
              <w:r>
                <w:rPr>
                  <w:rStyle w:val="InternetLink"/>
                  <w:rFonts w:ascii="Times New Roman;serif" w:hAnsi="Times New Roman;serif"/>
                  <w:b w:val="false"/>
                  <w:strike w:val="false"/>
                  <w:dstrike w:val="false"/>
                  <w:color w:val="000000"/>
                  <w:sz w:val="20"/>
                  <w:u w:val="none"/>
                  <w:effect w:val="none"/>
                </w:rPr>
                <w:t>51</w:t>
              </w:r>
            </w:hyperlink>
          </w:p>
        </w:tc>
      </w:tr>
      <w:tr>
        <w:trPr/>
        <w:tc>
          <w:tcPr>
            <w:tcW w:w="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iecbadb85086145d3932d30df12e097f6_130">
              <w:r>
                <w:rPr>
                  <w:rStyle w:val="InternetLink"/>
                  <w:rFonts w:ascii="Times New Roman;serif" w:hAnsi="Times New Roman;serif"/>
                  <w:b w:val="false"/>
                  <w:color w:val="0E32E1"/>
                  <w:sz w:val="20"/>
                  <w:u w:val="single"/>
                </w:rPr>
                <w:t>Signatures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pPr>
            <w:hyperlink w:anchor="iecbadb85086145d3932d30df12e097f6_130">
              <w:r>
                <w:rPr>
                  <w:rStyle w:val="InternetLink"/>
                  <w:rFonts w:ascii="Times New Roman;serif" w:hAnsi="Times New Roman;serif"/>
                  <w:b w:val="false"/>
                  <w:strike w:val="false"/>
                  <w:dstrike w:val="false"/>
                  <w:color w:val="000000"/>
                  <w:sz w:val="20"/>
                  <w:u w:val="none"/>
                  <w:effect w:val="none"/>
                </w:rPr>
                <w:t>52</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84785"/>
                <wp:effectExtent l="0" t="0" r="0" b="0"/>
                <wp:wrapNone/>
                <wp:docPr id="3" name="Frame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40" w:before="0" w:after="200"/>
        <w:jc w:val="center"/>
        <w:rPr>
          <w:rFonts w:ascii="Times New Roman;serif" w:hAnsi="Times New Roman;serif"/>
          <w:b/>
          <w:color w:val="000000"/>
          <w:sz w:val="20"/>
        </w:rPr>
      </w:pPr>
      <w:r>
        <w:rPr>
          <w:rFonts w:ascii="Times New Roman;serif" w:hAnsi="Times New Roman;serif"/>
          <w:b/>
          <w:color w:val="000000"/>
          <w:sz w:val="20"/>
        </w:rPr>
        <w:t>CAUTIONARY NOTE ON FORWARD-LOOKING STATEMENTS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the Private Securities Litigation Reform Act of 1995, Section 27A of the Securities Act of 1933, as amended (the “Securities Act”), and Section 21E of the Securities Exchange Act of 1934, as amended (the “Exchange Act”). These statements include, but are not limited to, the Company’s expectations or predictions of future financial or business performance or conditions. Forward-looking statements are inherently subject to risks, uncertainties and assumptions. Generally, statements that are not historical facts, including statements concerning the Company’s possible or assumed future actions, business strategies, events or results of operations, are forward-looking statements. These statements may be preceded by, followed by or include the words “believes,” “estimates,” “expects,” “projects,” “forecasts,” “may,” “will,” “should,” “seeks,” “plans,” “scheduled,” “anticipates,” or “intends” or similar expressions.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Forward-looking statements contained in this Quarterly Report on Form 10-Q include, but are not limited to, statements about the Company’s ability to, or expectations that it will: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meet the technical requirements of existing or future agreements with its customers, including with respect to existing backlog;</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expand its target customer base and maintain its existing customer base;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realize the benefits expected from its GreenBox Systems LLC joint venture, which is now doing business as Exol (“Exol”), the commercial agreement with Exol, the commercial agreement with Nueva Wal Mart de México, S. de R.L. de C.V and the acquisition of the Advanced Systems and Robotics business from Walmart;</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realize its outlook, including its system gross margin;</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manage the timing and cost of any product replacement, programs and related recalls;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anticipate industry trends;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maintain and enhance its systems;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execute its growth strategy;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develop, design and sell systems that are differentiated from those of competitors;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execute its research and development strategy;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acquire, maintain, protect and enforce intellectual property;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attract, train and retain effective officers, key employees or directors;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comply with laws and regulations applicable to its business;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stay abreast of modified or new laws and regulations applying to its business;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successfully defend litigation;</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issue equity securities in connection with future transactions;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meet future liquidity requirements and, if applicable, comply with restrictive covenants related to long-term indebtedness;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timely and effectively remediate any material weaknesses in its internal control over financial reporting;</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anticipate rapid technological changes;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maintain the listing of the Symbotic common stock on Nasdaq; and</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effectively respond to general economic and business conditions.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Forward-looking statements made in this Quarterly Report on Form 10-Q also include, but are not limited to, statements with respect to:</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future performance of Symbotic’s business and operations;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expectations regarding revenues, expenses, adjusted EBITDA and anticipated cash needs;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expectations regarding cash flow, liquidity and sources of funding;</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expectations regarding capital expenditures;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anticipated benefits of Symbotic’s leadership structure;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effects of pending and future legislation;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84785"/>
                <wp:effectExtent l="0" t="0" r="0" b="0"/>
                <wp:wrapNone/>
                <wp:docPr id="4" name="Frame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effects of inflation, prevailing price levels, exchange rates, changes in trade agreements and trade protection measures including tariffs and other economic factors;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direct and indirect effects of geopolitical conditions in the United States and in global economies, including those resulting from acts of war and conflicts and responses to such events;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business disruption;</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disruption to the business due to Symbotic’s dependency on Walmart;</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increasing competition in the warehouse automation industry;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any delays in the design, production or launch of Symbotic’s systems and products;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failure to meet customers’ requirements under existing or future contracts or customers’ expectations as to price or pricing structure;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any defects in new products or enhancements to existing products;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fluctuation of operating results from period to period due to a number of factors, including the pace of customer adoption of Symbotic’s new products and services and any changes in its product mix that shift too far into lower gross margin products; and</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any consequences associated with joint ventures and legislative and regulatory actions and reforms.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Such forward-looking statements involve risks and uncertainties that may cause actual events, results or performance to differ materially from those indicated by such statements. Certain of these risks are identified and discussed in other sections of this Quarterly Report on Form 10-Q and in the Company’s Annual Report on Form 10-K filed with the U.S. Securities and Exchange Commission (“SEC”) on November 24, 2025. These risk factors will be important to consider in determining future results and should be reviewed in their entirety. These forward-looking statements are expressed in good faith, and the Company believes there is a reasonable basis for them. However, there can be no assurance that the events, results or trends identified in these forward-looking statements will occur or be achieved. Forward-looking statements are provided for the purposes of assisting the reader in understanding the Company’s financial performance, financial position and cash flows as of and for periods ended on certain dates and to present information about management’s current expectations and plans relating to the future, and the reader is cautioned not to place undue reliance on these forward-looking statements because of their inherent uncertainty and to appreciate the limited purposes for which they are being used by management. While the Company believes that the assumptions and expectations reflected in the forward-looking statements are reasonable based on information currently available to management, there is no assurance that such assumptions and expectations will prove to have been correct.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forward-looking statements made in this Quarterly Report on Form 10-Q relate only to events as of the date on which the statements are made and are based on the beliefs, estimates, expectations and opinions of management on that date. The Company is not under any obligation, and expressly disclaims any obligation, to update, alter or otherwise revise any forward-looking statements made in this Quarterly Report on Form 10-Q, whether as a result of new information, future events or otherwise, except as required by law.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factors previously disclosed in the Company’s Annual Report on Form 10-K filed with the SEC on November 24, 2025, and those identified elsewhere in this Quarterly Report on Form 10-Q, the following factors, among others, could cause actual results to differ materially from forward-looking statements or historical performance: failure to realize the benefits expected from adding to Symbotic’s base of outsourcing partners and the effects of pending and future legislation.</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Annualized and estimated numbers are not forecasts and may not reflect actual results.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this Quarterly Report on Form 10-Q, the terms “Symbotic,” “we,” “us,” and “our” refer to Symbotic Inc. and its subsidiaries, unless the context indicates otherwise. </w:t>
      </w:r>
    </w:p>
    <w:p>
      <w:pPr>
        <w:pStyle w:val="TextBody"/>
        <w:bidi w:val="0"/>
        <w:spacing w:before="60" w:after="283"/>
        <w:ind w:left="0" w:right="0" w:firstLine="360"/>
        <w:jc w:val="left"/>
        <w:rPr/>
      </w:pPr>
      <w:r>
        <w:rPr/>
      </w:r>
    </w:p>
    <w:p>
      <w:pPr>
        <w:pStyle w:val="TextBody"/>
        <w:bidi w:val="0"/>
        <w:spacing w:before="60" w:after="283"/>
        <w:ind w:left="0" w:right="0" w:firstLine="360"/>
        <w:jc w:val="left"/>
        <w:rPr/>
      </w:pPr>
      <w:r>
        <w:rPr/>
      </w:r>
    </w:p>
    <w:p>
      <w:pPr>
        <w:pStyle w:val="TextBody"/>
        <w:bidi w:val="0"/>
        <w:spacing w:before="6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84785"/>
                <wp:effectExtent l="0" t="0" r="0" b="0"/>
                <wp:wrapNone/>
                <wp:docPr id="5" name="Frame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before="6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Item 1. Unaudited Condensed Consolidated Financial Statements</w: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 xml:space="preserve">Symbotic Inc. </w:t>
      </w:r>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Unaudited Condensed Consolidated Balance Sheets</w:t>
      </w:r>
    </w:p>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2686"/>
        <w:gridCol w:w="2234"/>
        <w:gridCol w:w="2181"/>
        <w:gridCol w:w="211"/>
        <w:gridCol w:w="976"/>
        <w:gridCol w:w="109"/>
        <w:gridCol w:w="109"/>
        <w:gridCol w:w="109"/>
        <w:gridCol w:w="109"/>
        <w:gridCol w:w="232"/>
        <w:gridCol w:w="1077"/>
        <w:gridCol w:w="172"/>
      </w:tblGrid>
      <w:tr>
        <w:trPr/>
        <w:tc>
          <w:tcPr>
            <w:tcW w:w="2686"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September 27, 2025</w:t>
            </w:r>
          </w:p>
        </w:tc>
      </w:tr>
      <w:tr>
        <w:trPr/>
        <w:tc>
          <w:tcPr>
            <w:tcW w:w="10205" w:type="dxa"/>
            <w:gridSpan w:val="12"/>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710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1,746,446 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1,244,993 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288,533 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186,705 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Unbilled accounts receivable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459,843 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181,658 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220,841 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164,390 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Deferred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59,063 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20,532 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83,060 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86,582 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2,857,786 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1,884,860 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158,575 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117,649 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83,245 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79,149 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59,871 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59,871 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Equity method investment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140,468 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123,034 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224,174 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131,166 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3,524,119 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2,395,729 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LIABILITIES AND EQUITY</w:t>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327,807 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286,669 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265,517 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200,442 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1,553,749 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1,242,312 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2,147,073 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1,729,423 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182,810 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124,932 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60,270 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63,629 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2,390,153 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1,917,984 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Class A Common Stock, 3,000,000,000 shares authorized, 128,931,651 and 112,635,932 shares issued and outstanding at June 27, 2026 and September 27,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Class V-1 Common Stock, 1,000,000,000 shares authorized, 71,373,131 and 74,693,311 shares issued and outstanding at June 27, 2026 and September 27,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84785"/>
                <wp:effectExtent l="0" t="0" r="0" b="0"/>
                <wp:wrapNone/>
                <wp:docPr id="6" name="Frame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702"/>
        <w:gridCol w:w="2266"/>
        <w:gridCol w:w="2272"/>
        <w:gridCol w:w="211"/>
        <w:gridCol w:w="976"/>
        <w:gridCol w:w="109"/>
        <w:gridCol w:w="109"/>
        <w:gridCol w:w="109"/>
        <w:gridCol w:w="109"/>
        <w:gridCol w:w="211"/>
        <w:gridCol w:w="976"/>
        <w:gridCol w:w="155"/>
      </w:tblGrid>
      <w:tr>
        <w:trPr/>
        <w:tc>
          <w:tcPr>
            <w:tcW w:w="2702"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Class V-3 Common Stock, 450,000,000 shares authorized, 403,559,196 shares issued and outstanding at June 27, 2026 and September 27, 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2,028,978 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1,556,611 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(1,317,539)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(1,333,783)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(2,695)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708,769 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220,193 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425,197 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257,552 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1,133,966 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477,745 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3,524,119 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2,395,729 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60" w:after="283"/>
        <w:ind w:left="0" w:right="0" w:firstLine="360"/>
        <w:jc w:val="center"/>
        <w:rPr/>
      </w:pPr>
      <w:r>
        <w:rPr>
          <w:rFonts w:ascii="Times New Roman;serif" w:hAnsi="Times New Roman;serif"/>
          <w:b w:val="false"/>
          <w:color w:val="000000"/>
          <w:sz w:val="20"/>
        </w:rPr>
        <w:t>The accompanying notes are an integral part of these unaudited condensed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84785"/>
                <wp:effectExtent l="0" t="0" r="0" b="0"/>
                <wp:wrapNone/>
                <wp:docPr id="7" name="Frame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Symbotic Inc.</w:t>
      </w:r>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Operations</w:t>
      </w:r>
    </w:p>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information)</w:t>
      </w:r>
    </w:p>
    <w:p>
      <w:pPr>
        <w:pStyle w:val="TextBody"/>
        <w:bidi w:val="0"/>
        <w:spacing w:before="60" w:after="283"/>
        <w:ind w:left="0" w:right="0" w:firstLine="360"/>
        <w:jc w:val="center"/>
        <w:rPr/>
      </w:pPr>
      <w:r>
        <w:rPr/>
      </w:r>
    </w:p>
    <w:p>
      <w:pPr>
        <w:pStyle w:val="TextBody"/>
        <w:bidi w:val="0"/>
        <w:spacing w:before="60" w:after="283"/>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554"/>
        <w:gridCol w:w="1216"/>
        <w:gridCol w:w="1226"/>
        <w:gridCol w:w="241"/>
        <w:gridCol w:w="945"/>
        <w:gridCol w:w="109"/>
        <w:gridCol w:w="109"/>
        <w:gridCol w:w="109"/>
        <w:gridCol w:w="109"/>
        <w:gridCol w:w="241"/>
        <w:gridCol w:w="945"/>
        <w:gridCol w:w="109"/>
        <w:gridCol w:w="109"/>
        <w:gridCol w:w="109"/>
        <w:gridCol w:w="109"/>
        <w:gridCol w:w="211"/>
        <w:gridCol w:w="976"/>
        <w:gridCol w:w="109"/>
        <w:gridCol w:w="109"/>
        <w:gridCol w:w="109"/>
        <w:gridCol w:w="109"/>
        <w:gridCol w:w="211"/>
        <w:gridCol w:w="976"/>
        <w:gridCol w:w="155"/>
      </w:tblGrid>
      <w:tr>
        <w:trPr/>
        <w:tc>
          <w:tcPr>
            <w:tcW w:w="155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For the Nine Months Ended</w:t>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28, 2025</w:t>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Revenue:</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Systems</w:t>
            </w:r>
          </w:p>
        </w:tc>
        <w:tc>
          <w:tcPr>
            <w:tcW w:w="24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670,952 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559,108 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1,895,740 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1,536,539 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Software maintenance and support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20,331 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Operation services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37,121 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94,989 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71,595 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720,838 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592,121 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2,027,303 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1,628,465 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Cost of revenue:</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Systems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523,607 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453,967 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1,489,031 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1,246,745 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Software maintenance and support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5,593 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Operation services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84,178 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72,476 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559,928 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480,279 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1,583,017 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1,324,814 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160,910 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111,842 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444,286 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303,651 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Operating expenses:</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138,069 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150,967 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84,235 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71,557 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258,020 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205,567 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16,361 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128,015 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137,647 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398,774 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372,895 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(25,805)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(69,244)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54,688 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27,987 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 and equity method investment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63,482 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(17,354)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(41,257)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Loss from equity method investment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(7,831)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55,000 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(21,174)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77,787 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(47,884)</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61,543 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(38,982)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11,673 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16,244 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(8,902)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Income (loss) per share of Class A Common Stock:</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4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Weighted-average shares of Class A Common Stock outstanding:</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128,076,383 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109,201,745 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123,029,814 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107,664,864 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133,252,947 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109,201,745 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131,666,538 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107,664,864 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60" w:after="283"/>
        <w:ind w:left="0" w:right="0" w:firstLine="360"/>
        <w:jc w:val="center"/>
        <w:rPr/>
      </w:pPr>
      <w:r>
        <w:rPr>
          <w:rFonts w:ascii="Times New Roman;serif" w:hAnsi="Times New Roman;serif"/>
          <w:b w:val="false"/>
          <w:color w:val="000000"/>
          <w:sz w:val="20"/>
        </w:rPr>
        <w:t>The accompanying notes are an integral part of these unaudited condensed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84785"/>
                <wp:effectExtent l="0" t="0" r="0" b="0"/>
                <wp:wrapNone/>
                <wp:docPr id="8" name="Frame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Symbotic Inc.</w:t>
      </w:r>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Comprehensive Income (Loss)</w:t>
      </w:r>
    </w:p>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before="60" w:after="283"/>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740"/>
        <w:gridCol w:w="1512"/>
        <w:gridCol w:w="1460"/>
        <w:gridCol w:w="225"/>
        <w:gridCol w:w="771"/>
        <w:gridCol w:w="116"/>
        <w:gridCol w:w="109"/>
        <w:gridCol w:w="109"/>
        <w:gridCol w:w="109"/>
        <w:gridCol w:w="215"/>
        <w:gridCol w:w="792"/>
        <w:gridCol w:w="110"/>
        <w:gridCol w:w="109"/>
        <w:gridCol w:w="109"/>
        <w:gridCol w:w="109"/>
        <w:gridCol w:w="225"/>
        <w:gridCol w:w="771"/>
        <w:gridCol w:w="116"/>
        <w:gridCol w:w="109"/>
        <w:gridCol w:w="109"/>
        <w:gridCol w:w="109"/>
        <w:gridCol w:w="215"/>
        <w:gridCol w:w="791"/>
        <w:gridCol w:w="165"/>
      </w:tblGrid>
      <w:tr>
        <w:trPr/>
        <w:tc>
          <w:tcPr>
            <w:tcW w:w="1740"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For the Nine Months Ended</w:t>
            </w:r>
          </w:p>
        </w:tc>
      </w:tr>
      <w:tr>
        <w:trPr/>
        <w:tc>
          <w:tcPr>
            <w:tcW w:w="4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28, 2025</w:t>
            </w:r>
          </w:p>
        </w:tc>
      </w:tr>
      <w:tr>
        <w:trPr/>
        <w:tc>
          <w:tcPr>
            <w:tcW w:w="471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55,000 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(21,174)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77,787 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(47,884)</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43,327 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(17,251)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61,543 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(38,982)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11,673 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(3,923)</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16,244 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(8,902)</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(467)</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Less: other comprehensive income (loss) attributable to noncontrolling interests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attributable to common stockholders</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54,911 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(21,065)</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77,610 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(48,351)</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Less: Comprehensive income (loss) attributable to noncontrolling interests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43,257 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(17,162)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61,403 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(39,365)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comprehensive income (loss) attributable to common stockholders</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11,654 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(3,903)</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16,207 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(8,986)</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60" w:after="283"/>
        <w:ind w:left="0" w:right="0" w:firstLine="360"/>
        <w:jc w:val="center"/>
        <w:rPr/>
      </w:pPr>
      <w:r>
        <w:rPr>
          <w:rFonts w:ascii="Times New Roman;serif" w:hAnsi="Times New Roman;serif"/>
          <w:b w:val="false"/>
          <w:color w:val="000000"/>
          <w:sz w:val="20"/>
        </w:rPr>
        <w:t>The accompanying notes are an integral part of these unaudited condensed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84785"/>
                <wp:effectExtent l="0" t="0" r="0" b="0"/>
                <wp:wrapNone/>
                <wp:docPr id="9" name="Frame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Symbotic Inc.</w:t>
      </w:r>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Changes in Stockholders’ Equity</w:t>
      </w:r>
    </w:p>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information)</w:t>
      </w:r>
    </w:p>
    <w:p>
      <w:pPr>
        <w:pStyle w:val="TextBody"/>
        <w:bidi w:val="0"/>
        <w:spacing w:before="60" w:after="283"/>
        <w:ind w:left="0" w:right="0" w:firstLine="360"/>
        <w:jc w:val="center"/>
        <w:rPr/>
      </w:pPr>
      <w:r>
        <w:rPr/>
      </w:r>
    </w:p>
    <w:tbl>
      <w:tblPr>
        <w:tblW w:w="15792" w:type="dxa"/>
        <w:jc w:val="left"/>
        <w:tblInd w:w="0" w:type="dxa"/>
        <w:tblLayout w:type="fixed"/>
        <w:tblCellMar>
          <w:top w:w="28" w:type="dxa"/>
          <w:left w:w="28" w:type="dxa"/>
          <w:bottom w:w="28" w:type="dxa"/>
          <w:right w:w="28" w:type="dxa"/>
        </w:tblCellMar>
      </w:tblPr>
      <w:tblGrid>
        <w:gridCol w:w="755"/>
        <w:gridCol w:w="215"/>
        <w:gridCol w:w="216"/>
        <w:gridCol w:w="334"/>
        <w:gridCol w:w="334"/>
        <w:gridCol w:w="338"/>
        <w:gridCol w:w="109"/>
        <w:gridCol w:w="109"/>
        <w:gridCol w:w="109"/>
        <w:gridCol w:w="296"/>
        <w:gridCol w:w="346"/>
        <w:gridCol w:w="109"/>
        <w:gridCol w:w="109"/>
        <w:gridCol w:w="109"/>
        <w:gridCol w:w="109"/>
        <w:gridCol w:w="304"/>
        <w:gridCol w:w="304"/>
        <w:gridCol w:w="308"/>
        <w:gridCol w:w="109"/>
        <w:gridCol w:w="109"/>
        <w:gridCol w:w="109"/>
        <w:gridCol w:w="343"/>
        <w:gridCol w:w="299"/>
        <w:gridCol w:w="109"/>
        <w:gridCol w:w="109"/>
        <w:gridCol w:w="109"/>
        <w:gridCol w:w="109"/>
        <w:gridCol w:w="334"/>
        <w:gridCol w:w="334"/>
        <w:gridCol w:w="338"/>
        <w:gridCol w:w="109"/>
        <w:gridCol w:w="109"/>
        <w:gridCol w:w="109"/>
        <w:gridCol w:w="311"/>
        <w:gridCol w:w="331"/>
        <w:gridCol w:w="109"/>
        <w:gridCol w:w="109"/>
        <w:gridCol w:w="109"/>
        <w:gridCol w:w="109"/>
        <w:gridCol w:w="196"/>
        <w:gridCol w:w="871"/>
        <w:gridCol w:w="109"/>
        <w:gridCol w:w="109"/>
        <w:gridCol w:w="109"/>
        <w:gridCol w:w="109"/>
        <w:gridCol w:w="292"/>
        <w:gridCol w:w="851"/>
        <w:gridCol w:w="163"/>
        <w:gridCol w:w="109"/>
        <w:gridCol w:w="109"/>
        <w:gridCol w:w="109"/>
        <w:gridCol w:w="196"/>
        <w:gridCol w:w="886"/>
        <w:gridCol w:w="109"/>
        <w:gridCol w:w="109"/>
        <w:gridCol w:w="109"/>
        <w:gridCol w:w="109"/>
        <w:gridCol w:w="237"/>
        <w:gridCol w:w="891"/>
        <w:gridCol w:w="133"/>
        <w:gridCol w:w="109"/>
        <w:gridCol w:w="109"/>
        <w:gridCol w:w="109"/>
        <w:gridCol w:w="196"/>
        <w:gridCol w:w="871"/>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6" w:type="dxa"/>
            <w:gridSpan w:val="6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 June 27, 2026</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Class A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Class V-1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Class V-3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Accumulated Other Comprehensive Income/Loss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Noncontrolling Interest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Total Equity</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Balance at March 28, 2026</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127,015,993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71,940,208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403,559,196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2,018,008 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(2,713)</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(1,329,212)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341,521 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1,027,665 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43,327 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stock plans, net of shares withheld for employee taxes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1,348,581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Exchange of Class V-1 common stock</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567,077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(567,077)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Distribution to Symbotic Holdings LLC partners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10,967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40,408 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51,375 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Balance at June 27, 2026</w:t>
            </w:r>
          </w:p>
        </w:tc>
        <w:tc>
          <w:tcPr>
            <w:tcW w:w="10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128,931,651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71,373,131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403,559,196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2,028,978 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(2,732)</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(1,317,539)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425,197 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1,133,966 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before="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84785"/>
                <wp:effectExtent l="0" t="0" r="0" b="0"/>
                <wp:wrapNone/>
                <wp:docPr id="10" name="Frame1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tbl>
      <w:tblPr>
        <w:tblW w:w="15792" w:type="dxa"/>
        <w:jc w:val="left"/>
        <w:tblInd w:w="0" w:type="dxa"/>
        <w:tblLayout w:type="fixed"/>
        <w:tblCellMar>
          <w:top w:w="28" w:type="dxa"/>
          <w:left w:w="28" w:type="dxa"/>
          <w:bottom w:w="28" w:type="dxa"/>
          <w:right w:w="28" w:type="dxa"/>
        </w:tblCellMar>
      </w:tblPr>
      <w:tblGrid>
        <w:gridCol w:w="630"/>
        <w:gridCol w:w="277"/>
        <w:gridCol w:w="279"/>
        <w:gridCol w:w="334"/>
        <w:gridCol w:w="334"/>
        <w:gridCol w:w="338"/>
        <w:gridCol w:w="109"/>
        <w:gridCol w:w="109"/>
        <w:gridCol w:w="109"/>
        <w:gridCol w:w="296"/>
        <w:gridCol w:w="346"/>
        <w:gridCol w:w="109"/>
        <w:gridCol w:w="109"/>
        <w:gridCol w:w="109"/>
        <w:gridCol w:w="109"/>
        <w:gridCol w:w="304"/>
        <w:gridCol w:w="304"/>
        <w:gridCol w:w="308"/>
        <w:gridCol w:w="109"/>
        <w:gridCol w:w="109"/>
        <w:gridCol w:w="109"/>
        <w:gridCol w:w="343"/>
        <w:gridCol w:w="299"/>
        <w:gridCol w:w="109"/>
        <w:gridCol w:w="109"/>
        <w:gridCol w:w="109"/>
        <w:gridCol w:w="109"/>
        <w:gridCol w:w="334"/>
        <w:gridCol w:w="334"/>
        <w:gridCol w:w="338"/>
        <w:gridCol w:w="109"/>
        <w:gridCol w:w="109"/>
        <w:gridCol w:w="109"/>
        <w:gridCol w:w="311"/>
        <w:gridCol w:w="331"/>
        <w:gridCol w:w="109"/>
        <w:gridCol w:w="109"/>
        <w:gridCol w:w="109"/>
        <w:gridCol w:w="109"/>
        <w:gridCol w:w="196"/>
        <w:gridCol w:w="871"/>
        <w:gridCol w:w="109"/>
        <w:gridCol w:w="109"/>
        <w:gridCol w:w="109"/>
        <w:gridCol w:w="109"/>
        <w:gridCol w:w="292"/>
        <w:gridCol w:w="851"/>
        <w:gridCol w:w="163"/>
        <w:gridCol w:w="109"/>
        <w:gridCol w:w="109"/>
        <w:gridCol w:w="109"/>
        <w:gridCol w:w="196"/>
        <w:gridCol w:w="886"/>
        <w:gridCol w:w="109"/>
        <w:gridCol w:w="109"/>
        <w:gridCol w:w="109"/>
        <w:gridCol w:w="109"/>
        <w:gridCol w:w="237"/>
        <w:gridCol w:w="891"/>
        <w:gridCol w:w="133"/>
        <w:gridCol w:w="109"/>
        <w:gridCol w:w="109"/>
        <w:gridCol w:w="109"/>
        <w:gridCol w:w="196"/>
        <w:gridCol w:w="871"/>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6" w:type="dxa"/>
            <w:gridSpan w:val="6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Nine Months Ended June 27, 2026</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Class A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Class V-1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Class V-3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Accumulated Other Comprehensive Income/Loss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Noncontrolling Interest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Total Equity</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Balance at September 27, 2025</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112,635,932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74,693,311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403,559,196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1,564,815 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(2,695)</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(1,340,862)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261,895 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483,213 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Cumulative effect from change in accounting principle</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(8,204)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(4,343)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(5,468)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16,244 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61,543 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77,787 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stock plans, net of shares withheld for employee taxes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4,869,906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purchase plan, net of shares withheld for employee taxes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105,633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3,898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3,898 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Exchange of Class V-1 common stock</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3,320,180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(3,320,180)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(12,312)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Issuance of common stock in connection with equity offering</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424,307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424,308 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Distribution to Symbotic Holdings LLC partners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(1,208)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31,850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119,762 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151,612 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Balance at June 27, 2026</w:t>
            </w:r>
          </w:p>
        </w:tc>
        <w:tc>
          <w:tcPr>
            <w:tcW w:w="10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128,931,651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71,373,131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403,559,196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2,028,978 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(2,732)</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(1,317,539)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425,197 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1,133,966 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tbl>
      <w:tblPr>
        <w:tblW w:w="15657" w:type="dxa"/>
        <w:jc w:val="center"/>
        <w:tblInd w:w="0" w:type="dxa"/>
        <w:tblLayout w:type="fixed"/>
        <w:tblCellMar>
          <w:top w:w="28" w:type="dxa"/>
          <w:left w:w="28" w:type="dxa"/>
          <w:bottom w:w="28" w:type="dxa"/>
          <w:right w:w="28" w:type="dxa"/>
        </w:tblCellMar>
      </w:tblPr>
      <w:tblGrid>
        <w:gridCol w:w="755"/>
        <w:gridCol w:w="215"/>
        <w:gridCol w:w="216"/>
        <w:gridCol w:w="334"/>
        <w:gridCol w:w="334"/>
        <w:gridCol w:w="338"/>
        <w:gridCol w:w="109"/>
        <w:gridCol w:w="109"/>
        <w:gridCol w:w="109"/>
        <w:gridCol w:w="296"/>
        <w:gridCol w:w="346"/>
        <w:gridCol w:w="109"/>
        <w:gridCol w:w="109"/>
        <w:gridCol w:w="109"/>
        <w:gridCol w:w="109"/>
        <w:gridCol w:w="304"/>
        <w:gridCol w:w="304"/>
        <w:gridCol w:w="308"/>
        <w:gridCol w:w="109"/>
        <w:gridCol w:w="109"/>
        <w:gridCol w:w="109"/>
        <w:gridCol w:w="343"/>
        <w:gridCol w:w="299"/>
        <w:gridCol w:w="109"/>
        <w:gridCol w:w="109"/>
        <w:gridCol w:w="109"/>
        <w:gridCol w:w="109"/>
        <w:gridCol w:w="334"/>
        <w:gridCol w:w="334"/>
        <w:gridCol w:w="338"/>
        <w:gridCol w:w="109"/>
        <w:gridCol w:w="109"/>
        <w:gridCol w:w="109"/>
        <w:gridCol w:w="311"/>
        <w:gridCol w:w="331"/>
        <w:gridCol w:w="109"/>
        <w:gridCol w:w="109"/>
        <w:gridCol w:w="109"/>
        <w:gridCol w:w="109"/>
        <w:gridCol w:w="196"/>
        <w:gridCol w:w="871"/>
        <w:gridCol w:w="109"/>
        <w:gridCol w:w="109"/>
        <w:gridCol w:w="109"/>
        <w:gridCol w:w="109"/>
        <w:gridCol w:w="292"/>
        <w:gridCol w:w="851"/>
        <w:gridCol w:w="163"/>
        <w:gridCol w:w="109"/>
        <w:gridCol w:w="109"/>
        <w:gridCol w:w="109"/>
        <w:gridCol w:w="196"/>
        <w:gridCol w:w="886"/>
        <w:gridCol w:w="109"/>
        <w:gridCol w:w="109"/>
        <w:gridCol w:w="109"/>
        <w:gridCol w:w="109"/>
        <w:gridCol w:w="237"/>
        <w:gridCol w:w="891"/>
        <w:gridCol w:w="133"/>
        <w:gridCol w:w="109"/>
        <w:gridCol w:w="109"/>
        <w:gridCol w:w="109"/>
        <w:gridCol w:w="196"/>
        <w:gridCol w:w="736"/>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1" w:type="dxa"/>
            <w:gridSpan w:val="6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 June 28, 2025</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Class A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Class V-1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Class V-3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Noncontrolling Interest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Total Equity</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Balance at March 29, 2025</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108,380,772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76,223,325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404,309,196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1,535,899 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(2,698)</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(1,328,165)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215,118 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420,214 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(3,923)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(17,251)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(21,174)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stock plans, net of shares withheld for employee taxes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914,007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Exchange of Class V-1 and V-3 common stock</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958,154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(208,154)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(1,218)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Distributions to Symbotic Holdings LLC partners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7,658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33,306 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40,964 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Balance at June 28, 2025</w:t>
            </w:r>
          </w:p>
        </w:tc>
        <w:tc>
          <w:tcPr>
            <w:tcW w:w="10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110,252,933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76,015,171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403,559,196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1,544,769 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(2,678)</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(1,332,088)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230,100 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440,163 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84785"/>
                <wp:effectExtent l="0" t="0" r="0" b="0"/>
                <wp:wrapNone/>
                <wp:docPr id="11" name="Frame1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tbl>
      <w:tblPr>
        <w:tblW w:w="15657" w:type="dxa"/>
        <w:jc w:val="left"/>
        <w:tblInd w:w="0" w:type="dxa"/>
        <w:tblLayout w:type="fixed"/>
        <w:tblCellMar>
          <w:top w:w="28" w:type="dxa"/>
          <w:left w:w="28" w:type="dxa"/>
          <w:bottom w:w="28" w:type="dxa"/>
          <w:right w:w="28" w:type="dxa"/>
        </w:tblCellMar>
      </w:tblPr>
      <w:tblGrid>
        <w:gridCol w:w="630"/>
        <w:gridCol w:w="277"/>
        <w:gridCol w:w="279"/>
        <w:gridCol w:w="334"/>
        <w:gridCol w:w="334"/>
        <w:gridCol w:w="338"/>
        <w:gridCol w:w="109"/>
        <w:gridCol w:w="109"/>
        <w:gridCol w:w="109"/>
        <w:gridCol w:w="296"/>
        <w:gridCol w:w="346"/>
        <w:gridCol w:w="109"/>
        <w:gridCol w:w="109"/>
        <w:gridCol w:w="109"/>
        <w:gridCol w:w="109"/>
        <w:gridCol w:w="304"/>
        <w:gridCol w:w="304"/>
        <w:gridCol w:w="308"/>
        <w:gridCol w:w="109"/>
        <w:gridCol w:w="109"/>
        <w:gridCol w:w="109"/>
        <w:gridCol w:w="343"/>
        <w:gridCol w:w="299"/>
        <w:gridCol w:w="109"/>
        <w:gridCol w:w="109"/>
        <w:gridCol w:w="109"/>
        <w:gridCol w:w="109"/>
        <w:gridCol w:w="334"/>
        <w:gridCol w:w="334"/>
        <w:gridCol w:w="338"/>
        <w:gridCol w:w="109"/>
        <w:gridCol w:w="109"/>
        <w:gridCol w:w="109"/>
        <w:gridCol w:w="311"/>
        <w:gridCol w:w="331"/>
        <w:gridCol w:w="109"/>
        <w:gridCol w:w="109"/>
        <w:gridCol w:w="109"/>
        <w:gridCol w:w="109"/>
        <w:gridCol w:w="196"/>
        <w:gridCol w:w="871"/>
        <w:gridCol w:w="109"/>
        <w:gridCol w:w="109"/>
        <w:gridCol w:w="109"/>
        <w:gridCol w:w="109"/>
        <w:gridCol w:w="292"/>
        <w:gridCol w:w="851"/>
        <w:gridCol w:w="163"/>
        <w:gridCol w:w="109"/>
        <w:gridCol w:w="109"/>
        <w:gridCol w:w="109"/>
        <w:gridCol w:w="196"/>
        <w:gridCol w:w="886"/>
        <w:gridCol w:w="109"/>
        <w:gridCol w:w="109"/>
        <w:gridCol w:w="109"/>
        <w:gridCol w:w="109"/>
        <w:gridCol w:w="237"/>
        <w:gridCol w:w="891"/>
        <w:gridCol w:w="133"/>
        <w:gridCol w:w="109"/>
        <w:gridCol w:w="109"/>
        <w:gridCol w:w="109"/>
        <w:gridCol w:w="196"/>
        <w:gridCol w:w="736"/>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1" w:type="dxa"/>
            <w:gridSpan w:val="6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Nine Months Ended June 28, 2025</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Class A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Class V-1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Class V-3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Noncontrolling Interest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Total Equity</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Balance at September 28, 2024</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104,689,377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76,965,386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9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404,309,196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1,522,894 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(2,594)</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(1,323,186)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192,954 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390,128 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(38,982)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(47,884)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stock plans, net of shares withheld for employee taxes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3,853,578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(3,012)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purchase plan, net of shares withheld for employee taxes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206,664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Exchange of Class V-1 and V-3 common stock</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1,503,314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(753,314)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(3,324)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Cancellation of Class V-1 common stock</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(196,901)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Distributions to Symbotic Holdings LLC partners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(1,176)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18,338 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81,011 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99,349 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(383)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Balance at June 28, 2025</w:t>
            </w:r>
          </w:p>
        </w:tc>
        <w:tc>
          <w:tcPr>
            <w:tcW w:w="10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110,252,933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76,015,171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403,559,196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1,544,769 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(2,678)</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(1,332,088)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230,100 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440,163 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84785"/>
                <wp:effectExtent l="0" t="0" r="0" b="0"/>
                <wp:wrapNone/>
                <wp:docPr id="12" name="Frame1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Symbotic Inc.</w:t>
      </w:r>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Cash Flows</w:t>
      </w:r>
    </w:p>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before="60" w:after="283"/>
        <w:ind w:left="0" w:right="0" w:firstLine="360"/>
        <w:jc w:val="left"/>
        <w:rPr/>
      </w:pPr>
      <w:r>
        <w:rPr/>
      </w:r>
    </w:p>
    <w:tbl>
      <w:tblPr>
        <w:tblW w:w="10205" w:type="dxa"/>
        <w:jc w:val="center"/>
        <w:tblInd w:w="0" w:type="dxa"/>
        <w:tblLayout w:type="fixed"/>
        <w:tblCellMar>
          <w:top w:w="28" w:type="dxa"/>
          <w:left w:w="28" w:type="dxa"/>
          <w:bottom w:w="28" w:type="dxa"/>
          <w:right w:w="28" w:type="dxa"/>
        </w:tblCellMar>
      </w:tblPr>
      <w:tblGrid>
        <w:gridCol w:w="2696"/>
        <w:gridCol w:w="2340"/>
        <w:gridCol w:w="2347"/>
        <w:gridCol w:w="211"/>
        <w:gridCol w:w="976"/>
        <w:gridCol w:w="109"/>
        <w:gridCol w:w="109"/>
        <w:gridCol w:w="109"/>
        <w:gridCol w:w="109"/>
        <w:gridCol w:w="211"/>
        <w:gridCol w:w="831"/>
        <w:gridCol w:w="157"/>
      </w:tblGrid>
      <w:tr>
        <w:trPr/>
        <w:tc>
          <w:tcPr>
            <w:tcW w:w="2696"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For the Nine Months Ended</w:t>
            </w:r>
          </w:p>
        </w:tc>
      </w:tr>
      <w:tr>
        <w:trPr/>
        <w:tc>
          <w:tcPr>
            <w:tcW w:w="7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28, 2025</w:t>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pPr>
            <w:r>
              <w:rPr>
                <w:rFonts w:ascii="Times New Roman;serif" w:hAnsi="Times New Roman;serif"/>
                <w:b w:val="false"/>
                <w:color w:val="000000"/>
                <w:sz w:val="16"/>
              </w:rPr>
              <w:t>Revised</w:t>
            </w:r>
            <w:r>
              <w:rPr>
                <w:rFonts w:ascii="Times New Roman;serif" w:hAnsi="Times New Roman;serif"/>
                <w:b w:val="false"/>
                <w:color w:val="000000"/>
                <w:sz w:val="10"/>
              </w:rPr>
              <w:t>1</w:t>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77,787 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(47,884)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operating activities: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30,954 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Amortization of leases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3,172 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Loss from equity method investment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7,831 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Foreign currency losses (gains)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Provision for excess and obsolete inventory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Loss on disposal of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142,919 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92,322 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Gain from strategic investment fair value adjustment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(4,481)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(101,331)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65,570 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(71,145)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(30,187)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(265,836)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52,779 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Deferred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(38,532)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23,582 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35,632 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(61,928)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51,245 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40,544 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63,672 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(7,613)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368,777 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117,288 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(8,888)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305,584 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278,090 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and capitalization of internal use software development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(62,753)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(42,784)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Acquisitions of strategic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(123,247)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(42,225)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Cash paid for business and asset acquisitions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(141,831)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(206,157)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(226,840)</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Payment for taxes related to net share settlement of stock-based compensation awards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(3,012)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proceeds from issuance of common stock under employee stock purchase plan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Proceeds from issuance of Class A common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424,307 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Distributions to or on behalf of Symbotic Holdings LLC partners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(1,175)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426,997 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(954)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526,385 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50,286 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 beginning of period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1,247,193 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730,354 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1,773,578 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780,640 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84785"/>
                <wp:effectExtent l="0" t="0" r="0" b="0"/>
                <wp:wrapNone/>
                <wp:docPr id="13" name="Frame1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tbl>
      <w:tblPr>
        <w:tblW w:w="9398" w:type="dxa"/>
        <w:jc w:val="center"/>
        <w:tblInd w:w="0" w:type="dxa"/>
        <w:tblLayout w:type="fixed"/>
        <w:tblCellMar>
          <w:top w:w="28" w:type="dxa"/>
          <w:left w:w="28" w:type="dxa"/>
          <w:bottom w:w="28" w:type="dxa"/>
          <w:right w:w="28" w:type="dxa"/>
        </w:tblCellMar>
      </w:tblPr>
      <w:tblGrid>
        <w:gridCol w:w="2552"/>
        <w:gridCol w:w="2244"/>
        <w:gridCol w:w="2253"/>
        <w:gridCol w:w="211"/>
        <w:gridCol w:w="616"/>
        <w:gridCol w:w="109"/>
        <w:gridCol w:w="109"/>
        <w:gridCol w:w="109"/>
        <w:gridCol w:w="109"/>
        <w:gridCol w:w="211"/>
        <w:gridCol w:w="721"/>
        <w:gridCol w:w="154"/>
      </w:tblGrid>
      <w:tr>
        <w:trPr/>
        <w:tc>
          <w:tcPr>
            <w:tcW w:w="2552"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Non-cash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obtained in exchange for operating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7,988 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Transfer of equipment from inventories to property and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7,982 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Transfer of equipment from property and equipment to deferred cost</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58,070 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Non-cash contribution to unconsolidated entity</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6,942 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1 - Refer to Note 2 for a description of the revision related to the statement of cash flows for the nine months ended June 28, 2025.</w:t>
      </w:r>
    </w:p>
    <w:p>
      <w:pPr>
        <w:pStyle w:val="TextBody"/>
        <w:bidi w:val="0"/>
        <w:spacing w:lineRule="auto" w:line="288" w:before="60" w:after="283"/>
        <w:jc w:val="center"/>
        <w:rPr/>
      </w:pPr>
      <w:r>
        <w:rPr>
          <w:rFonts w:ascii="Times New Roman;serif" w:hAnsi="Times New Roman;serif"/>
          <w:b w:val="false"/>
          <w:color w:val="000000"/>
          <w:sz w:val="20"/>
        </w:rPr>
        <w:t>The accompanying notes are an integral part of these unaudited condensed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84785"/>
                <wp:effectExtent l="0" t="0" r="0" b="0"/>
                <wp:wrapNone/>
                <wp:docPr id="14" name="Frame1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40" w:before="240" w:after="2"/>
        <w:jc w:val="center"/>
        <w:rPr>
          <w:rFonts w:ascii="Times New Roman;serif" w:hAnsi="Times New Roman;serif"/>
          <w:b/>
          <w:color w:val="000000"/>
          <w:sz w:val="20"/>
        </w:rPr>
      </w:pPr>
      <w:r>
        <w:rPr>
          <w:rFonts w:ascii="Times New Roman;serif" w:hAnsi="Times New Roman;serif"/>
          <w:b/>
          <w:color w:val="000000"/>
          <w:sz w:val="20"/>
        </w:rPr>
        <w:t>Symbotic Inc.</w:t>
      </w:r>
    </w:p>
    <w:p>
      <w:pPr>
        <w:pStyle w:val="TextBody"/>
        <w:bidi w:val="0"/>
        <w:spacing w:lineRule="auto" w:line="240" w:before="2" w:after="2"/>
        <w:jc w:val="center"/>
        <w:rPr>
          <w:rFonts w:ascii="Times New Roman;serif" w:hAnsi="Times New Roman;serif"/>
          <w:b/>
          <w:color w:val="000000"/>
          <w:sz w:val="18"/>
        </w:rPr>
      </w:pPr>
      <w:r>
        <w:rPr>
          <w:rFonts w:ascii="Times New Roman;serif" w:hAnsi="Times New Roman;serif"/>
          <w:b/>
          <w:color w:val="000000"/>
          <w:sz w:val="18"/>
        </w:rPr>
        <w:t>Notes to Unaudited Condensed Consolidated Financial Statements</w:t>
      </w:r>
    </w:p>
    <w:p>
      <w:pPr>
        <w:pStyle w:val="TextBody"/>
        <w:bidi w:val="0"/>
        <w:spacing w:before="60" w:after="283"/>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1. Organization and Operations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SVF Investment Corp. 3, formerly known as SVF Investment III Corp., (“SVF 3” and, after the Domestication as described below, “Symbotic” or the “Company”) was a blank check company incorporated as a Cayman Islands exempted company on December 11, 2020. SVF 3 was incorporated for the purpose of effecting a merger, share exchange, asset acquisition, share purchase, reorganization, or similar business combination with one or more businesses. Warehouse Technologies LLC (“Legacy Warehouse”), a New Hampshire limited liability company, was formed in December 2006 to make investments in companies that develop new technologies to improve operating efficiencies in modern warehouses. Symbotic LLC, a technology company that develops and commercializes innovative technologies for use within warehouse operations, and Symbotic Group Holdings, ULC were wholly-owned subsidiaries of Legacy Warehouse. On December 12, 2021, (i) SVF 3 entered into an Agreement and Plan of Merger (the “Merger Agreement”) with Legacy Warehouse, Symbotic Holdings LLC, a Delaware limited liability company (“Symbotic Holdings”), and Saturn Acquisition (DE) Corp., a Delaware corporation and wholly owned subsidiary of SVF 3 (“Merger Sub”), and (ii) Legacy Warehouse entered into an Agreement and Plan of Merger (the “Company Merger Agreement”) with Symbotic Holdings.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June 7, 2022, as contemplated by the Company Merger Agreement, Legacy Warehouse merged with and into Symbotic Holdings (the “Company Reorganization”), with Symbotic Holdings surviving the merger (“Interim Symbotic”). Immediately following such merger, on June 7, 2022, as contemplated by the Merger Agreement, SVF 3 filed a notice of deregistration with the Cayman Islands Registrar of Companies, together with the necessary accompanying documents, and filed a certificate of incorporation and a certificate of corporate domestication with the Secretary of State of the State of Delaware, under which SVF 3 was transferred by way of continuation from the Cayman Islands and domesticated as a Delaware corporation, changing its name to “Symbotic Inc.” (the “Domestication”). Immediately following the Domestication of SVF 3, on June 7, 2022, as contemplated by the Merger Agreement, Merger Sub merged with and into Interim Symbotic (the “Merger” and, together with the Company Reorganization, the “Business Combination”), with Interim Symbotic surviving the merger as a subsidiary of Symbotic (“New Symbotic Holdings”).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Business Combination resulted in an umbrella partnership corporation (“Up-C”) structure, which is often used by partnerships and limited liability companies (operating as partnerships) undertaking an initial public offering. The Up-C structure allowed Legacy Warehouse equity holders (the “Legacy Warehouse Holders”) to retain their equity ownership in Symbotic Holdings, an entity that is classified as a partnership for U.S. federal income tax purposes, and provides potential future tax benefits for Symbotic when the Legacy Warehouse Holders ultimately redeem their pass-through interests for shares of Class A Common Stock in Symbotic Inc. Under the terms of the Tax Receivable Agreement (“TRA”), 85% of these potential future tax benefits realized by Symbotic Inc. as a result of such redemptions will be paid to certain Legacy Warehouse Holders (the “TRA Holders”).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Symbotic is an automation technology company established to develop technologies to improve operating efficiencies in modern warehouses. The Company’s vision is to make the supply chain work better for everyone. The Company does this by developing, commercializing, and deploying innovative and comprehensive technology solutions that dramatically improve supply chain operations. The Company automates the processing of pallets, cases and individual items in warehouses. Its systems enhance operations at the front end of the supply chain, and therefore benefit all supply partners further down the chain, irrespective of fulfillment strategy.</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headquarters are located in Wilmington, Massachusetts.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84785"/>
                <wp:effectExtent l="0" t="0" r="0" b="0"/>
                <wp:wrapNone/>
                <wp:docPr id="15" name="Frame1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Basis of Presentation and Consolidation</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have been prepared in U.S. dollars, in accordance with accounting principles generally accepted in the United States of America (“GAAP”). Certain information and note disclosures normally included in the Company’s annual audited consolidated financial statements and accompanying notes prepared in accordance with GAAP have been condensed in, or omitted from, these interim financial statements. Accordingly, these unaudited condensed consolidated financial statements included herein should be read in conjunction with the audited consolidated financial statements and accompanying notes thereto as of and for the year ended September 27, 2025, which are included within the Company’s Annual Report on Form 10-K filed with the SEC on November 24, 2025. The September 27, 2025 condensed consolidated balance sheet included herein is derived from the Company’s audited consolidated financial statements.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Amounts reported are computed based on thousands, except percentages, per share amounts, or as otherwise noted. As a result, certain totals may not sum due to rounding.</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include the accounts of the Company and its wholly owned subsidiaries and majority-owned subsidiaries and reflect all adjustments (consisting solely of normal, recurring adjustments) which are, in the opinion of management, necessary for a fair statement of results for the interim periods presented. All intercompany balances and transactions have been eliminated in consolidation. The consolidated financial statements include 100% of the accounts of wholly owned and majority-owned subsidiaries and the ownership interest of the minority investor is recorded as a noncontrolling interest in a subsidiary. The results of operations for the interim periods presented are not necessarily indicative of the results to be expected for any future period or the entire fiscal year.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operates and reports using a 52-53 week fiscal year ending on the last Saturday of September of each calendar year. Each of the Company’s fiscal quarters end on the last Saturday of the third month of each quarter.</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unaudited condensed consolidated financial statements in conformity with GAAP requires management to make estimates, judgments, and assumptions that affect the reported amounts of assets, liabilities, revenue, and expenses, and the amounts disclosed in the related notes to the consolidated financial statements. Actual results and outcomes may differ materially from management’s estimates, judgments, and assumptions. Significant estimates, judgments, and assumptions used in these financial statements include, but are not limited to, those related to revenue, useful lives and realizability of long-lived assets, accounting for income taxes and related valuation allowances, and stock-based compensation. Estimates are periodically reviewed in light of changes in circumstances, facts, and experience. </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Significant Accounting Policies</w:t>
      </w:r>
    </w:p>
    <w:p>
      <w:pPr>
        <w:pStyle w:val="TextBody"/>
        <w:bidi w:val="0"/>
        <w:spacing w:lineRule="auto" w:line="288" w:before="60" w:after="283"/>
        <w:ind w:left="0" w:right="0" w:firstLine="360"/>
        <w:jc w:val="left"/>
        <w:rPr/>
      </w:pPr>
      <w:r>
        <w:rPr>
          <w:rFonts w:ascii="Times New Roman;serif" w:hAnsi="Times New Roman;serif"/>
          <w:b w:val="false"/>
          <w:color w:val="000000"/>
          <w:sz w:val="20"/>
        </w:rPr>
        <w:t xml:space="preserve">The Company’s significant accounting policies are described in Note 2,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to the audited consolidated financial statements and related notes thereto as of and for the year ended September 27, 2025. Except as noted below, there have been no material changes to the significant accounting policies during the three month period ended June 27, 2026.</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Presentation of Restricted Cash</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Restricted cash primarily consists of collateral required for a credit card processing program and a U.S. customs bond. The short-term or long-term classification is determined in accordance with the required amount of time the cash is to be held as collateral, which is short-term for less than 12 months, and long-term for greater than 12 months from the balance sheet date.</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end-of-period cash and cash equivalents from the Company’s consolidated balance sheets and the total cash, cash equivalents, and restricted cash as presented on the accompanying consolidated statements of cash flows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84785"/>
                <wp:effectExtent l="0" t="0" r="0" b="0"/>
                <wp:wrapNone/>
                <wp:docPr id="16" name="Frame1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tbl>
      <w:tblPr>
        <w:tblW w:w="9452" w:type="dxa"/>
        <w:jc w:val="left"/>
        <w:tblInd w:w="0" w:type="dxa"/>
        <w:tblLayout w:type="fixed"/>
        <w:tblCellMar>
          <w:top w:w="28" w:type="dxa"/>
          <w:left w:w="28" w:type="dxa"/>
          <w:bottom w:w="28" w:type="dxa"/>
          <w:right w:w="28" w:type="dxa"/>
        </w:tblCellMar>
      </w:tblPr>
      <w:tblGrid>
        <w:gridCol w:w="2401"/>
        <w:gridCol w:w="2107"/>
        <w:gridCol w:w="2122"/>
        <w:gridCol w:w="211"/>
        <w:gridCol w:w="976"/>
        <w:gridCol w:w="109"/>
        <w:gridCol w:w="109"/>
        <w:gridCol w:w="109"/>
        <w:gridCol w:w="109"/>
        <w:gridCol w:w="212"/>
        <w:gridCol w:w="832"/>
        <w:gridCol w:w="155"/>
      </w:tblGrid>
      <w:tr>
        <w:trPr/>
        <w:tc>
          <w:tcPr>
            <w:tcW w:w="2401"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28, 2025</w:t>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1,746,446 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777,576 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Restricted cash classified in:</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shown in the statements of cash flows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1,773,578 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780,640 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Volume of Business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concentration in the volume of purchases it conducts with its suppliers. For the three and nine months ended June 27, 2026, there was one supplier that accounted for greater than 10% of total purchases, and the aggregate purchases from this supplier amounted to $78.6 million and $202.7 million, respectively. For the three months ended June 28, 2025, there were two suppliers that accounted for greater than 10% of total purchases, and the aggregate purchases from these suppliers amounted to $96.1 million. For the nine months ended June 28, 2025, there was one supplier that accounted for greater than 10% of total purchases, and the aggregate purchases from this supplier amounted to $151.8 million.</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Revision of Previously Issued Unaudited Interim Consolidated Financial Statements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revised the consolidated statement of cash flows included in the Company’s unaudited interim consolidated financial statements for the nine months ended June 28, 2025 to reflect an updated presentation and classification of certain cash flows. The revision relates to the cash flow presentation of consideration payable to customer of $45.0 million and an employee cost reimbursement asset of $13.2 million, both of which were related to the Company’s acquisition of 100% of the outstanding common stock of ASR from Walmart. These items were subsequently determined to represent separate transactions and, accordingly, have been reclassified from investing activities to operating activities in the consolidated statement of cash flows. As a result of this revision, the consolidated statement of cash flows for the nine months ended June 28, 2025 reflects the following changes:</w:t>
      </w:r>
    </w:p>
    <w:tbl>
      <w:tblPr>
        <w:tblW w:w="7352" w:type="dxa"/>
        <w:jc w:val="left"/>
        <w:tblInd w:w="0" w:type="dxa"/>
        <w:tblLayout w:type="fixed"/>
        <w:tblCellMar>
          <w:top w:w="28" w:type="dxa"/>
          <w:left w:w="28" w:type="dxa"/>
          <w:bottom w:w="28" w:type="dxa"/>
          <w:right w:w="28" w:type="dxa"/>
        </w:tblCellMar>
      </w:tblPr>
      <w:tblGrid>
        <w:gridCol w:w="1357"/>
        <w:gridCol w:w="1191"/>
        <w:gridCol w:w="1201"/>
        <w:gridCol w:w="211"/>
        <w:gridCol w:w="901"/>
        <w:gridCol w:w="109"/>
        <w:gridCol w:w="211"/>
        <w:gridCol w:w="796"/>
        <w:gridCol w:w="109"/>
        <w:gridCol w:w="211"/>
        <w:gridCol w:w="901"/>
        <w:gridCol w:w="154"/>
      </w:tblGrid>
      <w:tr>
        <w:trPr/>
        <w:tc>
          <w:tcPr>
            <w:tcW w:w="1357"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For the Nine Months Ended</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28, 2025</w:t>
            </w:r>
          </w:p>
        </w:tc>
      </w:tr>
      <w:tr>
        <w:trPr/>
        <w:tc>
          <w:tcPr>
            <w:tcW w:w="37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Reported</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Adjustment</w:t>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Revised</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Prepaid expenses and other current assets</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65,948 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52,779 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(61,928)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336,259 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(58,169)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278,090 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Cash paid for business and asset acquisitions</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58,169 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(141,831)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(285,009)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58,169 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(226,840)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1 - Reported for the nine months ended June 28, 2025 reflects cash flow statement balances after giving effect to the change in accounting principle discussed below in Note 2.</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revision affects only the presentation and classification of cash flows and had no impact on the Company’s assets, revenues, net loss, net loss attributable to common stockholders, or basic and diluted loss per share for the three and nine months ended June 28, 2025. </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Recent Accounting Pronouncements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2023, the FASB issued ASU 2023-09, “Income Taxes (Topic 740): Improvements to Income Tax Disclosures” (“ASU 2023-09”). ASU 2023-09 requires public entities, on an annual basis, to provide: a tabular rate reconciliation (using both percentages and reporting currency amounts) of (1) the reported income tax expense (or benefit) from continuing operations, to (2) the product of the income (or loss) from continuing operations before income taxes and the applicable statutory federal (national) income tax rate of the jurisdiction (country) of domicile using specific categories, and separate disclosure for any reconciling items within certain categories that are equal to or greater than a specified quantitative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84785"/>
                <wp:effectExtent l="0" t="0" r="0" b="0"/>
                <wp:wrapNone/>
                <wp:docPr id="17" name="Frame1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threshold. For each annual period presented, ASU 2023-09 also requires all reporting entities to disclose the year-to-date amount of income taxes paid (net of refunds received) disaggregated by federal (national), state, and foreign. It also requires additional disaggregated information on income taxes paid (net of refunds received) to an individual jurisdiction equal to or greater than 5% of total income taxes paid (net of refunds received). ASU 2023-09 is effective for public entities for fiscal years beginning after December 15, 2024. ASU 2023-09 is to be applied on a prospective basis with the option to apply the standard retrospectively. Early adoption is permitted. The Company will adopt this standard and disclose any impact from this standard in its fiscal year 2026 consolidated financial statements.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 Disaggregation of Income Statement Expenses” (“ASU 2024-03”), which requires additional disclosure about specified categories of expenses included in relevant expense captions presented on the income statement. The amendments are effective for annual periods beginning after December 15, 2026, and for interim periods within fiscal years beginning after December 15, 2027. Early adoption is permitted. The amendments may be applied either prospectively or retrospectively. The Company is currently evaluating the impact that ASU 2024-03 will have on its disclosures.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considers the applicability and impact of all ASUs issued by the FASB. There are no other accounting pronouncements which have been issued but are not yet effective that would have a material impact on the consolidated financial statements when adopted.</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Recent Legislation</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signed into law in the United States. Key provisions of the OBBBA include permanent extension of once-temporary provisions of the Tax Cuts and Jobs Act of 2017, along with the introduction of other significant changes that may impact the Company. The legislation has multiple effective dates, with certain provisions effective in the Company’s fiscal year 2025 and others implemented through the Company’s fiscal year 2028. The Company continues to evaluate the impact of the OBBBA and has included the impact of changes in the law that were effective during its fiscal year 2025 in the results of its consolidated financial statements.</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Change in Accounting Principle - Stock-Based Compensation</w:t>
      </w:r>
    </w:p>
    <w:p>
      <w:pPr>
        <w:pStyle w:val="TextBody"/>
        <w:bidi w:val="0"/>
        <w:spacing w:lineRule="auto" w:line="288" w:before="60" w:after="283"/>
        <w:ind w:left="0" w:right="0" w:firstLine="360"/>
        <w:jc w:val="left"/>
        <w:rPr/>
      </w:pPr>
      <w:r>
        <w:rPr>
          <w:rFonts w:ascii="Times New Roman;serif" w:hAnsi="Times New Roman;serif"/>
          <w:b w:val="false"/>
          <w:color w:val="000000"/>
          <w:sz w:val="20"/>
        </w:rPr>
        <w:t>In the first quarter of fiscal year 2026, the Company changed its stock-based compensation policy for recognizing expense for graded vesting awards with only service conditions from the accelerated attribution method to the straight-line attribution method. In connection with the Business Combination in June 2022, the Company granted restricted stock unit (“RSU”) awards with accelerated vesting terms. As those RSU awards with accelerated vesting terms have fully vested since the Business Combination, the Company believes the straight-line attribution method for stock-based compensation expense for awards solely subject to time-based vesting conditions is the preferable accounting policy in accordance with Accounting Standards Codification (“ASC”) Topic 718</w:t>
      </w:r>
      <w:r>
        <w:rPr>
          <w:rFonts w:ascii="Times New Roman;serif" w:hAnsi="Times New Roman;serif"/>
          <w:b w:val="false"/>
          <w:i/>
          <w:color w:val="000000"/>
          <w:sz w:val="20"/>
        </w:rPr>
        <w:t xml:space="preserve">, Compensation - Stock Compensation </w:t>
      </w:r>
      <w:r>
        <w:rPr>
          <w:rFonts w:ascii="Times New Roman;serif" w:hAnsi="Times New Roman;serif"/>
          <w:b w:val="false"/>
          <w:color w:val="000000"/>
          <w:sz w:val="20"/>
        </w:rPr>
        <w:t xml:space="preserve">(“ASC Topic 718”) because it more accurately reflects how the Company’s ongoing equity awards are earned over the service period and is the predominant method used in its industry. The Company applied the change retrospectively adjusting all periods presented and recorded a cumulative effect adjustment to additional paid-in capital, prepaid expenses and other current assets, and accumulated deficit as of September 27, 2025, resulting in a decrease to additional paid-in capital of $8.2 million, a decrease in GreenBox Systems LLC, which is now doing business as Exol (“Exol”), accounts receivable due from the shared services agreement of $5.5 million and a decrease to accumulated deficit of $7.1 million before giving effect to the impact to the noncontrolling interest. For the year ended September 28, 2024, the cumulative effect of the change in accounting principle on additional paid-in capital and accumulated deficit was a decrease to additional paid-in capital of $0.8 million and an increase to accumulated deficit of $0.7 million. For the three and nine months ended June 27, 2026, the change in accounting principle decreased net income by $2.2 million and increased net income by $5.7 million, respectively. For the three months ended June 27, 2026, there was no effect of the change in accounting principle on basic or diluted earnings per share (“EPS”). For the nine months ended June 27, 2026, the effect of the change in accounting principle on basic EPS was a $0.01 decrease per share of Class A common stock and there was no effect of the change in accounting principle on diluted EPS.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effect of the change in accounting policy and the impact on the Company’s unaudited condensed consolidated financial statements and the consolidated financial statements for the periods presented (in thousands, except per share data):</w:t>
      </w:r>
    </w:p>
    <w:p>
      <w:pPr>
        <w:pStyle w:val="TextBody"/>
        <w:bidi w:val="0"/>
        <w:spacing w:before="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84785"/>
                <wp:effectExtent l="0" t="0" r="0" b="0"/>
                <wp:wrapNone/>
                <wp:docPr id="18" name="Frame1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090"/>
        <w:gridCol w:w="779"/>
        <w:gridCol w:w="785"/>
        <w:gridCol w:w="439"/>
        <w:gridCol w:w="2166"/>
        <w:gridCol w:w="226"/>
        <w:gridCol w:w="109"/>
        <w:gridCol w:w="109"/>
        <w:gridCol w:w="109"/>
        <w:gridCol w:w="443"/>
        <w:gridCol w:w="2187"/>
        <w:gridCol w:w="229"/>
        <w:gridCol w:w="109"/>
        <w:gridCol w:w="109"/>
        <w:gridCol w:w="109"/>
        <w:gridCol w:w="244"/>
        <w:gridCol w:w="780"/>
        <w:gridCol w:w="183"/>
      </w:tblGrid>
      <w:tr>
        <w:trPr/>
        <w:tc>
          <w:tcPr>
            <w:tcW w:w="1090"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1"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As of September 27, 2025</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As Computed Under Accelerated Attribution Method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As Computed Under Straight-line Attribution Method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Effect of Change</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92,050 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86,582 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(5,468)</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43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6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1,564,815 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8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1,556,611 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(8,204)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43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6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(1,340,862)</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8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(1,333,783)</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7,079 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43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6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261,895 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8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257,552 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(4,343)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tbl>
      <w:tblPr>
        <w:tblW w:w="10205" w:type="dxa"/>
        <w:jc w:val="left"/>
        <w:tblInd w:w="0" w:type="dxa"/>
        <w:tblLayout w:type="fixed"/>
        <w:tblCellMar>
          <w:top w:w="28" w:type="dxa"/>
          <w:left w:w="28" w:type="dxa"/>
          <w:bottom w:w="28" w:type="dxa"/>
          <w:right w:w="28" w:type="dxa"/>
        </w:tblCellMar>
      </w:tblPr>
      <w:tblGrid>
        <w:gridCol w:w="1289"/>
        <w:gridCol w:w="908"/>
        <w:gridCol w:w="916"/>
        <w:gridCol w:w="481"/>
        <w:gridCol w:w="1884"/>
        <w:gridCol w:w="248"/>
        <w:gridCol w:w="109"/>
        <w:gridCol w:w="109"/>
        <w:gridCol w:w="109"/>
        <w:gridCol w:w="485"/>
        <w:gridCol w:w="1902"/>
        <w:gridCol w:w="250"/>
        <w:gridCol w:w="109"/>
        <w:gridCol w:w="109"/>
        <w:gridCol w:w="109"/>
        <w:gridCol w:w="241"/>
        <w:gridCol w:w="766"/>
        <w:gridCol w:w="181"/>
      </w:tblGrid>
      <w:tr>
        <w:trPr/>
        <w:tc>
          <w:tcPr>
            <w:tcW w:w="128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For the Three Months Ended</w:t>
            </w:r>
          </w:p>
        </w:tc>
      </w:tr>
      <w:tr>
        <w:trPr/>
        <w:tc>
          <w:tcPr>
            <w:tcW w:w="3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3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As Computed Under Accelerated Attribution Method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As Computed Under Straight-line Attribution Method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Effect of Change</w:t>
            </w:r>
          </w:p>
        </w:tc>
      </w:tr>
      <w:tr>
        <w:trPr/>
        <w:tc>
          <w:tcPr>
            <w:tcW w:w="311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Systems cost of revenue</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457,911 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453,967 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(3,944)</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Software maintenance and support cost of revenue</w:t>
            </w:r>
          </w:p>
        </w:tc>
        <w:tc>
          <w:tcPr>
            <w:tcW w:w="236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1,756 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1,705 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Operation services cost of revenue</w:t>
            </w:r>
          </w:p>
        </w:tc>
        <w:tc>
          <w:tcPr>
            <w:tcW w:w="236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24,832 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24,607 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236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484,499 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480,279 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(4,220)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36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107,622 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111,842 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4,220 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236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52,147 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49,729 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(2,418)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236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75,670 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71,557 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(4,113)</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36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144,178 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137,647 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(6,531)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236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(36,556)</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(25,805)</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10,751 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Loss before income tax and equity method investment</w:t>
            </w:r>
          </w:p>
        </w:tc>
        <w:tc>
          <w:tcPr>
            <w:tcW w:w="236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(28,105)</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(17,354)</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10,751 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36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36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(31,925)</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(21,174)</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10,751 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236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(26,012)</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(17,251)</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8,761 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48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88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(5,913)</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90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(3,923)</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1,990 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Loss per share of Class A Common Stock:</w:t>
            </w:r>
          </w:p>
        </w:tc>
        <w:tc>
          <w:tcPr>
            <w:tcW w:w="2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48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88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90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84785"/>
                <wp:effectExtent l="0" t="0" r="0" b="0"/>
                <wp:wrapNone/>
                <wp:docPr id="19" name="Frame1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77"/>
        <w:gridCol w:w="889"/>
        <w:gridCol w:w="897"/>
        <w:gridCol w:w="429"/>
        <w:gridCol w:w="1989"/>
        <w:gridCol w:w="222"/>
        <w:gridCol w:w="109"/>
        <w:gridCol w:w="109"/>
        <w:gridCol w:w="109"/>
        <w:gridCol w:w="433"/>
        <w:gridCol w:w="2008"/>
        <w:gridCol w:w="223"/>
        <w:gridCol w:w="109"/>
        <w:gridCol w:w="109"/>
        <w:gridCol w:w="109"/>
        <w:gridCol w:w="240"/>
        <w:gridCol w:w="762"/>
        <w:gridCol w:w="182"/>
      </w:tblGrid>
      <w:tr>
        <w:trPr/>
        <w:tc>
          <w:tcPr>
            <w:tcW w:w="127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For the Nine Months Ended</w:t>
            </w:r>
          </w:p>
        </w:tc>
      </w:tr>
      <w:tr>
        <w:trPr/>
        <w:tc>
          <w:tcPr>
            <w:tcW w:w="3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3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As Computed Under Accelerated Attribution Method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As Computed Under Straight-line Attribution Method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Effect of Change</w:t>
            </w:r>
          </w:p>
        </w:tc>
      </w:tr>
      <w:tr>
        <w:trPr/>
        <w:tc>
          <w:tcPr>
            <w:tcW w:w="306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Systems cost of revenue</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1,254,289 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1,246,745 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(7,544)</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Software maintenance and support cost of revenue</w:t>
            </w:r>
          </w:p>
        </w:tc>
        <w:tc>
          <w:tcPr>
            <w:tcW w:w="241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5,735 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5,593 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Operation services cost of revenue</w:t>
            </w:r>
          </w:p>
        </w:tc>
        <w:tc>
          <w:tcPr>
            <w:tcW w:w="241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72,952 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72,476 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(476)</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241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1,332,976 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1,324,814 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(8,162)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41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295,489 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303,651 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8,162 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241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157,279 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150,967 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(6,312)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241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215,092 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205,567 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(9,525)</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41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388,732 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372,895 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(15,837)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241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(93,243)</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(69,244)</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23,999 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Loss before income tax and equity method investment</w:t>
            </w:r>
          </w:p>
        </w:tc>
        <w:tc>
          <w:tcPr>
            <w:tcW w:w="241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(65,256)</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(41,257)</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23,999 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241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1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(71,883)</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(47,884)</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23,999 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241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(58,569)</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(38,982)</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19,587 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42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98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(13,314)</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00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(8,902)</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4,412 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Loss per share of Class A Common Stock:</w:t>
            </w:r>
          </w:p>
        </w:tc>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42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98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00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84785"/>
                <wp:effectExtent l="0" t="0" r="0" b="0"/>
                <wp:wrapNone/>
                <wp:docPr id="20" name="Frame2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419"/>
        <w:gridCol w:w="1098"/>
        <w:gridCol w:w="1106"/>
        <w:gridCol w:w="432"/>
        <w:gridCol w:w="1693"/>
        <w:gridCol w:w="223"/>
        <w:gridCol w:w="109"/>
        <w:gridCol w:w="109"/>
        <w:gridCol w:w="109"/>
        <w:gridCol w:w="436"/>
        <w:gridCol w:w="1708"/>
        <w:gridCol w:w="225"/>
        <w:gridCol w:w="109"/>
        <w:gridCol w:w="109"/>
        <w:gridCol w:w="109"/>
        <w:gridCol w:w="225"/>
        <w:gridCol w:w="817"/>
        <w:gridCol w:w="169"/>
      </w:tblGrid>
      <w:tr>
        <w:trPr/>
        <w:tc>
          <w:tcPr>
            <w:tcW w:w="141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For the Nine Months Ended</w:t>
            </w:r>
          </w:p>
        </w:tc>
      </w:tr>
      <w:tr>
        <w:trPr/>
        <w:tc>
          <w:tcPr>
            <w:tcW w:w="3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3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As Computed Under Accelerated Attribution Method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As Computed Under Straight-line Attribution Method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Effect of Change</w:t>
            </w:r>
          </w:p>
        </w:tc>
      </w:tr>
      <w:tr>
        <w:trPr/>
        <w:tc>
          <w:tcPr>
            <w:tcW w:w="3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Revised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2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43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9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(71,883)</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70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(47,884)</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23,999 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operating activities:</w:t>
            </w:r>
          </w:p>
        </w:tc>
        <w:tc>
          <w:tcPr>
            <w:tcW w:w="2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2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30,954 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30,954 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Amortization of leases</w:t>
            </w:r>
          </w:p>
        </w:tc>
        <w:tc>
          <w:tcPr>
            <w:tcW w:w="212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3,172 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3,172 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Loss on equity method investment</w:t>
            </w:r>
          </w:p>
        </w:tc>
        <w:tc>
          <w:tcPr>
            <w:tcW w:w="212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7,831 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7,831 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Foreign currency gains</w:t>
            </w:r>
          </w:p>
        </w:tc>
        <w:tc>
          <w:tcPr>
            <w:tcW w:w="212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Loss on disposal of assets</w:t>
            </w:r>
          </w:p>
        </w:tc>
        <w:tc>
          <w:tcPr>
            <w:tcW w:w="212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Provision for excess and obsolete inventory</w:t>
            </w:r>
          </w:p>
        </w:tc>
        <w:tc>
          <w:tcPr>
            <w:tcW w:w="212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4,901 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4,901 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212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119,568 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92,322 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(27,246)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Gain from strategic investment fair value adjustment</w:t>
            </w:r>
          </w:p>
        </w:tc>
        <w:tc>
          <w:tcPr>
            <w:tcW w:w="212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(4,481)</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(4,481)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2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12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65,570 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65,570 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212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(30,187)</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(30,187)</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212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62,701 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52,779 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(9,922)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Deferred expenses</w:t>
            </w:r>
          </w:p>
        </w:tc>
        <w:tc>
          <w:tcPr>
            <w:tcW w:w="212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23,582 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23,582 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212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(16,928)</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(61,928)</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(45,000)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2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40,544 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40,544 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212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(7,613)</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(7,613)</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212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117,288 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117,288 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212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(8,888)</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(8,888)</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4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336,259 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278,090 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(58,169)</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3. Noncontrolling Interests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Noncontrolling interests represent the portion of net assets in consolidated entities that are not owned by the Company.</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ownership of the stock of the Company for the three and nine months ended June 27,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84785"/>
                <wp:effectExtent l="0" t="0" r="0" b="0"/>
                <wp:wrapNone/>
                <wp:docPr id="21" name="Frame2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tbl>
      <w:tblPr>
        <w:tblW w:w="12173" w:type="dxa"/>
        <w:jc w:val="left"/>
        <w:tblInd w:w="0" w:type="dxa"/>
        <w:tblLayout w:type="fixed"/>
        <w:tblCellMar>
          <w:top w:w="28" w:type="dxa"/>
          <w:left w:w="28" w:type="dxa"/>
          <w:bottom w:w="28" w:type="dxa"/>
          <w:right w:w="28" w:type="dxa"/>
        </w:tblCellMar>
      </w:tblPr>
      <w:tblGrid>
        <w:gridCol w:w="393"/>
        <w:gridCol w:w="306"/>
        <w:gridCol w:w="307"/>
        <w:gridCol w:w="593"/>
        <w:gridCol w:w="593"/>
        <w:gridCol w:w="458"/>
        <w:gridCol w:w="109"/>
        <w:gridCol w:w="109"/>
        <w:gridCol w:w="109"/>
        <w:gridCol w:w="721"/>
        <w:gridCol w:w="465"/>
        <w:gridCol w:w="458"/>
        <w:gridCol w:w="109"/>
        <w:gridCol w:w="109"/>
        <w:gridCol w:w="109"/>
        <w:gridCol w:w="593"/>
        <w:gridCol w:w="593"/>
        <w:gridCol w:w="285"/>
        <w:gridCol w:w="109"/>
        <w:gridCol w:w="109"/>
        <w:gridCol w:w="109"/>
        <w:gridCol w:w="686"/>
        <w:gridCol w:w="395"/>
        <w:gridCol w:w="458"/>
        <w:gridCol w:w="109"/>
        <w:gridCol w:w="109"/>
        <w:gridCol w:w="109"/>
        <w:gridCol w:w="721"/>
        <w:gridCol w:w="270"/>
        <w:gridCol w:w="458"/>
        <w:gridCol w:w="109"/>
        <w:gridCol w:w="109"/>
        <w:gridCol w:w="109"/>
        <w:gridCol w:w="540"/>
        <w:gridCol w:w="541"/>
        <w:gridCol w:w="704"/>
      </w:tblGrid>
      <w:tr>
        <w:trPr/>
        <w:tc>
          <w:tcPr>
            <w:tcW w:w="39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7"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Class V-1 and Class V-3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Class V-1 and Class V-3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127,015,993 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475,499,404 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602,515,397 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112,635,932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478,252,507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590,888,439</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Issuances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1,348,581 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1,348,581 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12,975,539 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12,975,539 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Exchanges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567,077 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(567,077)</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3,320,180 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(3,320,180)</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7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Balance at June 27, 2026</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128,931,651 </w:t>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474,932,327 </w:t>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603,863,978 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128,931,651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474,932,327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603,863,978</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Percent ownership at June 27, 2026</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45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45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8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45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45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70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ownership of the stock of the Company for the three and nine months ended June 28, 2025.</w:t>
      </w:r>
    </w:p>
    <w:tbl>
      <w:tblPr>
        <w:tblW w:w="12444" w:type="dxa"/>
        <w:jc w:val="left"/>
        <w:tblInd w:w="0" w:type="dxa"/>
        <w:tblLayout w:type="fixed"/>
        <w:tblCellMar>
          <w:top w:w="28" w:type="dxa"/>
          <w:left w:w="28" w:type="dxa"/>
          <w:bottom w:w="28" w:type="dxa"/>
          <w:right w:w="28" w:type="dxa"/>
        </w:tblCellMar>
      </w:tblPr>
      <w:tblGrid>
        <w:gridCol w:w="633"/>
        <w:gridCol w:w="306"/>
        <w:gridCol w:w="307"/>
        <w:gridCol w:w="593"/>
        <w:gridCol w:w="593"/>
        <w:gridCol w:w="458"/>
        <w:gridCol w:w="109"/>
        <w:gridCol w:w="109"/>
        <w:gridCol w:w="109"/>
        <w:gridCol w:w="721"/>
        <w:gridCol w:w="465"/>
        <w:gridCol w:w="458"/>
        <w:gridCol w:w="109"/>
        <w:gridCol w:w="109"/>
        <w:gridCol w:w="109"/>
        <w:gridCol w:w="593"/>
        <w:gridCol w:w="593"/>
        <w:gridCol w:w="285"/>
        <w:gridCol w:w="109"/>
        <w:gridCol w:w="109"/>
        <w:gridCol w:w="109"/>
        <w:gridCol w:w="593"/>
        <w:gridCol w:w="593"/>
        <w:gridCol w:w="458"/>
        <w:gridCol w:w="109"/>
        <w:gridCol w:w="109"/>
        <w:gridCol w:w="109"/>
        <w:gridCol w:w="721"/>
        <w:gridCol w:w="465"/>
        <w:gridCol w:w="458"/>
        <w:gridCol w:w="109"/>
        <w:gridCol w:w="109"/>
        <w:gridCol w:w="109"/>
        <w:gridCol w:w="593"/>
        <w:gridCol w:w="593"/>
        <w:gridCol w:w="330"/>
      </w:tblGrid>
      <w:tr>
        <w:trPr/>
        <w:tc>
          <w:tcPr>
            <w:tcW w:w="63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8"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28, 2025</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Class V-1 and Class V-3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Class V-1 and Class V-3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108,380,772 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480,532,521 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588,913,293 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104,689,377 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481,274,582 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585,963,959 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Issuances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914,007 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914,007 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4,060,242 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4,060,242 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Exchanges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958,154 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(958,154)</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1,503,314 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(1,503,314)</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Cancellations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(196,901)</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(196,901)</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Balance at June 28, 2025</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110,252,933 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479,574,367 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589,827,300 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110,252,933 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479,574,367 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589,827,300 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Percent ownership at June 28, 2025</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45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45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8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45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45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3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4. Revenue</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generates revenue through its design and installation of supply chain automation systems (the “System”) to automate customers’ depalletizing, storage, selection, and palletization warehousing processes. The System has both a hardware component and an essential software component that enables the System to be programmed to operate within specific customer environments. The Company enters into contracts with customers that can include various combinations of services to design and install the System. These services are generally distinct and accounted for as separate performance obligations. As a result, each customer contract may contain multiple performance obligations. The Company determines whether performance obligations are distinct based on whether the customer can benefit from the good or service on its own or together with other resources that are readily available and whether the Company’s commitment to provide the goods or services to the customer is separately identifiable from other obligations in the contract.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recognizes revenue upon transfer of control of promised goods or services in a contract with a customer, generally as title and risk of loss pass to the customer, in an amount that reflects the consideration the Company expects to receive in exchange for those goods or services. The Company considers the contractual consideration payable by the customer and assesses variable consideration that may affect the total transaction price, including contractual discounts, changes in total System contract cost estimates, contract incentive payments, shipping fees, inflation adjustments, and other sources of variable consideration, when determining the transaction price of each contract. The Company estimates variable consideration for a performance obligation utilizing one of the two prescribed methods, the expected value method or the most likely amount method, depending on which method best predicts the amount of consideration the Company expects to be entitled to or expects to incur. When applying these methods, the Company considers all information that is reasonably available, including historical, current, and estimates of future performance. Variable consideration revenue is recognized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84785"/>
                <wp:effectExtent l="0" t="0" r="0" b="0"/>
                <wp:wrapNone/>
                <wp:docPr id="22" name="Frame2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only to the extent that it is probable that a significant reversal of revenue will not occur or when the uncertainty associated with the variable consideration is resolved, and when collection is considered probable. Changes in circumstances could impact the Company’s estimates made in determining the value of variable consideration recorded. When determining if the variable consideration is constrained, the Company considers if factors exist that could increase the likelihood or the magnitude of a potential reversal of revenue. The Company updates its estimates of variable consideration each reporting period and the effect of changes to those estimates on the transaction price is recognized as an adjustment to revenue on a cumulative catch-up basis. During the second quarter of fiscal year 2026, based on assessment of historical, current, and estimates of future performance, certain amounts which were previously constrained related to contract incentive payments have now been included in the transaction price.</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accounts for all consideration payable to a customer as a reduction of revenue. Consideration payable to a customer may include cash amounts that the Company is obligated to pay or expects to pay a customer, as well as credits or other items that can be applied against amounts owed to the Company from the customer. In instances where the timing of revenue recognition differs from the timing of invoicing, the Company has determined its contracts do not include a significant financing component. Taxes collected from customers, which are subsequently remitted to governmental authorities, are excluded from revenue. Shipping and handling costs billed to customers are included in revenue and the related costs are included in cost of revenue when incurred. The Company presents amounts collected from customers for sales and other taxes net of the related amounts remitted.</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design, assembly, and installation of a System includes substantive customer-specified acceptance criteria that allow the customer to accept or reject Systems that do not meet the customer’s specifications. When the Company cannot objectively determine that acceptance criteria will be met upon contract inception, revenue relating to Systems is deferred and recognized at a point in time upon final acceptance from the customer. If acceptance can be reasonably certain upon contract inception, revenue is recognized over time based on an input method, using a cost-to-cost measure of progress. Under this method, revenue is recorded based on the ratio of costs incurred over total estimated contract costs. This method provides a faithful depiction of the transfer of the System to the customer because the costs incurred represent the Company’s inputs towards satisfying the performance obligation.</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Disaggregation of Revenue</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provides disaggregation of revenue based on product and service type on the condensed consolidated statements of operations as it believes these categories best depict how the nature, amount, timing, and uncertainty of revenue and cash flows are affected by economic factors. </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Contract Balances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accounts receivable, unbilled accounts receivable, and contract liabilities from contracts with customers (in thousands):</w:t>
      </w:r>
    </w:p>
    <w:tbl>
      <w:tblPr>
        <w:tblW w:w="5761" w:type="dxa"/>
        <w:jc w:val="left"/>
        <w:tblInd w:w="0" w:type="dxa"/>
        <w:tblLayout w:type="fixed"/>
        <w:tblCellMar>
          <w:top w:w="28" w:type="dxa"/>
          <w:left w:w="28" w:type="dxa"/>
          <w:bottom w:w="28" w:type="dxa"/>
          <w:right w:w="28" w:type="dxa"/>
        </w:tblCellMar>
      </w:tblPr>
      <w:tblGrid>
        <w:gridCol w:w="902"/>
        <w:gridCol w:w="792"/>
        <w:gridCol w:w="795"/>
        <w:gridCol w:w="211"/>
        <w:gridCol w:w="976"/>
        <w:gridCol w:w="109"/>
        <w:gridCol w:w="109"/>
        <w:gridCol w:w="109"/>
        <w:gridCol w:w="109"/>
        <w:gridCol w:w="259"/>
        <w:gridCol w:w="1201"/>
        <w:gridCol w:w="189"/>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September 27, 2025</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288,533 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186,705 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Unbilled accounts receivable</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459,843 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181,658 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1,736,559 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1,367,244 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change in the opening and closing balances of the Company’s accounts receivable primarily results from the increase in customer System Deployments in the current fiscal year as well as the timing of when customer payments are due. The change in the opening and closing balances of the Company’s unbilled accounts receivable and contract liabilities primarily results from the timing difference between the Company’s performance and customer payments. The Company’s performance obligations are typically satisfied over time as work is performed. Payment from customers can vary and is often received in advance of satisfaction of the performance obligations, resulting in a contract liability balance. When satisfaction of the performance obligations occurs in advance of invoicing or payment being received, an unbilled accounts receivable is generated. During the nine months ended June 27, 2026, the Company recognized $836.3 million of the contract liability balance at September 27, 2025, as revenue upon transfer of the products or services to customers. During the nine months ended June 28, 2025, the Company recognized $567.9 million of the contract liability balance at September 28, 2024, as revenue upon transfer of the products or services to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84785"/>
                <wp:effectExtent l="0" t="0" r="0" b="0"/>
                <wp:wrapNone/>
                <wp:docPr id="23" name="Frame2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Remaining Performance Obligations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Remaining performance obligations represent the aggregate amount of the transaction price allocated to performance obligations not delivered, or partially undelivered, at the end of the reporting period. Remaining performance obligations include deferred revenue plus unbilled amounts not yet recorded in deferred revenue. Remaining performance obligation estimates are subject to change and are affected by several factors, including terminations, changes in scope of contracts, periodic revalidation, adjustments for revenue that have not materialized, adjustments for inflation, and adjustments for currency. The definition of remaining performance obligations excludes those contracts that provide the customer with the right to cancel or terminate the contract without incurring a substantial penalty. For contracts with a duration of greater than one year, the transaction price allocated to performance obligations that are unsatisfied as of June 27, 2026 was $22.5 billion, which is primarily comprised of undelivered or partially undelivered Systems under contract, a substantial majority of which relates to undelivered or partially undelivered Systems in connection with the Master Automation Agreement (“MAA”) with Walmart Inc. (“Walmart”) to implement Systems in all of Walmart’s 42 regional distribution centers, and in connection with the Commercial Agreement with Exol, under which Symbotic will implement its System into Exol distribution center locations. As the Company accounts for Exol as an equity method investment, the remaining performance obligation includes the Company’s proportionate share of unconsolidated variable interest entity contracts. In the second quarter of fiscal year 2025, Symbotic LLC entered into a Master Automation Agreement (“2025 Walmart MAA”), which sets forth the terms and conditions governing the development, manufacture, and installation of online pickup and delivery systems by Symbotic LLC for Walmart. The contingent promise to purchase 400 automated systems for online pickup and delivery at Walmart stores under the 2025 Walmart MAA could increase the Company’s future remaining performance obligation by more than $5.0 billion. The Company expects to recognize approximately 15% of its remaining performance obligations as revenue in the next 12 months, approximately 62% of its remaining performance obligations as revenue within the following 13 to 60 months, and the remaining thereafter, which is dependent on the timing of System installation timelines. The Company does not disclose the value of remaining performance obligations for contracts with an original expected duration of one year or less or for performance obligations where revenue is recognized under the right to invoice practical expedient.</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Significant Customers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three and nine months ended June 27, 2026 and June 28, 2025, there was one customer, including all affiliates, subsidiaries, and consolidated entities, that individually accounted for 10% or more of total revenue. The following table represents this customer’s aggregate percent of total revenue.</w:t>
      </w:r>
    </w:p>
    <w:tbl>
      <w:tblPr>
        <w:tblW w:w="6944" w:type="dxa"/>
        <w:jc w:val="left"/>
        <w:tblInd w:w="0" w:type="dxa"/>
        <w:tblLayout w:type="fixed"/>
        <w:tblCellMar>
          <w:top w:w="28" w:type="dxa"/>
          <w:left w:w="28" w:type="dxa"/>
          <w:bottom w:w="28" w:type="dxa"/>
          <w:right w:w="28" w:type="dxa"/>
        </w:tblCellMar>
      </w:tblPr>
      <w:tblGrid>
        <w:gridCol w:w="391"/>
        <w:gridCol w:w="344"/>
        <w:gridCol w:w="345"/>
        <w:gridCol w:w="257"/>
        <w:gridCol w:w="257"/>
        <w:gridCol w:w="641"/>
        <w:gridCol w:w="146"/>
        <w:gridCol w:w="146"/>
        <w:gridCol w:w="146"/>
        <w:gridCol w:w="257"/>
        <w:gridCol w:w="257"/>
        <w:gridCol w:w="641"/>
        <w:gridCol w:w="109"/>
        <w:gridCol w:w="109"/>
        <w:gridCol w:w="109"/>
        <w:gridCol w:w="257"/>
        <w:gridCol w:w="257"/>
        <w:gridCol w:w="640"/>
        <w:gridCol w:w="138"/>
        <w:gridCol w:w="138"/>
        <w:gridCol w:w="138"/>
        <w:gridCol w:w="255"/>
        <w:gridCol w:w="256"/>
        <w:gridCol w:w="710"/>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28, 2025</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Customer A</w:t>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60" w:after="283"/>
        <w:jc w:val="left"/>
        <w:rPr/>
      </w:pPr>
      <w:r>
        <w:rPr/>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At June 27, 2026 and September 27, 2025, one customer accounted for over 10% of the Company’s accounts receivable balance. The following table represents this customer’s aggregate percent of total accounts receivable.</w:t>
      </w:r>
    </w:p>
    <w:tbl>
      <w:tblPr>
        <w:tblW w:w="4210" w:type="dxa"/>
        <w:jc w:val="left"/>
        <w:tblInd w:w="0" w:type="dxa"/>
        <w:tblLayout w:type="fixed"/>
        <w:tblCellMar>
          <w:top w:w="28" w:type="dxa"/>
          <w:left w:w="28" w:type="dxa"/>
          <w:bottom w:w="28" w:type="dxa"/>
          <w:right w:w="28" w:type="dxa"/>
        </w:tblCellMar>
      </w:tblPr>
      <w:tblGrid>
        <w:gridCol w:w="391"/>
        <w:gridCol w:w="344"/>
        <w:gridCol w:w="345"/>
        <w:gridCol w:w="257"/>
        <w:gridCol w:w="257"/>
        <w:gridCol w:w="640"/>
        <w:gridCol w:w="109"/>
        <w:gridCol w:w="109"/>
        <w:gridCol w:w="109"/>
        <w:gridCol w:w="336"/>
        <w:gridCol w:w="336"/>
        <w:gridCol w:w="977"/>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September 27, 2025</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Customer A</w:t>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concentration in the volume of business transacted with this customer may lead to a material impact on the Company’s results from operations if a total or partial loss of the business relationship were to occur. As of the date of the issuance of these financial statements, the Company is not aware of any specific event or circumstance related to this customer relationship that would result in a material adverse impact to its results of operations or liquidity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5. Leases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leases office space in Wilmington, Massachusetts, Montreal, Canada, Plant City, Florida, Andover, Massachusetts, Milpitas, California, Coppell, Texas, and Ho Chi Minh City, Vietnam through operating lease arrangements.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84785"/>
                <wp:effectExtent l="0" t="0" r="0" b="0"/>
                <wp:wrapNone/>
                <wp:docPr id="24" name="Frame2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Company has no finance lease agreements. The operating lease arrangements expire at various dates through December 2030.</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balance sheet location of the Company’s operating leases for each of the periods presented (in thousands):</w:t>
      </w:r>
    </w:p>
    <w:tbl>
      <w:tblPr>
        <w:tblW w:w="6956" w:type="dxa"/>
        <w:jc w:val="left"/>
        <w:tblInd w:w="0" w:type="dxa"/>
        <w:tblLayout w:type="fixed"/>
        <w:tblCellMar>
          <w:top w:w="28" w:type="dxa"/>
          <w:left w:w="28" w:type="dxa"/>
          <w:bottom w:w="28" w:type="dxa"/>
          <w:right w:w="28" w:type="dxa"/>
        </w:tblCellMar>
      </w:tblPr>
      <w:tblGrid>
        <w:gridCol w:w="1385"/>
        <w:gridCol w:w="1212"/>
        <w:gridCol w:w="1227"/>
        <w:gridCol w:w="234"/>
        <w:gridCol w:w="800"/>
        <w:gridCol w:w="121"/>
        <w:gridCol w:w="109"/>
        <w:gridCol w:w="109"/>
        <w:gridCol w:w="109"/>
        <w:gridCol w:w="320"/>
        <w:gridCol w:w="1096"/>
        <w:gridCol w:w="234"/>
      </w:tblGrid>
      <w:tr>
        <w:trPr/>
        <w:tc>
          <w:tcPr>
            <w:tcW w:w="1385"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September 27, 2025</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ROU assets:</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23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19,255 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23,469 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23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8,050 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7,722 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17,777 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23,958 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25,827 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31,680 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pPr>
      <w:r>
        <w:rPr>
          <w:rFonts w:ascii="Times New Roman;serif" w:hAnsi="Times New Roman;serif"/>
          <w:b w:val="false"/>
          <w:color w:val="000000"/>
          <w:sz w:val="20"/>
        </w:rPr>
        <w:t xml:space="preserve">The following table presents maturities of the Company’s operating lease liabilities as of June 27, 2026, presented under ASC Topic 842,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(in thousands):</w:t>
      </w:r>
    </w:p>
    <w:tbl>
      <w:tblPr>
        <w:tblW w:w="3929" w:type="dxa"/>
        <w:jc w:val="left"/>
        <w:tblInd w:w="0" w:type="dxa"/>
        <w:tblLayout w:type="fixed"/>
        <w:tblCellMar>
          <w:top w:w="28" w:type="dxa"/>
          <w:left w:w="28" w:type="dxa"/>
          <w:bottom w:w="28" w:type="dxa"/>
          <w:right w:w="28" w:type="dxa"/>
        </w:tblCellMar>
      </w:tblPr>
      <w:tblGrid>
        <w:gridCol w:w="989"/>
        <w:gridCol w:w="868"/>
        <w:gridCol w:w="872"/>
        <w:gridCol w:w="233"/>
        <w:gridCol w:w="797"/>
        <w:gridCol w:w="170"/>
      </w:tblGrid>
      <w:tr>
        <w:trPr/>
        <w:tc>
          <w:tcPr>
            <w:tcW w:w="98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Remaining fiscal year 2026</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2,296 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Fiscal year 2027</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9,391 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Fiscal year 2028</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5,592 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Fiscal year 2029</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5,473 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Fiscal year 2030 and thereafter</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7,099 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future minimum payments</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29,851 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Less: Implied interest</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(4,024)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25,827 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uses its estimated incremental borrowing rate, which is derived from information available at the lease commencement date, in determining the present value of operating lease payments. To determine the estimated incremental borrowing rate, the Company uses publicly available credit ratings for peer companies. The Company estimates the incremental borrowing rate using yields for maturities that are in line with the duration of the lease payments. The weighted average discount rate for operating leases as of June 27, 2026 was 7.5%.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27, 2026, the weighted-average remaining lease term of the Company’s operating leases was approximately 2.1 years. Operating cash flows for amounts included in the measurement of the Company’s operating lease liabilities were $5.8 million for the nine months ended June 27,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6. Inventories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Inventories at June 27, 2026 and September 27, 2025 consist of the following (in thousands):</w:t>
      </w:r>
    </w:p>
    <w:tbl>
      <w:tblPr>
        <w:tblW w:w="5770" w:type="dxa"/>
        <w:jc w:val="center"/>
        <w:tblInd w:w="0" w:type="dxa"/>
        <w:tblLayout w:type="fixed"/>
        <w:tblCellMar>
          <w:top w:w="28" w:type="dxa"/>
          <w:left w:w="28" w:type="dxa"/>
          <w:bottom w:w="28" w:type="dxa"/>
          <w:right w:w="28" w:type="dxa"/>
        </w:tblCellMar>
      </w:tblPr>
      <w:tblGrid>
        <w:gridCol w:w="955"/>
        <w:gridCol w:w="841"/>
        <w:gridCol w:w="843"/>
        <w:gridCol w:w="212"/>
        <w:gridCol w:w="833"/>
        <w:gridCol w:w="109"/>
        <w:gridCol w:w="109"/>
        <w:gridCol w:w="109"/>
        <w:gridCol w:w="109"/>
        <w:gridCol w:w="292"/>
        <w:gridCol w:w="1145"/>
        <w:gridCol w:w="213"/>
      </w:tblGrid>
      <w:tr>
        <w:trPr/>
        <w:tc>
          <w:tcPr>
            <w:tcW w:w="95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September 27, 2025</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Raw materials and components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169,381 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133,989 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51,460 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30,401 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220,841 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164,390 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84785"/>
                <wp:effectExtent l="0" t="0" r="0" b="0"/>
                <wp:wrapNone/>
                <wp:docPr id="25" name="Frame2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7. Property and Equipment</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and equipment at June 27, 2026 and September 27, 2025 consists of the following (in thousands):</w:t>
      </w:r>
    </w:p>
    <w:tbl>
      <w:tblPr>
        <w:tblW w:w="10205" w:type="dxa"/>
        <w:jc w:val="left"/>
        <w:tblInd w:w="0" w:type="dxa"/>
        <w:tblLayout w:type="fixed"/>
        <w:tblCellMar>
          <w:top w:w="28" w:type="dxa"/>
          <w:left w:w="28" w:type="dxa"/>
          <w:bottom w:w="28" w:type="dxa"/>
          <w:right w:w="28" w:type="dxa"/>
        </w:tblCellMar>
      </w:tblPr>
      <w:tblGrid>
        <w:gridCol w:w="2592"/>
        <w:gridCol w:w="2260"/>
        <w:gridCol w:w="2267"/>
        <w:gridCol w:w="211"/>
        <w:gridCol w:w="832"/>
        <w:gridCol w:w="109"/>
        <w:gridCol w:w="109"/>
        <w:gridCol w:w="109"/>
        <w:gridCol w:w="109"/>
        <w:gridCol w:w="283"/>
        <w:gridCol w:w="1113"/>
        <w:gridCol w:w="211"/>
      </w:tblGrid>
      <w:tr>
        <w:trPr/>
        <w:tc>
          <w:tcPr>
            <w:tcW w:w="2592"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September 27, 2025</w:t>
            </w:r>
          </w:p>
        </w:tc>
      </w:tr>
      <w:tr>
        <w:trPr/>
        <w:tc>
          <w:tcPr>
            <w:tcW w:w="711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 furniture and fixtures, test equipment, and other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205,960 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151,729 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Internal use software</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5,590 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10,641 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226,327 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167,960 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(67,752)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(50,311)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158,575 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117,649 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27, 2026 and June 28, 2025, depreciation expense was $6.3 million and $7.1 million, respectively. For the nine months ended June 27, 2026 and June 28, 2025, depreciation expense was $18.6 million and $20.3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8. Business Acquisitions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Business acquisition-related costs during the three months ended June 27, 2026 and June 28, 2025 were $0.2 million and $0.4 million, respectively. Business acquisition-related costs during the nine months ended June 27, 2026 and June 28, 2025 were $1.0 million and $7.5 million, respectively. Separate financial results and pro forma financial information for ASR (defined below) have not been presented as the effect of this acquisition was not material to the Company’s financial results.</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Advanced Systems &amp; Robotics Inc.</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January 27, 2025, the Company acquired all of the outstanding equity interests of Walmart’s Advanced Systems &amp; Robotics Inc. (“ASR”) for $200.0 million in cash (the “ASR Acquisition”) pursuant to a Purchase and Sale Agreement with Walmart (the “ASR Purchase Agreement”). The ASR Acquisition is intended to expand the long-standing relationship between Walmart and the Company with the aim of developing an integrated automated supply chain, which is expected to broaden the Company’s product offering beyond the traditional warehouse to eCommerce settings for last mile delivery. The Company finalized its allocation of the purchase price in the second quarter of fiscal year 2026.</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final allocation of the purchase price for ASR and fair values of the assets acquired and liabilities assumed were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84785"/>
                <wp:effectExtent l="0" t="0" r="0" b="0"/>
                <wp:wrapNone/>
                <wp:docPr id="26" name="Frame2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tbl>
      <w:tblPr>
        <w:tblW w:w="5825" w:type="dxa"/>
        <w:jc w:val="left"/>
        <w:tblInd w:w="0" w:type="dxa"/>
        <w:tblLayout w:type="fixed"/>
        <w:tblCellMar>
          <w:top w:w="28" w:type="dxa"/>
          <w:left w:w="28" w:type="dxa"/>
          <w:bottom w:w="28" w:type="dxa"/>
          <w:right w:w="28" w:type="dxa"/>
        </w:tblCellMar>
      </w:tblPr>
      <w:tblGrid>
        <w:gridCol w:w="1675"/>
        <w:gridCol w:w="1476"/>
        <w:gridCol w:w="1483"/>
        <w:gridCol w:w="211"/>
        <w:gridCol w:w="826"/>
        <w:gridCol w:w="154"/>
      </w:tblGrid>
      <w:tr>
        <w:trPr/>
        <w:tc>
          <w:tcPr>
            <w:tcW w:w="1675"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purchase price</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Consideration payable to customer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Employee cost reimbursement asset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(13,169)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Purchase price - business combination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141,831 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Allocation of the purchase price - business combination</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13,749 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24,634 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78,000 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122,867 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38,296 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40,907 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Identifiable net assets acquired</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81,960 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59,871 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purchase price allocation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141,831 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value of the goodwill can be attributed to a number of business factors, including a trained technical workforce, and revenue and cost synergies expected to be realized. The Company expects that most of the goodwill related to the ASR Acquisition will not be deductible for tax purposes.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identified intangible asset acquired is developed technology, which has a gross carrying amount of $78.0 million and has an estimated useful life of 7 years.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applied the multi-period excess earnings method to estimate the fair value of the intangible asset. The total weighted average amortization period for the developed technology intangible asset acquired from Walmart is 7 years. The intangible asset began amortization on the date of acquisition and is amortized on a straight-line basis over its useful life.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9. Intangible Assets and Goodwill</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asset acquisitions in fiscal years 2024, 2025, and 2026, and the ASR Acquisition in January 2025, the Company acquired developed technology, customer relationship, and in-process research and development (“IP R&amp;D”) intangible assets. The developed technology and customer relationship intangible assets will be amortized over a useful life of 3 to 7 years on a straight-line basis. The IP R&amp;D intangible asset is an indefinite-lived intangible asset which is capitalized on the Company’s condensed consolidated balance sheets and measured for impairment. The carrying value of the IP R&amp;D at June 27, 2026 was $11.8 million. The estimated weighted average useful life of the amortizable intangible assets is 6.4 years.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acquired intangible assets that are subject to amortization as of June 27, 2026 and June 28, 2025 (in thousands).</w:t>
      </w:r>
    </w:p>
    <w:tbl>
      <w:tblPr>
        <w:tblW w:w="10390" w:type="dxa"/>
        <w:jc w:val="left"/>
        <w:tblInd w:w="0" w:type="dxa"/>
        <w:tblLayout w:type="fixed"/>
        <w:tblCellMar>
          <w:top w:w="28" w:type="dxa"/>
          <w:left w:w="28" w:type="dxa"/>
          <w:bottom w:w="28" w:type="dxa"/>
          <w:right w:w="28" w:type="dxa"/>
        </w:tblCellMar>
      </w:tblPr>
      <w:tblGrid>
        <w:gridCol w:w="501"/>
        <w:gridCol w:w="334"/>
        <w:gridCol w:w="336"/>
        <w:gridCol w:w="295"/>
        <w:gridCol w:w="295"/>
        <w:gridCol w:w="296"/>
        <w:gridCol w:w="109"/>
        <w:gridCol w:w="109"/>
        <w:gridCol w:w="109"/>
        <w:gridCol w:w="211"/>
        <w:gridCol w:w="721"/>
        <w:gridCol w:w="109"/>
        <w:gridCol w:w="109"/>
        <w:gridCol w:w="109"/>
        <w:gridCol w:w="109"/>
        <w:gridCol w:w="211"/>
        <w:gridCol w:w="761"/>
        <w:gridCol w:w="109"/>
        <w:gridCol w:w="109"/>
        <w:gridCol w:w="109"/>
        <w:gridCol w:w="109"/>
        <w:gridCol w:w="211"/>
        <w:gridCol w:w="721"/>
        <w:gridCol w:w="109"/>
        <w:gridCol w:w="109"/>
        <w:gridCol w:w="109"/>
        <w:gridCol w:w="109"/>
        <w:gridCol w:w="211"/>
        <w:gridCol w:w="721"/>
        <w:gridCol w:w="109"/>
        <w:gridCol w:w="109"/>
        <w:gridCol w:w="109"/>
        <w:gridCol w:w="109"/>
        <w:gridCol w:w="239"/>
        <w:gridCol w:w="717"/>
        <w:gridCol w:w="125"/>
        <w:gridCol w:w="109"/>
        <w:gridCol w:w="109"/>
        <w:gridCol w:w="109"/>
        <w:gridCol w:w="211"/>
        <w:gridCol w:w="721"/>
        <w:gridCol w:w="154"/>
      </w:tblGrid>
      <w:tr>
        <w:trPr/>
        <w:tc>
          <w:tcPr>
            <w:tcW w:w="50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7"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Weighted Average Remaining Useful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Net Book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Net Book Value</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90,126 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(22,126)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68,000 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89,943 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(7,022)</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82,921 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93,926 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(22,446)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71,480 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89,943 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(7,022)</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82,921 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84785"/>
                <wp:effectExtent l="0" t="0" r="0" b="0"/>
                <wp:wrapNone/>
                <wp:docPr id="27" name="Frame2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27, 2026 and June 28, 2025, amortization expense was $4.0 million and $5.9 million, respectively. For the nine months ended June 27, 2026 and June 28, 2025, amortization expense was $11.7 million and $10.7 million, respectively.</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estimated future annual pre-tax amortization expense of definite-lived intangible assets as of the date indicated (in thousands):</w:t>
      </w:r>
    </w:p>
    <w:tbl>
      <w:tblPr>
        <w:tblW w:w="4094" w:type="dxa"/>
        <w:jc w:val="left"/>
        <w:tblInd w:w="0" w:type="dxa"/>
        <w:tblLayout w:type="fixed"/>
        <w:tblCellMar>
          <w:top w:w="28" w:type="dxa"/>
          <w:left w:w="28" w:type="dxa"/>
          <w:bottom w:w="28" w:type="dxa"/>
          <w:right w:w="28" w:type="dxa"/>
        </w:tblCellMar>
      </w:tblPr>
      <w:tblGrid>
        <w:gridCol w:w="946"/>
        <w:gridCol w:w="830"/>
        <w:gridCol w:w="834"/>
        <w:gridCol w:w="288"/>
        <w:gridCol w:w="986"/>
        <w:gridCol w:w="210"/>
      </w:tblGrid>
      <w:tr>
        <w:trPr/>
        <w:tc>
          <w:tcPr>
            <w:tcW w:w="94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Intangible Assets</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Remaining fiscal year 2026</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3,971 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Fiscal year 2027</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15,883 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Fiscal year 2028</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12,824 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Fiscal year 2029</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11,902 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Fiscal year 2030 and thereafter</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26,900 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71,480 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carrying amount of goodwill at June 27, 2026 was $59.9 million. As a result of the ASR Acquisition, the Company recorded $59.9 million of goodwill. Prior to the ASR Acquisition, the Company did not have goodwill on its consolidated balance sheets. The Company tests goodwill for impairment at least annually. Through the date the interim condensed consolidated financial statements were issued, no triggering events have occurred that would indicate that a potential impairment exists.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10. Restructuring Charges</w:t>
      </w:r>
    </w:p>
    <w:p>
      <w:pPr>
        <w:pStyle w:val="TextBody"/>
        <w:bidi w:val="0"/>
        <w:spacing w:lineRule="auto" w:line="288" w:before="60" w:after="283"/>
        <w:ind w:left="0" w:right="0" w:firstLine="360"/>
        <w:jc w:val="left"/>
        <w:rPr/>
      </w:pPr>
      <w:r>
        <w:rPr>
          <w:rFonts w:ascii="Times New Roman;serif" w:hAnsi="Times New Roman;serif"/>
          <w:b w:val="false"/>
          <w:color w:val="000000"/>
          <w:sz w:val="20"/>
        </w:rPr>
        <w:t xml:space="preserve">During the third quarter of fiscal year 2025, management committed to a reduction of the Company’s workforce by approximately 325 employees primarily related to employees that joined the Company’s workforce in connection with the ASR Acquisition. This workforce reduction was substantially completed by December 27, 2025. In the first quarter of fiscal year 2026, management committed to a reduction of the Company’s workforce by approximately 115 employees across the organization to align resource investment to business needs. This workforce reduction was substantially completed in the second quarter of fiscal year 2026. The costs incurred related to employee severance are recorded as a liability when it is probable that employees will be entitled to termination benefits and the amounts can be reasonably estimated. The liability related to these charges is included in accrued expenses and other current liabilities in the Company’s condensed consolidated balance sheets. As the ASR Purchase Agreement contemplated reimbursement for certain types of restructuring costs, a receivable was recorded as part of purchase accounting, which is included within prepaid expenses and other current assets in the purchase price allocation in Note 8, </w:t>
      </w:r>
      <w:r>
        <w:rPr>
          <w:rFonts w:ascii="Times New Roman;serif" w:hAnsi="Times New Roman;serif"/>
          <w:b w:val="false"/>
          <w:i/>
          <w:color w:val="000000"/>
          <w:sz w:val="20"/>
        </w:rPr>
        <w:t>Business Acquisitions</w:t>
      </w:r>
      <w:r>
        <w:rPr>
          <w:rFonts w:ascii="Times New Roman;serif" w:hAnsi="Times New Roman;serif"/>
          <w:b w:val="false"/>
          <w:color w:val="000000"/>
          <w:sz w:val="20"/>
        </w:rPr>
        <w:t xml:space="preserve">.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activity related to the Company’s severance liability as of June 27, 2026 (in thousands).</w:t>
      </w:r>
    </w:p>
    <w:tbl>
      <w:tblPr>
        <w:tblW w:w="4709" w:type="dxa"/>
        <w:jc w:val="left"/>
        <w:tblInd w:w="0" w:type="dxa"/>
        <w:tblLayout w:type="fixed"/>
        <w:tblCellMar>
          <w:top w:w="28" w:type="dxa"/>
          <w:left w:w="28" w:type="dxa"/>
          <w:bottom w:w="28" w:type="dxa"/>
          <w:right w:w="28" w:type="dxa"/>
        </w:tblCellMar>
      </w:tblPr>
      <w:tblGrid>
        <w:gridCol w:w="1269"/>
        <w:gridCol w:w="1118"/>
        <w:gridCol w:w="1122"/>
        <w:gridCol w:w="258"/>
        <w:gridCol w:w="754"/>
        <w:gridCol w:w="188"/>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Severance liability at September 27, 2025</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Severance charges</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3,402 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Cash paid and other</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(3,635)</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Severance liability at June 27, 2026</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did not have material severance activity for the three months ended June 27, 2026. For the nine months ended June 27, 2026, the Company recognized $2.7 million of restructuring expense, which is included within restructuring charges on the Company’s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is subject to U.S. federal income taxes, in addition to state and local income taxes, with respect to its allocable share of any taxable income or loss of Symbotic Holdings. The remaining share of Symbotic Holdings income or loss is non-taxable to the Company and is not reflected in current or deferred income taxes. The Company’s foreign subsidiaries are subject to income tax in their local jurisdictions.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and nine months ended June 27, 2026, the Company recorded a current income tax benefit of $1.1 million and an income tax expense of less than $0.1 million, respectively. For the three months ended June 28, 2025, the Company recorded a current income tax expense of less than $0.1 million and for the nine months ended June 28, 2025,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84785"/>
                <wp:effectExtent l="0" t="0" r="0" b="0"/>
                <wp:wrapNone/>
                <wp:docPr id="28" name="Frame2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recorded a current income tax benefit of $1.2 million. The Company recorded a pre-tax income for the three and nine month periods and recorded a full valuation allowance against its domestic deferred tax assets and a partial valuation allowance against its foreign deferred tax assets. The Company incurs state tax expense at the flow-through entity level and foreign tax expense at its foreign subsidiaries. The effective tax rate for the three and nine months ended June 27, 2026 was (2.14)% and 0.05%, respectively, as compared to an effective tax rate of (0.21)% and 2.45%, respectively, for the three and nine months ended June 28, 2025. The effective tax rate differs from the federal statutory income tax rate primarily due to foreign taxes, flow through entity level taxes and the effect of the valuation allowance against the Company’s net federal, state, and foreign deferred income taxes.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27, 2026, the Company continues to conclude that the negative evidence regarding its ability to realize its deferred tax assets outweighs the positive evidence, and the Company has a full valuation allowance against its domestic, federal, and state net deferred tax assets and a partial valuation allowance against its foreign net deferred tax assets. The Company has a history of cumulative pre-tax losses for the three previous fiscal years which it believes represents significant negative evidence in evaluating whether its deferred tax assets are realizable. Given these cumulative losses, lack of forecast history, the competitive environment, and uncertainty of general economic conditions, the Company does not believe it can rely on projections of future taxable income exclusive of reversing taxable temporary differences to support the realization of its deferred tax assets. In upcoming quarters, the Company will continue to evaluate both the positive and negative evidence surrounding its ability to realize its deferred tax assets.</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Tax Receivable Agreement</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27, 2026, future payments under the Tax Receivable Agreement (“TRA”) with respect to the purchase of Symbotic Holdings units which occurred as part of or subsequent to the Business Combination are expected to be $487.0 million. Payments made under the TRA represent payments that otherwise would have been made to taxing authorities in the absence of attributes obtained by the Company as a result of exchanges by its pre-IPO members. Such amounts will be paid only when a cash tax savings is realized as a result of attributes subject to the TRA. That is, payments under the TRA are only expected to be made in periods following the filing of a tax return in which the Company is able to utilize certain tax benefits to reduce its cash taxes paid to a taxing authority. The impact of any changes in the projected obligations under the TRA as a result of changes in the geographic mix of the Company’s earnings, changes in tax legislation and tax rates or other factors that may impact the Company’s tax savings will be reflected in income or loss before taxes on the condensed consolidated statements of operations in the period in which the change occurs. As of June 27, 2026, no TRA liability was recorded based on the amount expected to be paid for cash tax savings related to fiscal year 2026. No TRA liability was recorded for periods after fiscal year 2026 based on current projections of future taxable income and taking into consideration the Company’s full valuation allowance against its net deferred tax asset.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12. Fair Value Measures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measures certain financial assets at fair value. Fair value is determined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as follows: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Level 1 – inputs to the valuation methodology are quoted prices (unadjusted) for an identical asset or liability in an active market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Level 2 – inputs to the valuation methodology include quoted prices for a similar asset or liability in an active market or model-derived valuations in which all significant inputs are observable for substantially the full term of the asset or liability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Level 3 – inputs to the valuation methodology are unobservable and significant to the fair value measurement of the asset or liability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84785"/>
                <wp:effectExtent l="0" t="0" r="0" b="0"/>
                <wp:wrapNone/>
                <wp:docPr id="29" name="Frame2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financial assets measured and recorded at fair value on a recurring basis using the above input categories as of June 27, 2026 and September 27, 2025 (in thousands):</w:t>
      </w:r>
    </w:p>
    <w:tbl>
      <w:tblPr>
        <w:tblW w:w="12778" w:type="dxa"/>
        <w:jc w:val="center"/>
        <w:tblInd w:w="0" w:type="dxa"/>
        <w:tblLayout w:type="fixed"/>
        <w:tblCellMar>
          <w:top w:w="28" w:type="dxa"/>
          <w:left w:w="28" w:type="dxa"/>
          <w:bottom w:w="28" w:type="dxa"/>
          <w:right w:w="28" w:type="dxa"/>
        </w:tblCellMar>
      </w:tblPr>
      <w:tblGrid>
        <w:gridCol w:w="645"/>
        <w:gridCol w:w="224"/>
        <w:gridCol w:w="227"/>
        <w:gridCol w:w="211"/>
        <w:gridCol w:w="976"/>
        <w:gridCol w:w="109"/>
        <w:gridCol w:w="109"/>
        <w:gridCol w:w="109"/>
        <w:gridCol w:w="109"/>
        <w:gridCol w:w="211"/>
        <w:gridCol w:w="721"/>
        <w:gridCol w:w="109"/>
        <w:gridCol w:w="109"/>
        <w:gridCol w:w="109"/>
        <w:gridCol w:w="109"/>
        <w:gridCol w:w="211"/>
        <w:gridCol w:w="721"/>
        <w:gridCol w:w="109"/>
        <w:gridCol w:w="109"/>
        <w:gridCol w:w="109"/>
        <w:gridCol w:w="109"/>
        <w:gridCol w:w="211"/>
        <w:gridCol w:w="976"/>
        <w:gridCol w:w="109"/>
        <w:gridCol w:w="109"/>
        <w:gridCol w:w="109"/>
        <w:gridCol w:w="109"/>
        <w:gridCol w:w="211"/>
        <w:gridCol w:w="976"/>
        <w:gridCol w:w="109"/>
        <w:gridCol w:w="109"/>
        <w:gridCol w:w="109"/>
        <w:gridCol w:w="109"/>
        <w:gridCol w:w="211"/>
        <w:gridCol w:w="721"/>
        <w:gridCol w:w="109"/>
        <w:gridCol w:w="109"/>
        <w:gridCol w:w="109"/>
        <w:gridCol w:w="109"/>
        <w:gridCol w:w="211"/>
        <w:gridCol w:w="721"/>
        <w:gridCol w:w="109"/>
        <w:gridCol w:w="109"/>
        <w:gridCol w:w="109"/>
        <w:gridCol w:w="109"/>
        <w:gridCol w:w="211"/>
        <w:gridCol w:w="976"/>
        <w:gridCol w:w="154"/>
      </w:tblGrid>
      <w:tr>
        <w:trPr/>
        <w:tc>
          <w:tcPr>
            <w:tcW w:w="64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5" w:type="dxa"/>
            <w:gridSpan w:val="21"/>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0" w:type="dxa"/>
            <w:gridSpan w:val="21"/>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September 27, 2025</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1,086,774 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1,086,774 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1,193,375 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1,193,375 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Strategic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87,707 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131,162 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60,123 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1,086,774 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43,455 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87,707 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1,217,936 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1,193,375 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16,789 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43,334 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1,253,498 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had no liabilities measured and recorded at fair value on a recurring basis as of June 27, 2026 and September 27, 2025.</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considers all highly liquid investments purchased with an original maturity of three months or less to be cash equivalents. The fair value of the Company’s investments in certain money market funds is their face value and such instruments are classified as Level 1 and are included in cash and cash equivalents on the condensed consolidated balance sheets. The fair value of outstanding warrants issued to the Company are classified as Level 2. Level 2 securities are priced by pricing vendors. These pricing vendors utilize the most recent observable market information in pricing these securities or, if specific prices are not available for these securities, use other observable inputs like market transactions involving identical or comparable securities. Certain strategic investments measured at fair value are classified as Level 3 as their fair value measurements may include a combination of observable and unobservable inputs. Other certain strategic investments are carried at cost and are subject to remeasurement only upon the occurrence of a triggering event.</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Strategic Investments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Strategic investments that consist of noncontrolling equity investments without readily determinable fair values in privately held companies for which the Company does not have the ability to exercise significant influence are accounted for at cost, with adjustments for observable changes in prices or impairments representing Level 3 fair value measurements recognized in “other income, net” on the Company’s condensed consolidated statements of operations. Each reporting period, the Company performs a qualitative assessment to evaluate whether the investment is impaired. The Company’s assessment includes a review of recent operating results and trends, recent sales or acquisitions of the investee securities, and other publicly available data. If the investment is impaired, the Company writes it down to its estimated fair value. As of June 27, 2026 and September 27, 2025, these investments had a carrying value of $65.1 million and $23.3 million, respectively.</w:t>
      </w:r>
    </w:p>
    <w:p>
      <w:pPr>
        <w:pStyle w:val="TextBody"/>
        <w:bidi w:val="0"/>
        <w:spacing w:lineRule="auto" w:line="288" w:before="60" w:after="283"/>
        <w:ind w:left="0" w:right="0" w:firstLine="360"/>
        <w:jc w:val="left"/>
        <w:rPr/>
      </w:pPr>
      <w:r>
        <w:rPr>
          <w:rFonts w:ascii="Times New Roman;serif" w:hAnsi="Times New Roman;serif"/>
          <w:b w:val="false"/>
          <w:color w:val="000000"/>
          <w:sz w:val="20"/>
        </w:rPr>
        <w:t xml:space="preserve">The Company has warrants issued which are included within strategic investments and for which the fair value is classified as Level 2. The fair value of the warrants accounted for as derivative instruments is $35.2 million at June 27, 2026 and is further described in Note 13, </w:t>
      </w:r>
      <w:r>
        <w:rPr>
          <w:rFonts w:ascii="Times New Roman;serif" w:hAnsi="Times New Roman;serif"/>
          <w:b w:val="false"/>
          <w:i/>
          <w:color w:val="000000"/>
          <w:sz w:val="20"/>
        </w:rPr>
        <w:t>Derivative Instruments</w:t>
      </w:r>
      <w:r>
        <w:rPr>
          <w:rFonts w:ascii="Times New Roman;serif" w:hAnsi="Times New Roman;serif"/>
          <w:b w:val="false"/>
          <w:color w:val="000000"/>
          <w:sz w:val="20"/>
        </w:rPr>
        <w:t xml:space="preserve">.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certain other non-marketable strategic investments measured at fair value. The Company has not elected the fair value option for these investments. The Company held $22.6 million of these investments at June 27, 2026 and $20.0 million of these investments at September 27, 2025. These investments are included in other assets on the consolidated balance sheets. A fair value adjustment resulting from an increase in fair value on these strategic investments of $0.9 million and $2.6 million was recorded to “other income, net” for the three and nine months ended June 27, 2026, respectively. There were no losses, or impairments recorded for the three or nine months ended June 27,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13. Derivative Instruments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fiscal year 2024, the Company entered into a development and supply agreement and warrant agreements with a supplier, which entitle the Company to purchase a fixed number of shares of the supplier upon satisfaction of certain development and production-based milestones set forth therein (the “2024 Warrants”). The 2024 Warrants vested and are exercisable at a specified price per share until May 2044.</w:t>
      </w:r>
    </w:p>
    <w:p>
      <w:pPr>
        <w:pStyle w:val="TextBody"/>
        <w:bidi w:val="0"/>
        <w:spacing w:lineRule="auto" w:line="288" w:before="60" w:after="283"/>
        <w:ind w:left="0" w:right="0" w:firstLine="360"/>
        <w:jc w:val="left"/>
        <w:rPr/>
      </w:pPr>
      <w:r>
        <w:rPr>
          <w:rFonts w:ascii="Times New Roman;serif" w:hAnsi="Times New Roman;serif"/>
          <w:b w:val="false"/>
          <w:color w:val="000000"/>
          <w:sz w:val="20"/>
        </w:rPr>
        <w:t xml:space="preserve">The 2024 Warrants are accounted for as a derivative under ASC Topic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 xml:space="preserve">, as a result of certain net settlement provisions in the 2024 Warrants. The Company reports the 2024 Warrants at their fair values within “other assets” in its condensed consolidated balance sheets and changes in the fair value of the Warrants are recognized in “other income, net” on its condensed consolidated statements of operations. For the 2024 Warrants, the day-one value attributable to the other side of the warrants is reported within “other liabilities” in the Company’s condensed consolidated balance sheets and is amortized over the life of the applicable development and production milestones set forth in the development and supply agreement. The fair value of the 2024 Warrants recognized within “other assets” on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84785"/>
                <wp:effectExtent l="0" t="0" r="0" b="0"/>
                <wp:wrapNone/>
                <wp:docPr id="30" name="Frame3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condensed consolidated balance sheets at June 27, 2026 is $35.2 million. The Company recorded a fair value adjustment of $18.5 million to “other income, net” on the Company’s condensed consolidated statements of operations for the three and nine months ended June 27,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14. Related Party Transactions</w:t>
      </w:r>
    </w:p>
    <w:p>
      <w:pPr>
        <w:pStyle w:val="TextBody"/>
        <w:bidi w:val="0"/>
        <w:spacing w:lineRule="auto" w:line="288" w:before="60" w:after="283"/>
        <w:ind w:left="0" w:right="0" w:firstLine="360"/>
        <w:jc w:val="left"/>
        <w:rPr/>
      </w:pPr>
      <w:r>
        <w:rPr>
          <w:rFonts w:ascii="Times New Roman;serif" w:hAnsi="Times New Roman;serif"/>
          <w:b w:val="false"/>
          <w:color w:val="000000"/>
          <w:sz w:val="20"/>
        </w:rPr>
        <w:t xml:space="preserve">ASC Topic 850, </w:t>
      </w:r>
      <w:r>
        <w:rPr>
          <w:rFonts w:ascii="Times New Roman;serif" w:hAnsi="Times New Roman;serif"/>
          <w:b w:val="false"/>
          <w:i/>
          <w:color w:val="000000"/>
          <w:sz w:val="20"/>
        </w:rPr>
        <w:t xml:space="preserve">Related Party Disclosures </w:t>
      </w:r>
      <w:r>
        <w:rPr>
          <w:rFonts w:ascii="Times New Roman;serif" w:hAnsi="Times New Roman;serif"/>
          <w:b w:val="false"/>
          <w:color w:val="000000"/>
          <w:sz w:val="20"/>
        </w:rPr>
        <w:t>(“ASC Topic 850”) provides guidance for the identification of related parties and the disclosure of related party transactions. Related parties are generally defined as (i) affiliates of the Company; (ii) owners of more than 10% of the voting interests of the Company and members of their immediate families; (iii) management of the Company and members of their immediate families; (iv) other parties which directly or indirectly control, are controlled by, or are under common control with the Company; or (v) other parties who can significantly influence the financial and operating decisions of the Company. A transaction is considered to be a related party transaction when there is a transfer of resources or obligations between related parties. The Company assesses related parties each reporting period. For the period ended June 27, 2026, the Company determined that C&amp;S Wholesale Grocers, Inc. (“C&amp;S”), Exol, and certain current holders of Symbotic Holdings were each a related party under ASC Topic 850. The following transactions were related party transactions under ASC Topic 850.</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Aircraft Time Sharing Agreement</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December 2021 and May 2022, the Company entered into aircraft time-sharing agreements with C&amp;S with respect to private aircraft owned by them, whereby the Company’s executives may utilize two C&amp;S aircraft on an as-needed and as-available basis, with no minimum usage being required. As there is no defined period of time stated within these aircraft time-sharing agreements, the Company does not consider these to meet the definition of a lease, and as such, records payments in the period in which the obligation for the payment is incurred. For the three months ended June 27, 2026 and June 28, 2025, the Company incurred expense of $1.0 million and $0.3 million, respectively, related to these aircraft time-sharing agreements. For the nine months ended June 27, 2026 and June 28, 2025, the Company incurred expense of $1.7 million and $1.1 million, respectively, related to these aircraft time-sharing agreements.</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Usage of Facility and Employee Services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a license arrangement with C&amp;S whereby C&amp;S is providing receiving and logistics services for the Company within a C&amp;S distribution facility. The arrangement also provides for C&amp;S employees assisting with certain of the Company’s operations. For the three months ended June 27, 2026 and June 28, 2025, the Company incurred expense of $0.4 million and $0.3 million, respectively, related to this arrangement. For the nine months ended June 27, 2026 and June 28, 2025, the Company incurred expense of $1.2 million and $1.0 million, respectively, related to this arrangement.</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Operating Lease Agreements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fiscal year 2025, the Company entered into lease agreements with C&amp;S for the lease of warehouse space in Plant City, FL and Coppell, TX. The Company’s estimated lease term for these lease agreements is for 2 years. Combined, the Company recognized $0.6 million and less than $0.1 million in rent expense for the three months ended June 27, 2026 and June 28, 2025, respectively. Combined, the Company recognized $1.8 million and $0.1 million in rent expense for the nine months ended June 27, 2026 and June 28, 2025, respectively.</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Customer Contracts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customer contracts with C&amp;S relating to System implementations, software maintenance services and the operations of Systems. For the three months ended June 27, 2026 and June 28, 2025, revenue of $2.4 million and $4.8 million was recognized, respectively, relating to these customer contracts. For the nine months ended June 27, 2026 and June 28, 2025, revenue of $6.4 million and $10.0 million was recognized, respectively, relating to these customer contracts.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was $2.4 million unbilled accounts receivable and accounts receivable due from C&amp;S at June 27, 2026 and September 27, 2025.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was $1.3 million and $0.5 million of deferred revenue related to contracts with C&amp;S at June 27, 2026 and September 27, 2025, respectively.</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Exol</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a customer contract relating to System implementations and shared services with Exol. For the three months ended June 27, 2026 and June 28, 2025, revenue of $41.1 million and $26.4 million was recognized, respectively, relating to this customer contract. For the nine months ended June 27, 2026 and June 28, 2025, revenue of $130.6 million and $34.0 million was recognized, respectively, relating to this customer contract.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84785"/>
                <wp:effectExtent l="0" t="0" r="0" b="0"/>
                <wp:wrapNone/>
                <wp:docPr id="31" name="Frame3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was $31.3 million and $0.6 million unbilled accounts receivable and accounts receivable due from the customer contract at June 27, 2026, and September 27, 2025, respectively.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was $3.4 million and $13.1 million accounts receivable due from the Exol Service Agreement (defined below) at June 27, 2026 and September 27, 2025, respectively.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was $122.8 million and $142.7 million of deferred revenue related to contracts with Exol at June 27, 2026 and September 27, 2025, respectively.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transaction price allocated to performance obligations that are unsatisfied as of June 27, 2026 was $11.6 billion. </w:t>
      </w:r>
    </w:p>
    <w:p>
      <w:pPr>
        <w:pStyle w:val="TextBody"/>
        <w:bidi w:val="0"/>
        <w:spacing w:lineRule="auto" w:line="288" w:before="60" w:after="283"/>
        <w:ind w:left="0" w:right="0" w:firstLine="360"/>
        <w:jc w:val="left"/>
        <w:rPr/>
      </w:pPr>
      <w:r>
        <w:rPr>
          <w:rFonts w:ascii="Times New Roman;serif" w:hAnsi="Times New Roman;serif"/>
          <w:b w:val="false"/>
          <w:color w:val="000000"/>
          <w:sz w:val="20"/>
        </w:rPr>
        <w:t xml:space="preserve">Cash funding of $23.4 million and $24.4 million was made by the Company to Exol in relation to the VIE (as further described in Note 16, </w:t>
      </w:r>
      <w:r>
        <w:rPr>
          <w:rFonts w:ascii="Times New Roman;serif" w:hAnsi="Times New Roman;serif"/>
          <w:b w:val="false"/>
          <w:i/>
          <w:color w:val="000000"/>
          <w:sz w:val="20"/>
        </w:rPr>
        <w:t>Variable Interest Entities</w:t>
      </w:r>
      <w:r>
        <w:rPr>
          <w:rFonts w:ascii="Times New Roman;serif" w:hAnsi="Times New Roman;serif"/>
          <w:b w:val="false"/>
          <w:color w:val="000000"/>
          <w:sz w:val="20"/>
        </w:rPr>
        <w:t>) for the three months ended June 27, 2026 and June 28, 2025, respectively. Cash funding of $73.2 million and $31.1 million was made by the Company to Exol in relation to the VIE for the nine months ended June 27, 2026 and June 28, 2025, respectively. Non-cash funding in the form of a stock contribution of $4.2 million and $6.9 million was made by the Company to Exol for the three and nine months ended June 28, 2025. No non-cash funding was made for the three and nine months ended June 27, 2026.</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Tax Distributions to Symbotic Holdings LLC Partners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Second Amended and Restated Limited Liability Company Agreement of Symbotic Holdings, Symbotic LLC makes pro rata tax distributions to the holders of Symbotic Holdings’ units in an amount sufficient to fund all or part of their tax obligations with respect to the taxable income of Symbotic Holdings that is allocated to them. There were no material tax distributions made by the Company to or on behalf of its members for the three months ended June 27, 2026 or June 28, 2025. For the nine months ended June 27, 2026 and June 28, 2025, there were $1.2 million of tax distributions made by the Company to or on behalf of its members, of which $1.2 million and $1.1 million was distributed to or on behalf of those who met the definition of a related party in accordance with ASC Topic 850,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15. Commitments and Contingencies</w:t>
      </w: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Purchase Obligations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contractual obligations to purchase goods or services, which specify significant terms, including fixed or minimum quantities to be purchased and fixed, minimum, or variable price provisions. As of June 27, 2026, the purchase commitments covered by these arrangements are $1.1 billion in the aggregate, of which $1.0 billion are less than one year.</w:t>
      </w: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Lease Commitments</w:t>
      </w:r>
    </w:p>
    <w:p>
      <w:pPr>
        <w:pStyle w:val="TextBody"/>
        <w:bidi w:val="0"/>
        <w:spacing w:lineRule="auto" w:line="288" w:before="60" w:after="283"/>
        <w:ind w:left="0" w:right="0" w:firstLine="360"/>
        <w:jc w:val="left"/>
        <w:rPr/>
      </w:pPr>
      <w:r>
        <w:rPr>
          <w:rFonts w:ascii="Times New Roman;serif" w:hAnsi="Times New Roman;serif"/>
          <w:b w:val="false"/>
          <w:color w:val="000000"/>
          <w:sz w:val="20"/>
        </w:rPr>
        <w:t xml:space="preserve">The Company leases certain of its facilities under operating leases expiring in various years through 2030. Refer to Note 5, </w:t>
      </w:r>
      <w:r>
        <w:rPr>
          <w:rFonts w:ascii="Times New Roman;serif" w:hAnsi="Times New Roman;serif"/>
          <w:b w:val="false"/>
          <w:i/>
          <w:color w:val="000000"/>
          <w:sz w:val="20"/>
        </w:rPr>
        <w:t>Leases</w:t>
      </w:r>
      <w:r>
        <w:rPr>
          <w:rFonts w:ascii="Times New Roman;serif" w:hAnsi="Times New Roman;serif"/>
          <w:b w:val="false"/>
          <w:color w:val="000000"/>
          <w:sz w:val="20"/>
        </w:rPr>
        <w:t xml:space="preserve">, for a schedule of future lease payments under non-cancellable leases as of June 27, 2026. </w:t>
      </w: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Warranty</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provides a limited warranty on its Systems and has established a reserve for warranty obligations based on estimated warranty costs. The reserve is included as part of accrued expenses and other long-term liabilities in the accompanying condensed consolidated balance sheets.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Activity related to the warranty accrual is as follows (in thousands): </w:t>
      </w:r>
    </w:p>
    <w:tbl>
      <w:tblPr>
        <w:tblW w:w="8285" w:type="dxa"/>
        <w:jc w:val="left"/>
        <w:tblInd w:w="0" w:type="dxa"/>
        <w:tblLayout w:type="fixed"/>
        <w:tblCellMar>
          <w:top w:w="28" w:type="dxa"/>
          <w:left w:w="28" w:type="dxa"/>
          <w:bottom w:w="28" w:type="dxa"/>
          <w:right w:w="28" w:type="dxa"/>
        </w:tblCellMar>
      </w:tblPr>
      <w:tblGrid>
        <w:gridCol w:w="956"/>
        <w:gridCol w:w="840"/>
        <w:gridCol w:w="843"/>
        <w:gridCol w:w="234"/>
        <w:gridCol w:w="800"/>
        <w:gridCol w:w="121"/>
        <w:gridCol w:w="109"/>
        <w:gridCol w:w="109"/>
        <w:gridCol w:w="109"/>
        <w:gridCol w:w="234"/>
        <w:gridCol w:w="800"/>
        <w:gridCol w:w="121"/>
        <w:gridCol w:w="109"/>
        <w:gridCol w:w="109"/>
        <w:gridCol w:w="109"/>
        <w:gridCol w:w="234"/>
        <w:gridCol w:w="800"/>
        <w:gridCol w:w="121"/>
        <w:gridCol w:w="109"/>
        <w:gridCol w:w="109"/>
        <w:gridCol w:w="109"/>
        <w:gridCol w:w="233"/>
        <w:gridCol w:w="797"/>
        <w:gridCol w:w="170"/>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28, 2025</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81,575 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45,725 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43,607 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31,935 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Provision</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4,121 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42,049 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22,629 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Warranty usage</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(2,727)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(2,458)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(6,542)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(7,176)</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79,114 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47,388 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79,114 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47,388 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the second quarter of fiscal year 2026, following monitoring and testing that identified performance trends requiring further evaluation, the Company initiated a replacement program for certain System components, including a targeted recall. The Company recorded an additional liability of $34.3 million as of March 28, 2026, representing estimated costs associated with component replacements within the structure and related repairs. No additional charges were recorded in the third quarter of fiscal year 2026. This amount is included within warranty liabilities in accrued expenses and other current liabilities in the condensed consolidated balance sheets. The Company expects to complete these activities within one year. The recorded liability represents all probable and reasonably estimable costs directly associated with the program. Based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84785"/>
                <wp:effectExtent l="0" t="0" r="0" b="0"/>
                <wp:wrapNone/>
                <wp:docPr id="32" name="Frame3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available information, the Company does not expect these matters to have a material adverse effect on its results of operations or cash flows in future periods. Actual costs could differ materially due to uncertainties, including potential additional expenses or other unforeseen events.</w:t>
      </w: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subject from time to time to various claims, lawsuits and other legal and administrative proceedings. Some of these claims, lawsuits and other proceedings may involve highly complex issues that are subject to substantial uncertainties, and could result in damages, fines and penalties, non-monetary sanctions or relief.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recognizes provisions for claims or pending litigation when it is determined that an unfavorable outcome is probable, and the amount of loss can be reasonably estimated. Due to the inherent uncertain nature of litigation, the ultimate outcome or actual cost of settlement may materially vary from estimates.</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Securities Class Action</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3, 2024, a putative class action captioned Decker v. Symbotic Inc. et al., Case No. 24-cv-12976, was filed in the United States District Court for the District of Massachusetts by an alleged purchaser of the Company’s common stock. The complaint asserted claims for violations of federal securities laws against the Company and three of its officers on the grounds that the Company made false and/or misleading statements related to its revenue recognition and the effectiveness of its disclosure controls and procedures. Based on these allegations, the plaintiff brought claims seeking unspecified damages, attorneys’ fees, expert fees, and other costs and relief on behalf of himself and a putative class of persons who purchased the Company’s stock between February 8, 2024 and November 26, 2024. On May 5, 2025, the court entered an order appointing a lead plaintiff pursuant to the Private Securities Litigation Reform Act and setting a schedule for the filing of an amended complaint and the Company’s response to the complaint.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July 11, 2025, plaintiffs filed an amended complaint in the same action. The amended complaint asserts claims for violations of federal securities laws against the Company and four of its officers on the grounds that the Company made false and/or misleading statements or omissions related to its financial results, deployment times, revenue recognition, and internal controls. Based on these allegations, the plaintiffs bring claims seeking unspecified damages, attorneys’ fees, expert fees, and other costs and relief on behalf of themselves and a putative class of persons who purchased stock of the Company between November 20, 2023 and February 5, 2025.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filed a motion to dismiss the amended complaint on September 11, 2025. The plaintiffs filed an opposition to the motion to dismiss on November 11, 2025. The Company filed its reply brief in support of its motion to dismiss on December 11, 2025. A hearing on the motion to dismiss was held on December 16, 2025. On July 23, 2026, the court granted-in-part and denied-in-part the motion. The parties will appear in court for a scheduling conference on August 31, 2026.</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intends to vigorously defend this action. If a court ultimately determines that the Company is liable in this action, the Company may be subject to substantial damages. The Company cannot predict with any degree of certainty the outcome of this matter or determine the extent of any potential liability. The Company also cannot provide an estimate of the possible loss or range of loss. Any adverse outcome in these matters could expose the Company to substantial damages that may have a material adverse impact on the Company’s operations and cash flows. Despite the potential for significant damages, the Company does not believe, based on currently available information, that the outcome of this proceeding will have a material adverse effect on the Company’s financial condition, although the outcome could be material to the Company’s operating results for any particular period, depending, in part, upon the operating results for such period.</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Shareholder Derivative Actions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October 2, 2024, two putative shareholder derivative actions captioned Austen v. Cohen et al., 24-cv-12522 and Kukreja v. Cohen et al., 24-cv-12523 were filed in the United States District Court for the District of Massachusetts by the Company’s alleged shareholders. The actions assert claims on behalf of the Company against certain senior officers and members of its board of directors for, among others, breach of fiduciary duty, unjust enrichment, and violations of federal securities laws based primarily on allegations that the defendants caused or allowed the Company to disseminate misleading and inaccurate information to shareholders in connection with the Company’s expected earnings for the third quarter of fiscal year 2024. The actions seek compensatory damages, changes to corporate governance and internal procedures, restitution, costs and attorneys’ fees, and other unspecified relief. Motions to consolidate the two actions into a single matter, appoint lead plaintiffs’ counsel, and stay any obligation of the defendants to respond to the complaint based on the pendency of the motion to dismiss the related securities class action lawsuit were granted on November 24,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84785"/>
                <wp:effectExtent l="0" t="0" r="0" b="0"/>
                <wp:wrapNone/>
                <wp:docPr id="33" name="Frame3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intends to vigorously defend these cases. If a court ultimately determines that the Company is liable, the Company may be subject to substantial damages. The Company cannot predict with any degree of certainty the outcome of this matter or determine the extent of any potential liabilities. The Company also cannot provide an estimate of the possible loss or range of loss. Any adverse outcome in this matter could expose the Company to substantial damages that may have a material adverse impact on the Company’s operations and cash flows. Despite the potential for significant damages, the Company does not believe, based on currently available information, that the outcome of this proceeding will have a material adverse effect on the Company’s financial condition, although the outcome could be material to the Company’s operating results for any particular period, depending, in part, upon the operating results for such period.</w:t>
      </w: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Contingencies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Liabilities for any loss contingencies arising from claims, assessments, litigation, fines, penalties, and other matters are recorded when it is probable that the liability has been incurred and the amount of the liability can be reasonably estimated. Legal costs associated with loss contingencies are expensed as incurred. As of June 27, 2026, the Company has made appropriate provisions related to such matters and does not believe that such matters will have a material adverse effect on the Company’s consolidated operations, financial position, or liquidity.</w:t>
      </w: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Indemnifications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the Company enters into various contracts under which it may agree to indemnify other parties for losses incurred from certain events as defined in the relevant contract, such as litigation, regulatory penalties, or claims relating to past performance. Such indemnification obligations may not be subject to maximum loss clauses. The Company has never incurred costs to defend lawsuits or settle claims related to these indemnification obligations. As a result, the Company believes the estimated fair value of these obligations is minimal. Accordingly, the Company has no liabilities recorded for these obligations as of June 27, 2026 and September 27,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16. Variable Interest Entities (“VIE”)</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VIEs are entities with any of the following characteristics: (i) the entity does not have enough equity to finance its activities without additional financial support; (ii) the equity holders, as a group, lack the characteristics of a controlling financial interest; or (iii) the entity is structured with non-substantive voting rights.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Consolidation of a VIE is required for the party deemed to be the primary beneficiary, if any. The primary beneficiary is the party who has both (a) the power to direct the activities of a VIE that most significantly impact the entity’s economic performance and (b) an obligation to absorb losses of the entity or a right to receive benefits from the entity that could potentially be significant to the entity.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July 23, 2023, the Company, New Symbotic Holdings, and Symbotic LLC (collectively, the “Symbotic Group”), entered into a Framework Agreement (the “Framework Agreement”) with Sunlight Investment Corp., a Delaware corporation (“Sunlight”), SVF II Strategic Investments AIV LLC, a Delaware limited liability company (“SVF” and, together with Sunlight, “SoftBank”), and Exol, related to, among other things, the formation of Exol as a venture between the Symbotic Group and SoftBank and a warrant to purchase Class A Common Stock of Symbotic (the “Exol Warrant”). On July 23, 2023, Exol also entered into a Master Services, License and Equipment Agreement with Symbotic LLC with respect to the purchase of Systems (“Exol Commercial Agreement”). On June 30, 2024, Exol entered into a Services Agreement with the Company with respect to certain administrative services (“Exol Service Agreement”).</w:t>
      </w:r>
    </w:p>
    <w:p>
      <w:pPr>
        <w:pStyle w:val="TextBody"/>
        <w:bidi w:val="0"/>
        <w:spacing w:lineRule="auto" w:line="288" w:before="60" w:after="283"/>
        <w:ind w:left="0" w:right="0" w:firstLine="360"/>
        <w:jc w:val="left"/>
        <w:rPr/>
      </w:pPr>
      <w:r>
        <w:rPr>
          <w:rFonts w:ascii="Times New Roman;serif" w:hAnsi="Times New Roman;serif"/>
          <w:b w:val="false"/>
          <w:color w:val="000000"/>
          <w:sz w:val="20"/>
        </w:rPr>
        <w:t xml:space="preserve">Exol was established on July 21, 2023, to build and automate supply chain networks globally by operating and financing the Company’s artificial intelligence and automation technology for the warehouse. Symbotic Holdings and Sunlight own 35% and 65% of Exol, respectively. The Company evaluated for VIEs upon the formation of Exol in accordance with ASC Topic 810, </w:t>
      </w:r>
      <w:r>
        <w:rPr>
          <w:rFonts w:ascii="Times New Roman;serif" w:hAnsi="Times New Roman;serif"/>
          <w:b w:val="false"/>
          <w:i/>
          <w:color w:val="000000"/>
          <w:sz w:val="20"/>
        </w:rPr>
        <w:t>Consolidation</w:t>
      </w:r>
      <w:r>
        <w:rPr>
          <w:rFonts w:ascii="Times New Roman;serif" w:hAnsi="Times New Roman;serif"/>
          <w:b w:val="false"/>
          <w:color w:val="000000"/>
          <w:sz w:val="20"/>
        </w:rPr>
        <w:t xml:space="preserve">. The Company holds a variable interest in Exol through its equity interest in Exol. Exol is a VIE resulting from Exol’s lack of sufficient equity to finance its operations without additional subordinated financial support from both the Company and SoftBank. The consolidation of Exol is not required as the Company is not the primary beneficiary of this VIE as it does not have the power to direct the activities that most significantly impact Exol’s economic performance. Such power is conveyed through Exol’s board of directors and the Company does not have control over Exol’s board of directors.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recorded investments in the unconsolidated VIE and related estimated maximum exposure to loss are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84785"/>
                <wp:effectExtent l="0" t="0" r="0" b="0"/>
                <wp:wrapNone/>
                <wp:docPr id="34" name="Frame3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tbl>
      <w:tblPr>
        <w:tblW w:w="6913" w:type="dxa"/>
        <w:jc w:val="left"/>
        <w:tblInd w:w="0" w:type="dxa"/>
        <w:tblLayout w:type="fixed"/>
        <w:tblCellMar>
          <w:top w:w="28" w:type="dxa"/>
          <w:left w:w="28" w:type="dxa"/>
          <w:bottom w:w="28" w:type="dxa"/>
          <w:right w:w="28" w:type="dxa"/>
        </w:tblCellMar>
      </w:tblPr>
      <w:tblGrid>
        <w:gridCol w:w="185"/>
        <w:gridCol w:w="162"/>
        <w:gridCol w:w="164"/>
        <w:gridCol w:w="526"/>
        <w:gridCol w:w="2065"/>
        <w:gridCol w:w="274"/>
        <w:gridCol w:w="109"/>
        <w:gridCol w:w="109"/>
        <w:gridCol w:w="109"/>
        <w:gridCol w:w="505"/>
        <w:gridCol w:w="2337"/>
        <w:gridCol w:w="368"/>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2"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Investments in Unconsolidated VIE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Symbotic's Maximum Exposure to Loss</w:t>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Exol</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0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140,468 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1,491,341 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calculated its maximum exposure to loss of $1,491.3 million while considering its equity investment in the VIE, any amounts owed to the Company for services which may have been provided, and future funding commitments of $1,487.9 million. As of June 27, 2026, there is a $140.5 million carrying value of the VIE which represents the amount which the Company has invested in the VIE, net of the Company’s proportionate share of the VIE’s net loss. The Company’s maximum exposure to loss as displayed above does not take into consideration the VIE’s commitment under the Exol Commercial Agreement to reimburse the Company in the event of a termination. If the VIE’s commitment under the Exol Commercial Agreement was taken into consideration, there would be no maximum exposure to loss presented as the VIE’s commitment under the Exol Commercial Agreement exceeds the Company’s future funding commitments.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17. Net Income (Loss) per Share</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Basic earnings per share of Class A common stock is computed by dividing net income (loss) attributable to common shareholders by the weighted-average number of shares of Class A common stock outstanding during the period. Diluted earnings per share of Class A common stock is computed by dividing net income (loss) attributable to common shareholders adjusted for the assumed exchange of all potentially dilutive securities, by the weighted-average number of shares of Class A common stock outstanding adjusted to give effect to potentially dilutive elements. Since the Company incurred net loss for the three and nine months ended June 28, 2025, diluted weighted-average shares outstanding and diluted net loss per share were the same as basic weighted-average shares outstanding and basic net loss per share.</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calculation for both basic and diluted earnings per share of Class A common stock (in thousands, except share and per share information):</w:t>
      </w:r>
    </w:p>
    <w:tbl>
      <w:tblPr>
        <w:tblW w:w="10205" w:type="dxa"/>
        <w:jc w:val="left"/>
        <w:tblInd w:w="0" w:type="dxa"/>
        <w:tblLayout w:type="fixed"/>
        <w:tblCellMar>
          <w:top w:w="28" w:type="dxa"/>
          <w:left w:w="28" w:type="dxa"/>
          <w:bottom w:w="28" w:type="dxa"/>
          <w:right w:w="28" w:type="dxa"/>
        </w:tblCellMar>
      </w:tblPr>
      <w:tblGrid>
        <w:gridCol w:w="1526"/>
        <w:gridCol w:w="1254"/>
        <w:gridCol w:w="1197"/>
        <w:gridCol w:w="268"/>
        <w:gridCol w:w="918"/>
        <w:gridCol w:w="116"/>
        <w:gridCol w:w="109"/>
        <w:gridCol w:w="109"/>
        <w:gridCol w:w="109"/>
        <w:gridCol w:w="264"/>
        <w:gridCol w:w="922"/>
        <w:gridCol w:w="110"/>
        <w:gridCol w:w="109"/>
        <w:gridCol w:w="109"/>
        <w:gridCol w:w="109"/>
        <w:gridCol w:w="268"/>
        <w:gridCol w:w="918"/>
        <w:gridCol w:w="116"/>
        <w:gridCol w:w="109"/>
        <w:gridCol w:w="109"/>
        <w:gridCol w:w="109"/>
        <w:gridCol w:w="264"/>
        <w:gridCol w:w="922"/>
        <w:gridCol w:w="161"/>
      </w:tblGrid>
      <w:tr>
        <w:trPr/>
        <w:tc>
          <w:tcPr>
            <w:tcW w:w="1526"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6"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28, 2025</w:t>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55,000 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(21,174)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77,787 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(47,884)</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the noncontrolling interest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43,327 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(17,251)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61,543 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(38,982)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11,673 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(3,923)</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16,244 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(8,902)</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 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128,076,383 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109,201,745 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123,029,814 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107,664,864 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Dilutive effect of restricted stock and warrant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5,176,564 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8,636,724 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 Diluted</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133,252,947 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109,201,745 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131,666,538 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107,664,864 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Earnings (loss) per share - Basic</w:t>
            </w:r>
          </w:p>
        </w:tc>
        <w:tc>
          <w:tcPr>
            <w:tcW w:w="26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Earnings (loss) per share - Diluted</w:t>
            </w:r>
          </w:p>
        </w:tc>
        <w:tc>
          <w:tcPr>
            <w:tcW w:w="26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Class V-1 Common Stock and Class V-3 Common Stock do not participate in the earnings or losses of the Company and are therefore not participating securities. As such, separate presentation of basic and diluted earnings per share of Class V-1 Common Stock and Class V-3 Common Stock under the two-class method has not been presented.</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uses the treasury stock method and the average market price per share during the period for calculating any potential dilutive effect of its equity instruments. The average stock price for the three months ended June 27, 2026 and June 28, 2025 was $51.18 and $25.89, respectively. The average stock price for the nine months ended June 27, 2026 and June 28, 2025 was $58.28 and $26.67, respectively.</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Anti-dilutive shares were immaterial for the three months ended June 27, 2026. For the three months ended June 27, 2026, there were 3.0 million dilutive common stock equivalents related to the RSUs which were included in the diluted EPS calculation, and 2.1 million dilutive common stock equivalents related to the unvested Exol Warrant that were included in the diluted EPS calculation. For the nine months ended June 27, 2026, there were 5.3 million dilutive common stock equivalents related to the RSUs which were included in the diluted EPS calculation, and 3.2 million dilutive common stock equivalents related to the unvested Exol Warrant that were included in the diluted EPS calculation.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84785"/>
                <wp:effectExtent l="0" t="0" r="0" b="0"/>
                <wp:wrapNone/>
                <wp:docPr id="35" name="Frame3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28, 2025, there were 4.3 million potentially dilutive common stock equivalents related to the RSUs which would have been included in the diluted EPS calculation and 7.1 million anti-dilutive common stock equivalents related to the unvested Exol Warrant that could potentially dilute EPS in the future. For the nine months ended June 28, 2025, there were 7.5 million potentially dilutive common stock equivalents related to the RSUs which would have been included in the diluted EPS calculation and 6.6 million anti-dilutive common stock equivalents related to the unvested Exol Warrant that could potentially dilute EPS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18. Stock-Based Compensation and Warrants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two tables show stock-based compensation expense by award type and where the stock-based compensation expense is recorded in the Company’s condensed consolidated statements of operations (in thousands):</w:t>
      </w:r>
    </w:p>
    <w:tbl>
      <w:tblPr>
        <w:tblW w:w="9395" w:type="dxa"/>
        <w:jc w:val="left"/>
        <w:tblInd w:w="0" w:type="dxa"/>
        <w:tblLayout w:type="fixed"/>
        <w:tblCellMar>
          <w:top w:w="28" w:type="dxa"/>
          <w:left w:w="28" w:type="dxa"/>
          <w:bottom w:w="28" w:type="dxa"/>
          <w:right w:w="28" w:type="dxa"/>
        </w:tblCellMar>
      </w:tblPr>
      <w:tblGrid>
        <w:gridCol w:w="1358"/>
        <w:gridCol w:w="1195"/>
        <w:gridCol w:w="1197"/>
        <w:gridCol w:w="234"/>
        <w:gridCol w:w="800"/>
        <w:gridCol w:w="121"/>
        <w:gridCol w:w="109"/>
        <w:gridCol w:w="109"/>
        <w:gridCol w:w="109"/>
        <w:gridCol w:w="234"/>
        <w:gridCol w:w="800"/>
        <w:gridCol w:w="121"/>
        <w:gridCol w:w="109"/>
        <w:gridCol w:w="109"/>
        <w:gridCol w:w="109"/>
        <w:gridCol w:w="212"/>
        <w:gridCol w:w="833"/>
        <w:gridCol w:w="109"/>
        <w:gridCol w:w="109"/>
        <w:gridCol w:w="109"/>
        <w:gridCol w:w="109"/>
        <w:gridCol w:w="233"/>
        <w:gridCol w:w="797"/>
        <w:gridCol w:w="170"/>
      </w:tblGrid>
      <w:tr>
        <w:trPr/>
        <w:tc>
          <w:tcPr>
            <w:tcW w:w="1358"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28, 2025</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RSUs (service-based and performance-based)</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47,145 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37,716 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139,470 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95,102 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2,854 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48,411 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38,688 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142,902 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97,956 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Effect of stock-based compensation expense on income by line item (in thousands):</w:t>
      </w:r>
    </w:p>
    <w:tbl>
      <w:tblPr>
        <w:tblW w:w="9920" w:type="dxa"/>
        <w:jc w:val="left"/>
        <w:tblInd w:w="0" w:type="dxa"/>
        <w:tblLayout w:type="fixed"/>
        <w:tblCellMar>
          <w:top w:w="28" w:type="dxa"/>
          <w:left w:w="28" w:type="dxa"/>
          <w:bottom w:w="28" w:type="dxa"/>
          <w:right w:w="28" w:type="dxa"/>
        </w:tblCellMar>
      </w:tblPr>
      <w:tblGrid>
        <w:gridCol w:w="1549"/>
        <w:gridCol w:w="1360"/>
        <w:gridCol w:w="1366"/>
        <w:gridCol w:w="234"/>
        <w:gridCol w:w="800"/>
        <w:gridCol w:w="121"/>
        <w:gridCol w:w="109"/>
        <w:gridCol w:w="109"/>
        <w:gridCol w:w="109"/>
        <w:gridCol w:w="234"/>
        <w:gridCol w:w="800"/>
        <w:gridCol w:w="121"/>
        <w:gridCol w:w="109"/>
        <w:gridCol w:w="109"/>
        <w:gridCol w:w="109"/>
        <w:gridCol w:w="212"/>
        <w:gridCol w:w="833"/>
        <w:gridCol w:w="109"/>
        <w:gridCol w:w="109"/>
        <w:gridCol w:w="109"/>
        <w:gridCol w:w="109"/>
        <w:gridCol w:w="233"/>
        <w:gridCol w:w="797"/>
        <w:gridCol w:w="170"/>
      </w:tblGrid>
      <w:tr>
        <w:trPr/>
        <w:tc>
          <w:tcPr>
            <w:tcW w:w="15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28, 2025</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Cost of revenue, Systems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16,511 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11,039 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21,119 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Cost of revenue, Software maintenance and support</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Cost of revenue, Operation services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1,329 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8,037 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9,950 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30,929 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22,829 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16,925 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69,529 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44,182 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48,411 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38,688 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142,902 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97,956 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Exol Warrant</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July 23, 2023, the Company issued the Exol Warrant to Sunlight, which allows Sunlight to acquire up to an aggregate of 11,434,360 shares of the Company’s Class A Common Stock, subject to certain vesting conditions. The Exol Warrant had a grant date fair value of $19.90 per share. The Exol Warrant vests upon conditions defined in the Exol Warrant, as Exol makes additional expenditures to the Company in connection with the Framework Agreement. There are up to eight vesting tranches in the Exol Warrant based on increments of expenditures where approximately 1,429,295 shares may vest per tranche, subject to certain conditions defined in the Exol Warrant. Upon vesting, shares may be acquired at an exercise price of $41.9719 per share. The warrant contains customary anti-dilution, down-round, and change-in-control provisions. The right to purchase shares pursuant to the Exol Warrant expires 36 months following the end of the initial term of the Framework Agreement, which is July 23, 2027, or if applicable, the extension term of the Framework Agreement, which is July 23, 2029. As of June 27, 2026, none of the shares issuable pursuant to the Exol Warrant had vested.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19. Segment and Geographic Information</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operates as one operating segment. Operating segments are defined as components of an enterprise for which separate financial information is regularly evaluated by the Company’s chief operating decision maker (“CODM”), which is the Company’s chief executive officer, in deciding how to allocate resources and assess performance. The Company’s CODM evaluates the Company’s financial information and resources and assesses the performance of these resources on a consolidated basis. There is no expense or asset information, that are supplemental to those disclosed in these consolidated financial statements, that are regularly provided to the CODM. The allocation of resources and assessment of performance of the operating segment is based on consolidated net income (loss) and gross margin as shown in our consolidated statements of operations. The CODM considers net income (loss) and gross margin in the annual forecasting process and reviews actual results when making decisions about allocating resources. Since the Company operates as one operating segment, financial segment information, including profit or loss and asset information, can be found in the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84785"/>
                <wp:effectExtent l="0" t="0" r="0" b="0"/>
                <wp:wrapNone/>
                <wp:docPr id="36" name="Frame3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Geographic Information</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Revenue and property and equipment, net by geographic region, based on physical location of the operations recording the sale or the assets are as follows: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 by geographical region for the three and nine months ended June 27, 2026 and June 28, 2025 is as follows (in thousands):</w:t>
      </w:r>
    </w:p>
    <w:tbl>
      <w:tblPr>
        <w:tblW w:w="10205" w:type="dxa"/>
        <w:jc w:val="left"/>
        <w:tblInd w:w="0" w:type="dxa"/>
        <w:tblLayout w:type="fixed"/>
        <w:tblCellMar>
          <w:top w:w="28" w:type="dxa"/>
          <w:left w:w="28" w:type="dxa"/>
          <w:bottom w:w="28" w:type="dxa"/>
          <w:right w:w="28" w:type="dxa"/>
        </w:tblCellMar>
      </w:tblPr>
      <w:tblGrid>
        <w:gridCol w:w="1327"/>
        <w:gridCol w:w="1160"/>
        <w:gridCol w:w="1158"/>
        <w:gridCol w:w="211"/>
        <w:gridCol w:w="826"/>
        <w:gridCol w:w="271"/>
        <w:gridCol w:w="109"/>
        <w:gridCol w:w="109"/>
        <w:gridCol w:w="109"/>
        <w:gridCol w:w="211"/>
        <w:gridCol w:w="826"/>
        <w:gridCol w:w="271"/>
        <w:gridCol w:w="109"/>
        <w:gridCol w:w="109"/>
        <w:gridCol w:w="109"/>
        <w:gridCol w:w="211"/>
        <w:gridCol w:w="976"/>
        <w:gridCol w:w="271"/>
        <w:gridCol w:w="109"/>
        <w:gridCol w:w="109"/>
        <w:gridCol w:w="109"/>
        <w:gridCol w:w="211"/>
        <w:gridCol w:w="976"/>
        <w:gridCol w:w="318"/>
      </w:tblGrid>
      <w:tr>
        <w:trPr/>
        <w:tc>
          <w:tcPr>
            <w:tcW w:w="1327"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0"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28, 2025</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637,359 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584,885 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1,870,917 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1,594,674 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83,479 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7,236 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156,386 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33,791 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720,838 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592,121 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2,027,303 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1,628,465 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Percentage of revenue generated outside of the United States</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 by geographical region at June 27, 2026 and at September 27, 2025 are as follows (in thousands):</w:t>
      </w:r>
    </w:p>
    <w:tbl>
      <w:tblPr>
        <w:tblW w:w="9371" w:type="dxa"/>
        <w:jc w:val="center"/>
        <w:tblInd w:w="0" w:type="dxa"/>
        <w:tblLayout w:type="fixed"/>
        <w:tblCellMar>
          <w:top w:w="28" w:type="dxa"/>
          <w:left w:w="28" w:type="dxa"/>
          <w:bottom w:w="28" w:type="dxa"/>
          <w:right w:w="28" w:type="dxa"/>
        </w:tblCellMar>
      </w:tblPr>
      <w:tblGrid>
        <w:gridCol w:w="2263"/>
        <w:gridCol w:w="1983"/>
        <w:gridCol w:w="1994"/>
        <w:gridCol w:w="212"/>
        <w:gridCol w:w="833"/>
        <w:gridCol w:w="109"/>
        <w:gridCol w:w="109"/>
        <w:gridCol w:w="109"/>
        <w:gridCol w:w="109"/>
        <w:gridCol w:w="292"/>
        <w:gridCol w:w="1145"/>
        <w:gridCol w:w="213"/>
      </w:tblGrid>
      <w:tr>
        <w:trPr/>
        <w:tc>
          <w:tcPr>
            <w:tcW w:w="2263"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September 27, 2025</w:t>
            </w:r>
          </w:p>
        </w:tc>
      </w:tr>
      <w:tr>
        <w:trPr/>
        <w:tc>
          <w:tcPr>
            <w:tcW w:w="6240" w:type="dxa"/>
            <w:gridSpan w:val="3"/>
            <w:tcBorders/>
            <w:shd w:fill="CCEC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2"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158,403 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117,640 </w:t>
            </w:r>
          </w:p>
        </w:tc>
        <w:tc>
          <w:tcPr>
            <w:tcW w:w="213"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C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12"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158,575 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117,649 </w:t>
            </w:r>
          </w:p>
        </w:tc>
        <w:tc>
          <w:tcPr>
            <w:tcW w:w="213"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Percentage of property and equipment, net held outside of the United States</w:t>
            </w:r>
          </w:p>
        </w:tc>
        <w:tc>
          <w:tcPr>
            <w:tcW w:w="115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nil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nil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20. Subsequent Events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evaluated subsequent events and transactions that occurred after the balance sheet date up to the date that the consolidated financial statements were issued. The Company did not identify any subsequent events that would have required adjustment or disclosure in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84785"/>
                <wp:effectExtent l="0" t="0" r="0" b="0"/>
                <wp:wrapNone/>
                <wp:docPr id="37" name="Frame3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0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60" w:after="240"/>
        <w:ind w:left="0" w:right="0" w:firstLine="510"/>
        <w:jc w:val="left"/>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of our financial condition and results of operations should be read in conjunction with our unaudited condensed consolidated financial statements and related notes thereto appearing elsewhere in this Quarterly Report on Form 10-Q and our audited consolidated financial statements and related notes thereto as of and for the year ended September 27, 2025, as included within our Annual Report on Form 10-K, as filed with the Securities and Exchange Commission on November 24, 2025. As discussed in the section titled “Cautionary Note on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II, Item 1A below.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vision is to make the supply chain work better for everyone. We do this by developing, commercializing, and deploying innovative and comprehensive technology solutions that dramatically improve supply chain operations. We automate the processing of pallets, cases and items (known as eaches) in warehouses.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robotic based automation systems, which include hardware and essential software, move, store and sort cases and eaches in warehouses. Our systems are operational in a number of the world’s largest retailers, including Walmart, wholesale distributors, including C&amp;S Wholesale Grocers, and are being deployed in GreenBox Systems LLC, which is now doing business as Exol (“Exol”), our warehouse-as-a-service joint venture. We have spent significant time working closely with our customers to develop, test and refine our technology. We have approximately $22.5 billion of backlog as of June 27, 2026, of which our agreements with Walmart and Exol comprise the vast majority.</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devoted significant funds and resources to date in developing and diversifying our systems and related applications. Our systems are designed to increase efficiency, speed and flexibility of the supply chain by using proprietary robotics and A.I.-powered software for the movement and storage of goods. Our intellectual property is protected by a portfolio of approximately 1,100 issued and/or pending patents as of September 27, 2025.</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the global supply chain has reached a point of critical stress, driving an inflection in demand for intelligent and scalable automation. As consumer buying habits change, the labor market shifts, and cost of living wages increase, the demand on warehouse workers is becoming overly burdensome. Manual operations are becoming unsustainable and older automation systems are not capable of optimally satisfying modern operational needs. The dramatic growth in e-commerce has increased supply chain complexity by putting pressure on retailers to support multiple sales channels and orders of eaches in addition to cases and pallets. Meanwhile, consumer expectations have evolved to demand a larger variety of items to be delivered quickly and seamlessly. This has placed significant strain on the traditional supply chain and the people who support it. We help our customers thrive in this increasingly challenging environment.</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January 2025, we acquired the Advanced Systems and Robotics (“ASR”) business from Walmart and signed a Master Automation Agreement that provides for the development, manufacture and installation of automated systems for online pickup and delivery at Walmart retail stores (“2025 Walmart MAA”). This acquisition added a new product category for us to address the opportunity for automated fulfillment of customer orders at the local and store level, which supports the growth of e-commerce. Under the 2025 Walmart MAA, as of June 27, 2026, we are operating several micro-fulfillment systems, which we will continue to support. We are in the process of developing an advanced micro-fulfillment system for future deployments.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Key Components of Consolidated Statements of Operations</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generate revenue through our design and installation of supply chain automation systems to automate customers’ depalletizing, storage, selection, and palletization warehousing processes (“System”). The Systems have both a hardware component and an essential software component that enables the Systems to be programmed to operate within specific customer environments. We enter into contracts with customers that can include various combinations of services to design and install the Systems. These services are generally distinct and accounted for as separate performance obligations. As a result, each customer contract may contain multiple performance obligations. We determine whether performance obligations are distinct based on whether the customer can benefit from the good or service on its own or together with other resources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84785"/>
                <wp:effectExtent l="0" t="0" r="0" b="0"/>
                <wp:wrapNone/>
                <wp:docPr id="38" name="Frame3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that are readily available and whether our commitment to provide the goods or services to the customer is separately identifiable from other promises in the contract.</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identified the following distinct performance obligations in our contracts with customers:</w:t>
      </w:r>
    </w:p>
    <w:p>
      <w:pPr>
        <w:pStyle w:val="TextBody"/>
        <w:bidi w:val="0"/>
        <w:spacing w:lineRule="auto" w:line="288" w:before="60" w:after="283"/>
        <w:ind w:left="0" w:right="0" w:firstLine="360"/>
        <w:jc w:val="left"/>
        <w:rPr/>
      </w:pPr>
      <w:r>
        <w:rPr>
          <w:rFonts w:ascii="Times New Roman;serif" w:hAnsi="Times New Roman;serif"/>
          <w:b w:val="false"/>
          <w:color w:val="000000"/>
          <w:sz w:val="20"/>
          <w:u w:val="single"/>
        </w:rPr>
        <w:t>Systems</w:t>
      </w:r>
      <w:r>
        <w:rPr>
          <w:rFonts w:ascii="Times New Roman;serif" w:hAnsi="Times New Roman;serif"/>
          <w:b w:val="false"/>
          <w:color w:val="000000"/>
          <w:sz w:val="20"/>
        </w:rPr>
        <w:t>: We design, assemble, and install Systems and perform configuration of essential software. Systems include the delivery of hardware and an essential software component, sold as either a perpetual or term-based on-premise license, that automate our customers’ depalletizing, storage, selection, and palletization warehousing processes. The hardware and essential software are each not capable of being distinct because our customers cannot benefit from the hardware or software on their own. Accordingly, they are treated as a single performance obligation. Fees for Systems are typically either cost-plus fixed fee amounts, fixed, or in certain cases, subject to a capped cost amount that are due based on the achievement of a variety of milestones beginning at contract inception through final acceptance. The substantial majority of our software is sold as a perpetual on-premise license, however, we do sell an immaterial amount of term-based on-premise licenses.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key metrics which describe our System from commencement to completion are as follows: (1) “Start” is defined as when we sign a Statement of Work (“SOW”) with a customer; (2) “Deployment” is defined as the period of time following the signed SOW until the acceptance of the System; and (3) “Operational” is defined as achieving acceptance of a System. The majority of Systems revenue occurs during Deployment, and once a System is Operational, software maintenance and support begins.</w:t>
      </w:r>
    </w:p>
    <w:p>
      <w:pPr>
        <w:pStyle w:val="TextBody"/>
        <w:bidi w:val="0"/>
        <w:spacing w:lineRule="auto" w:line="288" w:before="60" w:after="283"/>
        <w:ind w:left="0" w:right="0" w:firstLine="360"/>
        <w:jc w:val="left"/>
        <w:rPr/>
      </w:pPr>
      <w:r>
        <w:rPr>
          <w:rFonts w:ascii="Times New Roman;serif" w:hAnsi="Times New Roman;serif"/>
          <w:b w:val="false"/>
          <w:color w:val="000000"/>
          <w:sz w:val="20"/>
          <w:u w:val="single"/>
        </w:rPr>
        <w:t>Software Maintenance and Support</w:t>
      </w:r>
      <w:r>
        <w:rPr>
          <w:rFonts w:ascii="Times New Roman;serif" w:hAnsi="Times New Roman;serif"/>
          <w:b w:val="false"/>
          <w:color w:val="000000"/>
          <w:sz w:val="20"/>
        </w:rPr>
        <w:t>: “Software Maintenance and Support” is defined as support services that provide our customers with technical support, updates, and upgrades to the software license. Fees for Software Maintenance and Support are typically payable in advance on a quarterly, or annual basis over the term of the Software Maintenance and Support contract, which term can range from one to 15 years, but for a substantial majority of our Software Maintenance and Support contracts is 15 years.</w:t>
      </w:r>
    </w:p>
    <w:p>
      <w:pPr>
        <w:pStyle w:val="TextBody"/>
        <w:bidi w:val="0"/>
        <w:spacing w:lineRule="auto" w:line="288" w:before="60" w:after="283"/>
        <w:ind w:left="0" w:right="0" w:firstLine="360"/>
        <w:jc w:val="left"/>
        <w:rPr/>
      </w:pPr>
      <w:r>
        <w:rPr>
          <w:rFonts w:ascii="Times New Roman;serif" w:hAnsi="Times New Roman;serif"/>
          <w:b w:val="false"/>
          <w:color w:val="000000"/>
          <w:sz w:val="20"/>
          <w:u w:val="single"/>
        </w:rPr>
        <w:t>Operation Services</w:t>
      </w:r>
      <w:r>
        <w:rPr>
          <w:rFonts w:ascii="Times New Roman;serif" w:hAnsi="Times New Roman;serif"/>
          <w:b w:val="false"/>
          <w:color w:val="000000"/>
          <w:sz w:val="20"/>
        </w:rPr>
        <w:t>: “Operation Services” is defined as assistance services, which can range from training services to managed services to on-site services we provide our customers operating the System and ensuring user experience is optimized for efficiency and effectiveness. Fees for Operation Services are typically invoiced to our customers on a time and materials basis monthly in arrears or using a fixed fee structure. Also included in Operation Services is revenue generated from the sales of spare parts to our customers as needed to service their System.</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Cost of Revenue</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cost of revenue is composed of the following for each of our distinct performance obligations:</w:t>
      </w:r>
    </w:p>
    <w:p>
      <w:pPr>
        <w:pStyle w:val="TextBody"/>
        <w:bidi w:val="0"/>
        <w:spacing w:lineRule="auto" w:line="288" w:before="60" w:after="283"/>
        <w:ind w:left="0" w:right="0" w:firstLine="360"/>
        <w:jc w:val="left"/>
        <w:rPr/>
      </w:pPr>
      <w:r>
        <w:rPr>
          <w:rFonts w:ascii="Times New Roman;serif" w:hAnsi="Times New Roman;serif"/>
          <w:b w:val="false"/>
          <w:color w:val="000000"/>
          <w:sz w:val="20"/>
          <w:u w:val="single"/>
        </w:rPr>
        <w:t>Systems</w:t>
      </w:r>
      <w:r>
        <w:rPr>
          <w:rFonts w:ascii="Times New Roman;serif" w:hAnsi="Times New Roman;serif"/>
          <w:b w:val="false"/>
          <w:color w:val="000000"/>
          <w:sz w:val="20"/>
        </w:rPr>
        <w:t>: Systems cost of revenue consists primarily of material and labor consumed in the production and installation of Systems, as well as depreciation expense. The design, assembly, and installation of a System includes substantive customer-specified acceptance criteria that allow the customer to accept or reject Systems that do not meet the customer’s specifications. When we cannot objectively determine that acceptance criteria will be met upon contract inception, cost of revenue relating to Systems is deferred and expensed at a point in time upon final acceptance from the customer. If acceptance criteria can be reasonably certain upon contract inception, Systems cost of revenue is expensed as incurred.</w:t>
      </w:r>
    </w:p>
    <w:p>
      <w:pPr>
        <w:pStyle w:val="TextBody"/>
        <w:bidi w:val="0"/>
        <w:spacing w:lineRule="auto" w:line="288" w:before="60" w:after="283"/>
        <w:ind w:left="0" w:right="0" w:firstLine="360"/>
        <w:jc w:val="left"/>
        <w:rPr/>
      </w:pPr>
      <w:r>
        <w:rPr>
          <w:rFonts w:ascii="Times New Roman;serif" w:hAnsi="Times New Roman;serif"/>
          <w:b w:val="false"/>
          <w:color w:val="000000"/>
          <w:sz w:val="20"/>
          <w:u w:val="single"/>
        </w:rPr>
        <w:t>Software Maintenance and Support</w:t>
      </w:r>
      <w:r>
        <w:rPr>
          <w:rFonts w:ascii="Times New Roman;serif" w:hAnsi="Times New Roman;serif"/>
          <w:b w:val="false"/>
          <w:color w:val="000000"/>
          <w:sz w:val="20"/>
        </w:rPr>
        <w:t xml:space="preserve">: Cost of revenue attributable to Software Maintenance and Support primarily relates to labor cost for our maintenance team providing routine technical support, and maintenance updates and upgrades to our customers. Software Maintenance and Support cost of revenue is expensed as incurred. </w:t>
      </w:r>
    </w:p>
    <w:p>
      <w:pPr>
        <w:pStyle w:val="TextBody"/>
        <w:bidi w:val="0"/>
        <w:spacing w:lineRule="auto" w:line="288" w:before="60" w:after="283"/>
        <w:ind w:left="0" w:right="0" w:firstLine="360"/>
        <w:jc w:val="left"/>
        <w:rPr/>
      </w:pPr>
      <w:r>
        <w:rPr>
          <w:rFonts w:ascii="Times New Roman;serif" w:hAnsi="Times New Roman;serif"/>
          <w:b w:val="false"/>
          <w:color w:val="000000"/>
          <w:sz w:val="20"/>
          <w:u w:val="single"/>
        </w:rPr>
        <w:t>Operation Services</w:t>
      </w:r>
      <w:r>
        <w:rPr>
          <w:rFonts w:ascii="Times New Roman;serif" w:hAnsi="Times New Roman;serif"/>
          <w:b w:val="false"/>
          <w:color w:val="000000"/>
          <w:sz w:val="20"/>
        </w:rPr>
        <w:t xml:space="preserve">: Operation Services cost of revenue consists primarily of labor cost for our operations team who is providing assistance services to our customers. Operation Services cost of revenue also includes the cost of spare parts sold to our customers as needed to service their System. Operation Services cost of revenue is expensed as incurred. </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Costs incurred in the research and development of our products are expensed as incurred. Research and development costs include personnel, contracted services, materials, and indirect costs involved in the design and development of new products and services, as well as depreciation expense. </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include all costs that are not directly related to satisfaction of customer contracts or research and development. Selling, general, and administrative expenses include items for our selling and administrative functions, such as sales, finance, legal, human resources, and information technology support. These functions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84785"/>
                <wp:effectExtent l="0" t="0" r="0" b="0"/>
                <wp:wrapNone/>
                <wp:docPr id="39" name="Frame3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include costs for items such as salaries and benefits and other personnel-related costs, maintenance and supplies, professional fees for external legal, accounting, and other consulting services, intangible asset amortization, and depreciation expense. </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Restructuring Charges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Restructuring charges are costs associated with restructuring plans and are primarily related to employee severance and benefit arrangements, lower of cost and net realizable value adjustments to inventory and long-lived assets that will no longer be used in operations, and termination fees for any contracts cancelled as part of the restructuring plans. </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Other Income (Expense), Net</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income (expense), net primarily consists of dividend and interest income earned on our money market accounts, the impact of unrealized gains and losses on certain securities held, and the impact of foreign currency transaction gains and losses associated with monetary assets and liabilities.</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U.S. federal income taxes, in addition to state and local income taxes, with respect to our allocable share of any taxable income or loss of Symbotic Holdings LLC. We also have foreign subsidiaries which are subject to income tax in their local jurisdictions.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Results of Operations for the Three and Nine Months Ended June 27, 2026 and June 28, 2025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our results of operations for the periods presented and as a percentage of our total revenue for those periods. The data has been derived from the unaudited condensed consolidated financial statements contained in this Quarterly Report on Form 10-Q which include, in our opinion, all adjustments, consisting only of normal recurring adjustments, that we consider necessary for a fair statement of the financial position and results of operations for the interim periods presented. The period-to-period comparison of financial results is not necessarily indicative of financial results to be achieved in future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84785"/>
                <wp:effectExtent l="0" t="0" r="0" b="0"/>
                <wp:wrapNone/>
                <wp:docPr id="40" name="Frame4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573"/>
        <w:gridCol w:w="1349"/>
        <w:gridCol w:w="1360"/>
        <w:gridCol w:w="211"/>
        <w:gridCol w:w="831"/>
        <w:gridCol w:w="109"/>
        <w:gridCol w:w="109"/>
        <w:gridCol w:w="109"/>
        <w:gridCol w:w="109"/>
        <w:gridCol w:w="211"/>
        <w:gridCol w:w="831"/>
        <w:gridCol w:w="109"/>
        <w:gridCol w:w="109"/>
        <w:gridCol w:w="109"/>
        <w:gridCol w:w="109"/>
        <w:gridCol w:w="211"/>
        <w:gridCol w:w="976"/>
        <w:gridCol w:w="109"/>
        <w:gridCol w:w="109"/>
        <w:gridCol w:w="109"/>
        <w:gridCol w:w="109"/>
        <w:gridCol w:w="211"/>
        <w:gridCol w:w="976"/>
        <w:gridCol w:w="157"/>
      </w:tblGrid>
      <w:tr>
        <w:trPr/>
        <w:tc>
          <w:tcPr>
            <w:tcW w:w="1573"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For the Nine Months Ended</w:t>
            </w:r>
          </w:p>
        </w:tc>
      </w:tr>
      <w:tr>
        <w:trPr/>
        <w:tc>
          <w:tcPr>
            <w:tcW w:w="4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28, 2025</w:t>
            </w:r>
          </w:p>
        </w:tc>
      </w:tr>
      <w:tr>
        <w:trPr/>
        <w:tc>
          <w:tcPr>
            <w:tcW w:w="4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3"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428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Revenue:</w:t>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Systems</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670,952 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559,108 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1,895,740 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1,536,539 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Software maintenance and support</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20,331 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Operation services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37,121 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94,989 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71,595 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720,838 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592,121 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2,027,303 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1,628,465 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Cost of revenue:</w:t>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Systems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523,607 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453,967 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1,489,031 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1,246,745 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Software maintenance and support</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5,593 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Operation services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84,178 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72,476 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559,928 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480,279 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1,583,017 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1,324,814 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160,910 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111,842 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444,286 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303,651 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Operating expenses:</w:t>
            </w:r>
          </w:p>
        </w:tc>
        <w:tc>
          <w:tcPr>
            <w:tcW w:w="11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138,069 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150,967 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84,235 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71,557 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258,020 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205,567 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16,361 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128,015 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137,647 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398,774 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372,895 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(25,805)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(69,244)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54,688 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27,987 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 and equity method investment</w:t>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63,482 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(17,354)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(41,257)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Income (loss) from equity method investment</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(7,831)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55,000 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(21,174)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77,787 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(47,884)</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84785"/>
                <wp:effectExtent l="0" t="0" r="0" b="0"/>
                <wp:wrapNone/>
                <wp:docPr id="41" name="Frame4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639"/>
        <w:gridCol w:w="1413"/>
        <w:gridCol w:w="1424"/>
        <w:gridCol w:w="257"/>
        <w:gridCol w:w="247"/>
        <w:gridCol w:w="571"/>
        <w:gridCol w:w="179"/>
        <w:gridCol w:w="179"/>
        <w:gridCol w:w="179"/>
        <w:gridCol w:w="257"/>
        <w:gridCol w:w="247"/>
        <w:gridCol w:w="571"/>
        <w:gridCol w:w="109"/>
        <w:gridCol w:w="109"/>
        <w:gridCol w:w="109"/>
        <w:gridCol w:w="257"/>
        <w:gridCol w:w="247"/>
        <w:gridCol w:w="570"/>
        <w:gridCol w:w="171"/>
        <w:gridCol w:w="171"/>
        <w:gridCol w:w="171"/>
        <w:gridCol w:w="244"/>
        <w:gridCol w:w="239"/>
        <w:gridCol w:w="645"/>
      </w:tblGrid>
      <w:tr>
        <w:trPr/>
        <w:tc>
          <w:tcPr>
            <w:tcW w:w="1639"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For the Nine Months Ended</w:t>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c>
          <w:tcPr>
            <w:tcW w:w="5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c>
          <w:tcPr>
            <w:tcW w:w="5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28, 2025</w:t>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Revenue:</w:t>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Systems</w:t>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5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5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57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64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Software maintenance and support</w:t>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Operation services</w:t>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5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Cost of revenue:</w:t>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Systems</w:t>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6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Software maintenance and support</w:t>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Operation services</w:t>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5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5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6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5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Operating expenses:</w:t>
            </w:r>
          </w:p>
        </w:tc>
        <w:tc>
          <w:tcPr>
            <w:tcW w:w="10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6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5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6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5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5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 and equity method investment</w:t>
            </w:r>
          </w:p>
        </w:tc>
        <w:tc>
          <w:tcPr>
            <w:tcW w:w="5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Income (loss) from equity method investment</w:t>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6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5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00"/>
        <w:jc w:val="both"/>
        <w:rPr>
          <w:rFonts w:ascii="Times New Roman;serif" w:hAnsi="Times New Roman;serif"/>
          <w:b w:val="false"/>
          <w:i/>
          <w:color w:val="000000"/>
          <w:sz w:val="16"/>
        </w:rPr>
      </w:pPr>
      <w:r>
        <w:rPr>
          <w:rFonts w:ascii="Times New Roman;serif" w:hAnsi="Times New Roman;serif"/>
          <w:b w:val="false"/>
          <w:i/>
          <w:color w:val="000000"/>
          <w:sz w:val="16"/>
        </w:rPr>
        <w:t xml:space="preserve">*Percentages are based on actual values. Totals may not sum due to rounding.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Three and Nine Months Ended June 27, 2026 Compared to the Three and Nine Months Ended June 28, 2025</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 xml:space="preserve">Revenue </w:t>
      </w:r>
    </w:p>
    <w:tbl>
      <w:tblPr>
        <w:tblW w:w="8022" w:type="dxa"/>
        <w:jc w:val="left"/>
        <w:tblInd w:w="0" w:type="dxa"/>
        <w:tblLayout w:type="fixed"/>
        <w:tblCellMar>
          <w:top w:w="28" w:type="dxa"/>
          <w:left w:w="28" w:type="dxa"/>
          <w:bottom w:w="28" w:type="dxa"/>
          <w:right w:w="28" w:type="dxa"/>
        </w:tblCellMar>
      </w:tblPr>
      <w:tblGrid>
        <w:gridCol w:w="1052"/>
        <w:gridCol w:w="924"/>
        <w:gridCol w:w="934"/>
        <w:gridCol w:w="212"/>
        <w:gridCol w:w="833"/>
        <w:gridCol w:w="109"/>
        <w:gridCol w:w="109"/>
        <w:gridCol w:w="109"/>
        <w:gridCol w:w="109"/>
        <w:gridCol w:w="212"/>
        <w:gridCol w:w="833"/>
        <w:gridCol w:w="109"/>
        <w:gridCol w:w="109"/>
        <w:gridCol w:w="109"/>
        <w:gridCol w:w="109"/>
        <w:gridCol w:w="211"/>
        <w:gridCol w:w="826"/>
        <w:gridCol w:w="109"/>
        <w:gridCol w:w="109"/>
        <w:gridCol w:w="109"/>
        <w:gridCol w:w="109"/>
        <w:gridCol w:w="180"/>
        <w:gridCol w:w="181"/>
        <w:gridCol w:w="316"/>
      </w:tblGrid>
      <w:tr>
        <w:trPr/>
        <w:tc>
          <w:tcPr>
            <w:tcW w:w="105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(dollars in thousands)</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Systems</w:t>
            </w:r>
          </w:p>
        </w:tc>
        <w:tc>
          <w:tcPr>
            <w:tcW w:w="21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670,952 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559,108 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111,844 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Software maintenance and support</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1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Operation services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37,121 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720,838 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592,121 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128,717 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1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Systems revenue increased during the three months ended June 27, 2026, as compared to the three months ended June 28, 2025, due to there being 77 Systems in Deployment during the fiscal quarter ended June 27, 2026, as compared to 46 Systems in Deployment during the same quarter of fiscal 2025.</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Software Maintenance and Support revenue is due to 56 Operational Systems which are under Software Maintenance and Support contracts for the three months ended June 27, 2026, as compared to 42 Operational Systems which were under Software Maintenance and Support contracts for the three months ended June 28, 2025.</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Operation Services revenue is primarily attributable to an increase in the number of Operational Systems where we are performing Operation Services for the three months ended June 27, 2026, as compared to the three months ended June 28,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84785"/>
                <wp:effectExtent l="0" t="0" r="0" b="0"/>
                <wp:wrapNone/>
                <wp:docPr id="42" name="Frame4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tbl>
      <w:tblPr>
        <w:tblW w:w="8306" w:type="dxa"/>
        <w:jc w:val="left"/>
        <w:tblInd w:w="0" w:type="dxa"/>
        <w:tblLayout w:type="fixed"/>
        <w:tblCellMar>
          <w:top w:w="28" w:type="dxa"/>
          <w:left w:w="28" w:type="dxa"/>
          <w:bottom w:w="28" w:type="dxa"/>
          <w:right w:w="28" w:type="dxa"/>
        </w:tblCellMar>
      </w:tblPr>
      <w:tblGrid>
        <w:gridCol w:w="1052"/>
        <w:gridCol w:w="924"/>
        <w:gridCol w:w="934"/>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180"/>
        <w:gridCol w:w="181"/>
        <w:gridCol w:w="316"/>
      </w:tblGrid>
      <w:tr>
        <w:trPr/>
        <w:tc>
          <w:tcPr>
            <w:tcW w:w="105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For the 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6"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(dollars in thousands)</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Systems</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1,895,740 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1,536,539 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359,201 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Software maintenance and support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1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Operation services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94,989 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71,595 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2,027,303 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1,628,465 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398,838 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1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Systems revenue increased during the nine months ended June 27, 2026, as compared to the nine months ended June 28, 2025, due to additional revenue generated from the 2025 Walmart MAA and there being 77 Systems in Deployment during the nine months ended June 27, 2026, as compared to 46 Systems in Deployment during the nine months ended June 28, 2025.</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Software Maintenance and Support revenue is due to 56 Operational Systems which are under Software Maintenance and Support contracts for the nine months ended June 27, 2026, as compared to 42 Operational Systems which were under Software Maintenance and Support contracts for the nine months ended June 28, 2025.</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Operation Services revenue is attributable to an increase in the number of Operational Systems where we are performing Operation Services for the nine months ended June 27, 2026, as compared to the nine months ended June 28, 2025, partially offset by a decrease in training services provided to our customers. As we continue to increase the number of Operational Systems, an increase in the number of Operation Services contracts is expected.</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Gross Profit</w:t>
      </w:r>
    </w:p>
    <w:p>
      <w:pPr>
        <w:pStyle w:val="TextBody"/>
        <w:bidi w:val="0"/>
        <w:spacing w:lineRule="auto" w:line="288" w:before="60" w:after="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our gross profit for the three months ended June 27, 2026 and June 28, 2025: </w:t>
      </w:r>
    </w:p>
    <w:tbl>
      <w:tblPr>
        <w:tblW w:w="6958" w:type="dxa"/>
        <w:jc w:val="center"/>
        <w:tblInd w:w="0" w:type="dxa"/>
        <w:tblLayout w:type="fixed"/>
        <w:tblCellMar>
          <w:top w:w="28" w:type="dxa"/>
          <w:left w:w="28" w:type="dxa"/>
          <w:bottom w:w="28" w:type="dxa"/>
          <w:right w:w="28" w:type="dxa"/>
        </w:tblCellMar>
      </w:tblPr>
      <w:tblGrid>
        <w:gridCol w:w="1052"/>
        <w:gridCol w:w="924"/>
        <w:gridCol w:w="934"/>
        <w:gridCol w:w="212"/>
        <w:gridCol w:w="833"/>
        <w:gridCol w:w="109"/>
        <w:gridCol w:w="109"/>
        <w:gridCol w:w="109"/>
        <w:gridCol w:w="109"/>
        <w:gridCol w:w="212"/>
        <w:gridCol w:w="833"/>
        <w:gridCol w:w="109"/>
        <w:gridCol w:w="109"/>
        <w:gridCol w:w="109"/>
        <w:gridCol w:w="109"/>
        <w:gridCol w:w="211"/>
        <w:gridCol w:w="721"/>
        <w:gridCol w:w="154"/>
      </w:tblGrid>
      <w:tr>
        <w:trPr/>
        <w:tc>
          <w:tcPr>
            <w:tcW w:w="105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8"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Systems</w:t>
            </w:r>
          </w:p>
        </w:tc>
        <w:tc>
          <w:tcPr>
            <w:tcW w:w="21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147,345 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105,141 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Software maintenance and support</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Operation services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160,910 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111,842 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49,068 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Systems gross profit increased $42.2 million for the three months ended June 27, 2026, as compared to the three months ended June 28, 2025. The increase in Systems gross profit is primarily driven by there being 77 Systems in Deployment during the three months ended June 27, 2026, as compared to 46 Systems in Deployment during the three months ended June 28, 2025 as well as our capture of the increasing value we are driving for customers. The increase in Systems gross profit was further driven by continued strong project execution and cost discipline, partially offset by increased tariff expenses as tariff regulations continue to evolve.</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Software Maintenance and Support gross profit is driven by the revenue from the additional Operational Systems which are under Software Maintenance and Support contracts for the three months ended June 27, 2026, as compared to the three months ended June 28, 2025, while costs to perform our maintenance and support services remained relatively flat.</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Operation Services gross profit for the three months ended June 27, 2026, as compared to the three months ended June 28, 2025, is driven by an increase in training services provided to our customers in connection with the increase in the number of Operational Systems, as well as the sale of spare parts to our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84785"/>
                <wp:effectExtent l="0" t="0" r="0" b="0"/>
                <wp:wrapNone/>
                <wp:docPr id="43" name="Frame4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our gross profit for the nine months ended June 27, 2026 and June 28, 2025: </w:t>
      </w:r>
    </w:p>
    <w:tbl>
      <w:tblPr>
        <w:tblW w:w="7063" w:type="dxa"/>
        <w:jc w:val="left"/>
        <w:tblInd w:w="0" w:type="dxa"/>
        <w:tblLayout w:type="fixed"/>
        <w:tblCellMar>
          <w:top w:w="28" w:type="dxa"/>
          <w:left w:w="28" w:type="dxa"/>
          <w:bottom w:w="28" w:type="dxa"/>
          <w:right w:w="28" w:type="dxa"/>
        </w:tblCellMar>
      </w:tblPr>
      <w:tblGrid>
        <w:gridCol w:w="1052"/>
        <w:gridCol w:w="924"/>
        <w:gridCol w:w="934"/>
        <w:gridCol w:w="212"/>
        <w:gridCol w:w="833"/>
        <w:gridCol w:w="109"/>
        <w:gridCol w:w="109"/>
        <w:gridCol w:w="109"/>
        <w:gridCol w:w="109"/>
        <w:gridCol w:w="212"/>
        <w:gridCol w:w="833"/>
        <w:gridCol w:w="109"/>
        <w:gridCol w:w="109"/>
        <w:gridCol w:w="109"/>
        <w:gridCol w:w="109"/>
        <w:gridCol w:w="211"/>
        <w:gridCol w:w="826"/>
        <w:gridCol w:w="154"/>
      </w:tblGrid>
      <w:tr>
        <w:trPr/>
        <w:tc>
          <w:tcPr>
            <w:tcW w:w="105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For the 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3"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Systems</w:t>
            </w:r>
          </w:p>
        </w:tc>
        <w:tc>
          <w:tcPr>
            <w:tcW w:w="21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406,709 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289,794 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116,915 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Software maintenance and support</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12,028 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Operation services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11,692 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444,286 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303,651 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140,635 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Systems gross profit increased $116.9 million for the nine months ended June 27, 2026, as compared to the nine months ended June 28, 2025. The increase in Systems gross profit is primarily driven by our capture of the increasing value we are driving for customers as well as the 77 Systems in Deployment during the nine months ended June 27, 2026, as compared to 46 Systems in Deployment during the nine months ended June 28, 2025. The increase in Systems gross profit was further driven by continued strong project execution and cost discipline, partially offset by increased tariff expenses as tariff regulations continue to evolve, and increased warranty expense.</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Software Maintenance and Support gross profit is driven by the revenue from the additional Operational Systems which are under Software Maintenance and Support contracts for the nine months ended June 27, 2026, as compared to the nine months ended June 28, 2025, while costs to perform our maintenance and support services remained relatively flat.</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Operation Services gross profit for the nine months ended June 27, 2026, as compared to the nine months ended June 28, 2025, is primarily driven by operational efficiencies and an increase in the number of Operational Systems from the prior year.</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tbl>
      <w:tblPr>
        <w:tblW w:w="7475" w:type="dxa"/>
        <w:jc w:val="center"/>
        <w:tblInd w:w="0" w:type="dxa"/>
        <w:tblLayout w:type="fixed"/>
        <w:tblCellMar>
          <w:top w:w="28" w:type="dxa"/>
          <w:left w:w="28" w:type="dxa"/>
          <w:bottom w:w="28" w:type="dxa"/>
          <w:right w:w="28" w:type="dxa"/>
        </w:tblCellMar>
      </w:tblPr>
      <w:tblGrid>
        <w:gridCol w:w="843"/>
        <w:gridCol w:w="739"/>
        <w:gridCol w:w="743"/>
        <w:gridCol w:w="211"/>
        <w:gridCol w:w="721"/>
        <w:gridCol w:w="271"/>
        <w:gridCol w:w="109"/>
        <w:gridCol w:w="109"/>
        <w:gridCol w:w="109"/>
        <w:gridCol w:w="211"/>
        <w:gridCol w:w="721"/>
        <w:gridCol w:w="271"/>
        <w:gridCol w:w="109"/>
        <w:gridCol w:w="109"/>
        <w:gridCol w:w="109"/>
        <w:gridCol w:w="211"/>
        <w:gridCol w:w="691"/>
        <w:gridCol w:w="109"/>
        <w:gridCol w:w="109"/>
        <w:gridCol w:w="109"/>
        <w:gridCol w:w="109"/>
        <w:gridCol w:w="218"/>
        <w:gridCol w:w="218"/>
        <w:gridCol w:w="316"/>
      </w:tblGrid>
      <w:tr>
        <w:trPr/>
        <w:tc>
          <w:tcPr>
            <w:tcW w:w="84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0"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(dollars in thousands)</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43,780 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49,729 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(5,949)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research and development expenses for the three months ended June 27, 2026, as compared to the three months ended June 28, 2025, is due to the following:</w:t>
      </w:r>
    </w:p>
    <w:tbl>
      <w:tblPr>
        <w:tblW w:w="6599" w:type="dxa"/>
        <w:jc w:val="center"/>
        <w:tblInd w:w="0" w:type="dxa"/>
        <w:tblLayout w:type="fixed"/>
        <w:tblCellMar>
          <w:top w:w="28" w:type="dxa"/>
          <w:left w:w="28" w:type="dxa"/>
          <w:bottom w:w="28" w:type="dxa"/>
          <w:right w:w="28" w:type="dxa"/>
        </w:tblCellMar>
      </w:tblPr>
      <w:tblGrid>
        <w:gridCol w:w="1965"/>
        <w:gridCol w:w="1730"/>
        <w:gridCol w:w="1735"/>
        <w:gridCol w:w="233"/>
        <w:gridCol w:w="766"/>
        <w:gridCol w:w="170"/>
      </w:tblGrid>
      <w:tr>
        <w:trPr/>
        <w:tc>
          <w:tcPr>
            <w:tcW w:w="1965"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Employee-related costs</w:t>
            </w:r>
          </w:p>
        </w:tc>
        <w:tc>
          <w:tcPr>
            <w:tcW w:w="23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(3,199)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Prototyping-related costs, allocated overhead expenses, and other</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(2,750)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(5,949)</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Employee-related costs decreased for the three months ended June 27, 2026, as compared to the three months ended June 28, 2025. The decrease in employee-related costs was primarily driven by a decrease in stock-based compensation expense as well as cost savings realized from the restructuring which occurred in the third quarter of fiscal year 2025.</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Prototyping-related costs, allocated overhead expenses, and other expenses decreased for the three months ended June 27, 2026, as compared to the three months ended June 28, 2025, primarily from there being fewer developed technology intangible assets with remaining amortization for the three months ended June 27, 2026 as compared to the three months ended June 28,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84785"/>
                <wp:effectExtent l="0" t="0" r="0" b="0"/>
                <wp:wrapNone/>
                <wp:docPr id="44" name="Frame4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tbl>
      <w:tblPr>
        <w:tblW w:w="7684" w:type="dxa"/>
        <w:jc w:val="left"/>
        <w:tblInd w:w="0" w:type="dxa"/>
        <w:tblLayout w:type="fixed"/>
        <w:tblCellMar>
          <w:top w:w="28" w:type="dxa"/>
          <w:left w:w="28" w:type="dxa"/>
          <w:bottom w:w="28" w:type="dxa"/>
          <w:right w:w="28" w:type="dxa"/>
        </w:tblCellMar>
      </w:tblPr>
      <w:tblGrid>
        <w:gridCol w:w="843"/>
        <w:gridCol w:w="739"/>
        <w:gridCol w:w="743"/>
        <w:gridCol w:w="211"/>
        <w:gridCol w:w="826"/>
        <w:gridCol w:w="271"/>
        <w:gridCol w:w="109"/>
        <w:gridCol w:w="109"/>
        <w:gridCol w:w="109"/>
        <w:gridCol w:w="211"/>
        <w:gridCol w:w="826"/>
        <w:gridCol w:w="271"/>
        <w:gridCol w:w="109"/>
        <w:gridCol w:w="109"/>
        <w:gridCol w:w="109"/>
        <w:gridCol w:w="211"/>
        <w:gridCol w:w="796"/>
        <w:gridCol w:w="109"/>
        <w:gridCol w:w="109"/>
        <w:gridCol w:w="109"/>
        <w:gridCol w:w="109"/>
        <w:gridCol w:w="164"/>
        <w:gridCol w:w="166"/>
        <w:gridCol w:w="316"/>
      </w:tblGrid>
      <w:tr>
        <w:trPr/>
        <w:tc>
          <w:tcPr>
            <w:tcW w:w="84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For the 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9"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(dollars in thousands)</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138,069 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150,967 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research and development expenses for the nine months ended June 27, 2026, as compared to the nine months ended June 28, 2025, is due to the following:</w:t>
      </w:r>
    </w:p>
    <w:tbl>
      <w:tblPr>
        <w:tblW w:w="6599" w:type="dxa"/>
        <w:jc w:val="left"/>
        <w:tblInd w:w="0" w:type="dxa"/>
        <w:tblLayout w:type="fixed"/>
        <w:tblCellMar>
          <w:top w:w="28" w:type="dxa"/>
          <w:left w:w="28" w:type="dxa"/>
          <w:bottom w:w="28" w:type="dxa"/>
          <w:right w:w="28" w:type="dxa"/>
        </w:tblCellMar>
      </w:tblPr>
      <w:tblGrid>
        <w:gridCol w:w="1965"/>
        <w:gridCol w:w="1730"/>
        <w:gridCol w:w="1735"/>
        <w:gridCol w:w="212"/>
        <w:gridCol w:w="802"/>
        <w:gridCol w:w="155"/>
      </w:tblGrid>
      <w:tr>
        <w:trPr/>
        <w:tc>
          <w:tcPr>
            <w:tcW w:w="1965"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Employee-related costs</w:t>
            </w:r>
          </w:p>
        </w:tc>
        <w:tc>
          <w:tcPr>
            <w:tcW w:w="21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(5,293)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Prototyping-related costs, allocated overhead expenses, and other</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(7,605)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(12,898)</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Employee-related costs decreased for the nine months ended June 27, 2026, as compared to the nine months ended June 28, 2025. The primary driver in the decrease to employee-related costs for the nine months ended June 27, 2026, as compared to the nine months ended June 28, 2025, was from an increase in engineering resources assigned to customer projects, which was primarily related to the 2025 MAA.</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Prototyping-related costs, allocated overhead expenses, and other expenses decreased for the nine months ended June 27, 2026, as compared to the nine months ended June 28, 2025, primarily from a decrease in prototype-related costs as we have completed older research and development projects, while costs for current research and development projects require fewer prototypes.</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tbl>
      <w:tblPr>
        <w:tblW w:w="8104" w:type="dxa"/>
        <w:jc w:val="center"/>
        <w:tblInd w:w="0" w:type="dxa"/>
        <w:tblLayout w:type="fixed"/>
        <w:tblCellMar>
          <w:top w:w="28" w:type="dxa"/>
          <w:left w:w="28" w:type="dxa"/>
          <w:bottom w:w="28" w:type="dxa"/>
          <w:right w:w="28" w:type="dxa"/>
        </w:tblCellMar>
      </w:tblPr>
      <w:tblGrid>
        <w:gridCol w:w="1087"/>
        <w:gridCol w:w="955"/>
        <w:gridCol w:w="957"/>
        <w:gridCol w:w="211"/>
        <w:gridCol w:w="721"/>
        <w:gridCol w:w="271"/>
        <w:gridCol w:w="109"/>
        <w:gridCol w:w="109"/>
        <w:gridCol w:w="109"/>
        <w:gridCol w:w="211"/>
        <w:gridCol w:w="721"/>
        <w:gridCol w:w="271"/>
        <w:gridCol w:w="109"/>
        <w:gridCol w:w="109"/>
        <w:gridCol w:w="109"/>
        <w:gridCol w:w="211"/>
        <w:gridCol w:w="721"/>
        <w:gridCol w:w="109"/>
        <w:gridCol w:w="109"/>
        <w:gridCol w:w="109"/>
        <w:gridCol w:w="109"/>
        <w:gridCol w:w="180"/>
        <w:gridCol w:w="181"/>
        <w:gridCol w:w="316"/>
      </w:tblGrid>
      <w:tr>
        <w:trPr/>
        <w:tc>
          <w:tcPr>
            <w:tcW w:w="108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5"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(dollars in thousands)</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84,235 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71,557 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selling, general, and administrative expenses for the three months ended June 27, 2026, as compared to the three months ended June 28, 2025, is due to the following: </w:t>
      </w:r>
    </w:p>
    <w:tbl>
      <w:tblPr>
        <w:tblW w:w="4469" w:type="dxa"/>
        <w:jc w:val="center"/>
        <w:tblInd w:w="0" w:type="dxa"/>
        <w:tblLayout w:type="fixed"/>
        <w:tblCellMar>
          <w:top w:w="28" w:type="dxa"/>
          <w:left w:w="28" w:type="dxa"/>
          <w:bottom w:w="28" w:type="dxa"/>
          <w:right w:w="28" w:type="dxa"/>
        </w:tblCellMar>
      </w:tblPr>
      <w:tblGrid>
        <w:gridCol w:w="1194"/>
        <w:gridCol w:w="1051"/>
        <w:gridCol w:w="1054"/>
        <w:gridCol w:w="227"/>
        <w:gridCol w:w="777"/>
        <w:gridCol w:w="166"/>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Employee-related costs</w:t>
            </w:r>
          </w:p>
        </w:tc>
        <w:tc>
          <w:tcPr>
            <w:tcW w:w="22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12,227 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Allocated overhead expenses and other</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12,678 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Employee-related costs increased in the three months ended June 27, 2026, as compared to the three months ended June 28, 2025, primarily as a result of our full-time employee and contractor headcount growth within our selling, general, and administrative functions. We increased our headcount primarily to support the increased number of Systems in Deployment and business transformation. We incurred incremental costs related to building both shorter-term as well as permanent processes and infrastructure to ramp partnerships and operations.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Allocated overhead and other expenses increased in the three months ended June 27, 2026, as compared to the three months ended June 28, 2025, primarily due to an increase in information technology related costs to support growth within our employee base and infrastructure. This increase was partially offset by a decrease in legal expenses from the prior year as we incurred more legal expenses related to our internal controls remediation and acquisition activity for the three months ended June 28,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84785"/>
                <wp:effectExtent l="0" t="0" r="0" b="0"/>
                <wp:wrapNone/>
                <wp:docPr id="45" name="Frame4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tbl>
      <w:tblPr>
        <w:tblW w:w="8314" w:type="dxa"/>
        <w:jc w:val="left"/>
        <w:tblInd w:w="0" w:type="dxa"/>
        <w:tblLayout w:type="fixed"/>
        <w:tblCellMar>
          <w:top w:w="28" w:type="dxa"/>
          <w:left w:w="28" w:type="dxa"/>
          <w:bottom w:w="28" w:type="dxa"/>
          <w:right w:w="28" w:type="dxa"/>
        </w:tblCellMar>
      </w:tblPr>
      <w:tblGrid>
        <w:gridCol w:w="1087"/>
        <w:gridCol w:w="955"/>
        <w:gridCol w:w="957"/>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180"/>
        <w:gridCol w:w="181"/>
        <w:gridCol w:w="316"/>
      </w:tblGrid>
      <w:tr>
        <w:trPr/>
        <w:tc>
          <w:tcPr>
            <w:tcW w:w="108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For the 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(dollars in thousands)</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258,020 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205,567 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52,453 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selling, general, and administrative expenses for the nine months ended June 27, 2026, as compared to the nine months ended June 28, 2025, is due to the following: </w:t>
      </w:r>
    </w:p>
    <w:tbl>
      <w:tblPr>
        <w:tblW w:w="4469" w:type="dxa"/>
        <w:jc w:val="left"/>
        <w:tblInd w:w="0" w:type="dxa"/>
        <w:tblLayout w:type="fixed"/>
        <w:tblCellMar>
          <w:top w:w="28" w:type="dxa"/>
          <w:left w:w="28" w:type="dxa"/>
          <w:bottom w:w="28" w:type="dxa"/>
          <w:right w:w="28" w:type="dxa"/>
        </w:tblCellMar>
      </w:tblPr>
      <w:tblGrid>
        <w:gridCol w:w="1194"/>
        <w:gridCol w:w="1051"/>
        <w:gridCol w:w="1054"/>
        <w:gridCol w:w="227"/>
        <w:gridCol w:w="777"/>
        <w:gridCol w:w="166"/>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Employee-related costs</w:t>
            </w:r>
          </w:p>
        </w:tc>
        <w:tc>
          <w:tcPr>
            <w:tcW w:w="22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51,904 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Allocated overhead expenses and other</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52,453 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Employee-related costs increased in the nine months ended June 27, 2026, as compared to the nine months ended June 28, 2025, primarily as a result of our full-time employee and contractor headcount growth within our selling, general, and administrative functions. We increased our headcount primarily to support the increased number of Systems in Deployment and business transformation. We incurred incremental costs related to building both shorter-term as well as permanent processes and infrastructure to ramp partnerships and operations.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Allocated overhead and other expenses increased in the nine months ended June 27, 2026, as compared to the nine months ended June 28, 2025, primarily due to an increase in information technology related costs to support growth within our employee base and infrastructure as well as an increase in rent and property tax as we have increased our number of properties as we expand into other locations. This increase was partially offset by a decrease in legal expenses from the prior year as we incurred more legal expenses related to our internal controls remediation and acquisition activity for the nine months ended June 28, 2025.</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Other income, net</w:t>
      </w:r>
    </w:p>
    <w:tbl>
      <w:tblPr>
        <w:tblW w:w="7487" w:type="dxa"/>
        <w:jc w:val="center"/>
        <w:tblInd w:w="0" w:type="dxa"/>
        <w:tblLayout w:type="fixed"/>
        <w:tblCellMar>
          <w:top w:w="28" w:type="dxa"/>
          <w:left w:w="28" w:type="dxa"/>
          <w:bottom w:w="28" w:type="dxa"/>
          <w:right w:w="28" w:type="dxa"/>
        </w:tblCellMar>
      </w:tblPr>
      <w:tblGrid>
        <w:gridCol w:w="840"/>
        <w:gridCol w:w="741"/>
        <w:gridCol w:w="744"/>
        <w:gridCol w:w="211"/>
        <w:gridCol w:w="721"/>
        <w:gridCol w:w="271"/>
        <w:gridCol w:w="109"/>
        <w:gridCol w:w="109"/>
        <w:gridCol w:w="109"/>
        <w:gridCol w:w="222"/>
        <w:gridCol w:w="648"/>
        <w:gridCol w:w="285"/>
        <w:gridCol w:w="109"/>
        <w:gridCol w:w="109"/>
        <w:gridCol w:w="109"/>
        <w:gridCol w:w="211"/>
        <w:gridCol w:w="721"/>
        <w:gridCol w:w="109"/>
        <w:gridCol w:w="109"/>
        <w:gridCol w:w="109"/>
        <w:gridCol w:w="109"/>
        <w:gridCol w:w="233"/>
        <w:gridCol w:w="233"/>
        <w:gridCol w:w="316"/>
      </w:tblGrid>
      <w:tr>
        <w:trPr/>
        <w:tc>
          <w:tcPr>
            <w:tcW w:w="8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2"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(dollars in thousands)</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30,587 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8,451 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8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other income, net for the three months ended June 27, 2026, as compared to the three months ended June 28, 2025, was primarily due to fair value adjustments made on certain of our strategic investments for observable price changes in the three months ended June 27, 2026, when such observable price changes were not present in the three months ended June 28, 2025.</w:t>
      </w:r>
    </w:p>
    <w:tbl>
      <w:tblPr>
        <w:tblW w:w="7430" w:type="dxa"/>
        <w:jc w:val="left"/>
        <w:tblInd w:w="0" w:type="dxa"/>
        <w:tblLayout w:type="fixed"/>
        <w:tblCellMar>
          <w:top w:w="28" w:type="dxa"/>
          <w:left w:w="28" w:type="dxa"/>
          <w:bottom w:w="28" w:type="dxa"/>
          <w:right w:w="28" w:type="dxa"/>
        </w:tblCellMar>
      </w:tblPr>
      <w:tblGrid>
        <w:gridCol w:w="840"/>
        <w:gridCol w:w="741"/>
        <w:gridCol w:w="744"/>
        <w:gridCol w:w="211"/>
        <w:gridCol w:w="721"/>
        <w:gridCol w:w="271"/>
        <w:gridCol w:w="109"/>
        <w:gridCol w:w="109"/>
        <w:gridCol w:w="109"/>
        <w:gridCol w:w="211"/>
        <w:gridCol w:w="721"/>
        <w:gridCol w:w="271"/>
        <w:gridCol w:w="109"/>
        <w:gridCol w:w="109"/>
        <w:gridCol w:w="109"/>
        <w:gridCol w:w="211"/>
        <w:gridCol w:w="721"/>
        <w:gridCol w:w="109"/>
        <w:gridCol w:w="109"/>
        <w:gridCol w:w="109"/>
        <w:gridCol w:w="109"/>
        <w:gridCol w:w="180"/>
        <w:gridCol w:w="181"/>
        <w:gridCol w:w="316"/>
      </w:tblGrid>
      <w:tr>
        <w:trPr/>
        <w:tc>
          <w:tcPr>
            <w:tcW w:w="8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For the 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5"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(dollars in thousands)</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54,688 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27,987 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other income, net for the nine months ended June 27, 2026, as compared to the nine months ended June 28, 2025, was primarily due to an increase in fair value adjustments made on certain of our strategic investments for observable price changes in the nine months ended June 27, 2026, as compared to the nine months ended June 28, 2025. Additionally, the increase in other income, net for the nine months ended June 27, 2026, as compared to the nine months ended June 28, 2025, was due to higher interest earned on invested cash balances for the nine months ended June 27, 2026, as compared to the nine months ended June 28,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84785"/>
                <wp:effectExtent l="0" t="0" r="0" b="0"/>
                <wp:wrapNone/>
                <wp:docPr id="46" name="Frame4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Income Taxes</w:t>
      </w:r>
    </w:p>
    <w:tbl>
      <w:tblPr>
        <w:tblW w:w="7745" w:type="dxa"/>
        <w:jc w:val="left"/>
        <w:tblInd w:w="0" w:type="dxa"/>
        <w:tblLayout w:type="fixed"/>
        <w:tblCellMar>
          <w:top w:w="28" w:type="dxa"/>
          <w:left w:w="28" w:type="dxa"/>
          <w:bottom w:w="28" w:type="dxa"/>
          <w:right w:w="28" w:type="dxa"/>
        </w:tblCellMar>
      </w:tblPr>
      <w:tblGrid>
        <w:gridCol w:w="889"/>
        <w:gridCol w:w="784"/>
        <w:gridCol w:w="787"/>
        <w:gridCol w:w="260"/>
        <w:gridCol w:w="760"/>
        <w:gridCol w:w="134"/>
        <w:gridCol w:w="127"/>
        <w:gridCol w:w="127"/>
        <w:gridCol w:w="127"/>
        <w:gridCol w:w="322"/>
        <w:gridCol w:w="666"/>
        <w:gridCol w:w="166"/>
        <w:gridCol w:w="109"/>
        <w:gridCol w:w="109"/>
        <w:gridCol w:w="109"/>
        <w:gridCol w:w="211"/>
        <w:gridCol w:w="616"/>
        <w:gridCol w:w="109"/>
        <w:gridCol w:w="109"/>
        <w:gridCol w:w="109"/>
        <w:gridCol w:w="109"/>
        <w:gridCol w:w="344"/>
        <w:gridCol w:w="346"/>
        <w:gridCol w:w="316"/>
      </w:tblGrid>
      <w:tr>
        <w:trPr/>
        <w:tc>
          <w:tcPr>
            <w:tcW w:w="88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5"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(dollars in thousands)</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26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(2,711)</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nil</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nil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income tax expense for the three months ended June 27, 2026, as compared to the three months ended June 28, 2025, is attributable to the expense related to current international income taxes.</w:t>
      </w:r>
    </w:p>
    <w:tbl>
      <w:tblPr>
        <w:tblW w:w="7657" w:type="dxa"/>
        <w:jc w:val="left"/>
        <w:tblInd w:w="0" w:type="dxa"/>
        <w:tblLayout w:type="fixed"/>
        <w:tblCellMar>
          <w:top w:w="28" w:type="dxa"/>
          <w:left w:w="28" w:type="dxa"/>
          <w:bottom w:w="28" w:type="dxa"/>
          <w:right w:w="28" w:type="dxa"/>
        </w:tblCellMar>
      </w:tblPr>
      <w:tblGrid>
        <w:gridCol w:w="889"/>
        <w:gridCol w:w="784"/>
        <w:gridCol w:w="787"/>
        <w:gridCol w:w="322"/>
        <w:gridCol w:w="667"/>
        <w:gridCol w:w="166"/>
        <w:gridCol w:w="122"/>
        <w:gridCol w:w="122"/>
        <w:gridCol w:w="122"/>
        <w:gridCol w:w="260"/>
        <w:gridCol w:w="761"/>
        <w:gridCol w:w="134"/>
        <w:gridCol w:w="109"/>
        <w:gridCol w:w="109"/>
        <w:gridCol w:w="109"/>
        <w:gridCol w:w="211"/>
        <w:gridCol w:w="691"/>
        <w:gridCol w:w="109"/>
        <w:gridCol w:w="109"/>
        <w:gridCol w:w="109"/>
        <w:gridCol w:w="109"/>
        <w:gridCol w:w="269"/>
        <w:gridCol w:w="271"/>
        <w:gridCol w:w="316"/>
      </w:tblGrid>
      <w:tr>
        <w:trPr/>
        <w:tc>
          <w:tcPr>
            <w:tcW w:w="88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For the 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7"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(dollars in thousands)</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nil</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nil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income tax expense for the nine months ended June 27, 2026, as compared to the nine months ended June 28, 2025, is attributable to the expense related to current international and state income taxes. In fiscal year 2025, the expense incurred was offset by a partial release of the valuation allowance in connection with the ASR Acquisition.</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providing financial measurements based on GAAP, we provide additional financial metrics that are not prepared in accordance with GAAP, or non-GAAP financial measures. We use these non-GAAP financial measures, in addition to GAAP financial measures, to understand and compare operating results across accounting periods, for financial and operational decision making, for planning and forecasting purposes, to measure executive compensation, and to evaluate our financial performance. These non-GAAP financial measures are Adjusted EBITDA, Adjusted gross profit, Adjusted gross profit margin, Adjusted research and development expenses, Adjusted selling, general, and administrative expenses, and free cash flow, as discussed below.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these non-GAAP financial measures reflect our ongoing business in a manner that allows for meaningful comparisons and analysis of trends in the business, as it facilitates comparing financial results across accounting periods and to those of peer companies. We also believe that these non-GAAP financial measures enable investors to evaluate our operating results and future prospects in the same manner as we do. These non-GAAP financial measures may exclude expenses and gains that may be unusual in nature, infrequent, or not reflective of our ongoing operating results.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non-GAAP financial measures do not replace the presentation of our GAAP financial measures and should only be used as a supplement to, not as a substitute for, our financial results presented in accordance with GAAP.</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consider Adjusted EBITDA to be an important indicator of the operational strength and performance of our business and a good measure of our historical operating trends. Adjusted EBITDA eliminates items that we do not consider to be part of our core operations. We define Adjusted EBITDA as GAAP net loss excluding the following items: interest income; income taxes; depreciation and amortization of tangible and intangible assets; stock-based compensation; business combination transaction expenses; equity method investment; internal control remediation; business transformation costs; fair value adjustments on strategic investments; restructuring charges; and other infrequent items that may arise from time to time.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non-GAAP adjustments, and our basis for excluding them from our non-GAAP financial measures, are outlined below:</w:t>
      </w:r>
    </w:p>
    <w:p>
      <w:pPr>
        <w:pStyle w:val="TextBody"/>
        <w:bidi w:val="0"/>
        <w:spacing w:lineRule="auto" w:line="288" w:before="60" w:after="283"/>
        <w:ind w:left="0" w:right="0" w:hanging="360"/>
        <w:jc w:val="left"/>
        <w:rPr/>
      </w:pPr>
      <w:r>
        <w:rPr>
          <w:color w:val="000000"/>
        </w:rPr>
        <w:t>•</w:t>
      </w:r>
      <w:r>
        <w:rPr>
          <w:rFonts w:ascii="Times New Roman;serif" w:hAnsi="Times New Roman;serif"/>
          <w:b/>
          <w:color w:val="000000"/>
          <w:sz w:val="20"/>
        </w:rPr>
        <w:t>Stock-based compensation</w:t>
      </w:r>
      <w:r>
        <w:rPr>
          <w:color w:val="000000"/>
        </w:rPr>
        <w:t xml:space="preserve"> – </w:t>
      </w:r>
      <w:r>
        <w:rPr>
          <w:rFonts w:ascii="Times New Roman;serif" w:hAnsi="Times New Roman;serif"/>
          <w:b w:val="false"/>
          <w:color w:val="000000"/>
          <w:sz w:val="20"/>
        </w:rPr>
        <w:t xml:space="preserve">Although stock-based compensation is an important aspect of the compensation paid to our employees, the grant date fair value varies based on the derived stock price at the time of grant, varying valuation methodologies, subjective assumptions, and the variety of award types. This makes the comparison of our current financial results to previous and future periods difficult to interpret; therefore, we believe it is useful to exclude stock-based compensation from our non-GAAP financial measures in order to highlight the performance of our business and to be consistent with the way many investors evaluate our performance and compare our operating results to peer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84785"/>
                <wp:effectExtent l="0" t="0" r="0" b="0"/>
                <wp:wrapNone/>
                <wp:docPr id="47" name="Frame4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companies. Our stock-based compensation non-GAAP financial measures exclusion includes non-cash stock-based compensation expense and payroll taxes related to stock-based compensation awards. </w:t>
      </w:r>
    </w:p>
    <w:p>
      <w:pPr>
        <w:pStyle w:val="TextBody"/>
        <w:bidi w:val="0"/>
        <w:spacing w:lineRule="auto" w:line="288" w:before="60" w:after="283"/>
        <w:ind w:left="0" w:right="0" w:hanging="360"/>
        <w:jc w:val="left"/>
        <w:rPr/>
      </w:pPr>
      <w:r>
        <w:rPr>
          <w:color w:val="000000"/>
        </w:rPr>
        <w:t>•</w:t>
      </w:r>
      <w:r>
        <w:rPr>
          <w:rFonts w:ascii="Times New Roman;serif" w:hAnsi="Times New Roman;serif"/>
          <w:b/>
          <w:color w:val="000000"/>
          <w:sz w:val="20"/>
        </w:rPr>
        <w:t>Business combination transaction expenses</w:t>
      </w:r>
      <w:r>
        <w:rPr>
          <w:color w:val="000000"/>
        </w:rPr>
        <w:t xml:space="preserve"> – </w:t>
      </w:r>
      <w:r>
        <w:rPr>
          <w:rFonts w:ascii="Times New Roman;serif" w:hAnsi="Times New Roman;serif"/>
          <w:b w:val="false"/>
          <w:color w:val="000000"/>
          <w:sz w:val="20"/>
        </w:rPr>
        <w:t>Business combination transaction expenses represent the expenses incurred related to strategic acquisition opportunities. It primarily includes investment banker fees, legal fees, professional fees for accountants, transaction fees, advisory fees, due diligence costs, certain other professional fees, and other direct costs associated with strategic activities. These amounts are impacted by the timing of the strategic acquisition opportunities which we may pursue. We exclude business combination transaction expenses from our non-GAAP financial measures to provide a useful comparison of our operating results to prior periods and to peer companies because such amounts vary significantly based on the magnitude of the transaction and do not reflect our core operations.</w:t>
      </w:r>
    </w:p>
    <w:p>
      <w:pPr>
        <w:pStyle w:val="TextBody"/>
        <w:bidi w:val="0"/>
        <w:spacing w:lineRule="auto" w:line="288" w:before="60" w:after="283"/>
        <w:ind w:left="0" w:right="0" w:hanging="360"/>
        <w:jc w:val="left"/>
        <w:rPr/>
      </w:pPr>
      <w:r>
        <w:rPr>
          <w:color w:val="000000"/>
        </w:rPr>
        <w:t>•</w:t>
      </w:r>
      <w:r>
        <w:rPr>
          <w:rFonts w:ascii="Times New Roman;serif" w:hAnsi="Times New Roman;serif"/>
          <w:b/>
          <w:color w:val="000000"/>
          <w:sz w:val="20"/>
        </w:rPr>
        <w:t>Restructuring charges</w:t>
      </w:r>
      <w:r>
        <w:rPr>
          <w:color w:val="000000"/>
        </w:rPr>
        <w:t xml:space="preserve"> – </w:t>
      </w:r>
      <w:r>
        <w:rPr>
          <w:rFonts w:ascii="Times New Roman;serif" w:hAnsi="Times New Roman;serif"/>
          <w:b w:val="false"/>
          <w:color w:val="000000"/>
          <w:sz w:val="20"/>
        </w:rPr>
        <w:t>Restructuring charges are costs associated with restructuring plans and are primarily related to employee severance and benefit arrangements, lower of cost and net realizable value adjustments to inventory and long-lived assets that will no longer be used in operations, and termination fees for any contracts cancelled as part of the restructuring plan. The restructuring charges in fiscal year 2025 represent those charges incurred related to a reduction of our workforce across all areas of the employees that joined our workforce in connection with the ASR Acquisition. The restructuring charges in fiscal year 2026 represent those charges incurred related to a reduction of our workforce across the organization to align resource investment to business needs. We exclude these items from our non-GAAP financial measures when evaluating our continuing business performance as such items vary significantly based on the magnitude of the restructuring action and do not reflect future expected operating expenses. In addition, these charges do not necessarily provide meaningful insight into the fundamentals of current or past operations of our business.</w:t>
      </w:r>
    </w:p>
    <w:p>
      <w:pPr>
        <w:pStyle w:val="TextBody"/>
        <w:bidi w:val="0"/>
        <w:spacing w:lineRule="auto" w:line="288" w:before="60" w:after="283"/>
        <w:ind w:left="0" w:right="0" w:hanging="360"/>
        <w:jc w:val="left"/>
        <w:rPr/>
      </w:pPr>
      <w:r>
        <w:rPr>
          <w:color w:val="000000"/>
        </w:rPr>
        <w:t>•</w:t>
      </w:r>
      <w:r>
        <w:rPr>
          <w:rFonts w:ascii="Times New Roman;serif" w:hAnsi="Times New Roman;serif"/>
          <w:b/>
          <w:color w:val="000000"/>
          <w:sz w:val="20"/>
        </w:rPr>
        <w:t>Equity method investment</w:t>
      </w:r>
      <w:r>
        <w:rPr>
          <w:color w:val="000000"/>
        </w:rPr>
        <w:t xml:space="preserve"> – </w:t>
      </w:r>
      <w:r>
        <w:rPr>
          <w:rFonts w:ascii="Times New Roman;serif" w:hAnsi="Times New Roman;serif"/>
          <w:b w:val="false"/>
          <w:color w:val="000000"/>
          <w:sz w:val="20"/>
        </w:rPr>
        <w:t xml:space="preserve">Equity method investment represents our proportionate share of income or loss of unconsolidated variable interest entities. We exclude this from our non-GAAP financial measures to provide a useful comparison of our operating results to prior periods and to our peer companies because such amounts are not representative of our normal operating activities. </w:t>
      </w:r>
    </w:p>
    <w:p>
      <w:pPr>
        <w:pStyle w:val="TextBody"/>
        <w:bidi w:val="0"/>
        <w:spacing w:lineRule="auto" w:line="288" w:before="60" w:after="283"/>
        <w:ind w:left="0" w:right="0" w:hanging="360"/>
        <w:jc w:val="left"/>
        <w:rPr/>
      </w:pPr>
      <w:r>
        <w:rPr>
          <w:color w:val="000000"/>
        </w:rPr>
        <w:t>•</w:t>
      </w:r>
      <w:r>
        <w:rPr>
          <w:rFonts w:ascii="Times New Roman;serif" w:hAnsi="Times New Roman;serif"/>
          <w:b/>
          <w:color w:val="000000"/>
          <w:sz w:val="20"/>
        </w:rPr>
        <w:t xml:space="preserve">Internal control remediation </w:t>
      </w:r>
      <w:r>
        <w:rPr>
          <w:color w:val="000000"/>
        </w:rPr>
        <w:t xml:space="preserve">– </w:t>
      </w:r>
      <w:r>
        <w:rPr>
          <w:rFonts w:ascii="Times New Roman;serif" w:hAnsi="Times New Roman;serif"/>
          <w:b w:val="false"/>
          <w:color w:val="000000"/>
          <w:sz w:val="20"/>
        </w:rPr>
        <w:t>Internal control remediation costs represent professional services fees related to our efforts to remediate internal control material weaknesses. We excluded these fees from our non-GAAP financial measures to provide a useful comparison of our operating results to prior periods and to our peer companies because such amounts are not representative of our normal operating activities.</w:t>
      </w:r>
    </w:p>
    <w:p>
      <w:pPr>
        <w:pStyle w:val="TextBody"/>
        <w:bidi w:val="0"/>
        <w:spacing w:lineRule="auto" w:line="288" w:before="60" w:after="283"/>
        <w:ind w:left="0" w:right="0" w:hanging="360"/>
        <w:jc w:val="left"/>
        <w:rPr/>
      </w:pPr>
      <w:r>
        <w:rPr>
          <w:color w:val="000000"/>
        </w:rPr>
        <w:t>•</w:t>
      </w:r>
      <w:r>
        <w:rPr>
          <w:rFonts w:ascii="Times New Roman;serif" w:hAnsi="Times New Roman;serif"/>
          <w:b/>
          <w:color w:val="000000"/>
          <w:sz w:val="20"/>
        </w:rPr>
        <w:t xml:space="preserve">Business transformation costs </w:t>
      </w:r>
      <w:r>
        <w:rPr>
          <w:color w:val="000000"/>
        </w:rPr>
        <w:t xml:space="preserve">– </w:t>
      </w:r>
      <w:r>
        <w:rPr>
          <w:rFonts w:ascii="Times New Roman;serif" w:hAnsi="Times New Roman;serif"/>
          <w:b w:val="false"/>
          <w:color w:val="000000"/>
          <w:sz w:val="20"/>
        </w:rPr>
        <w:t xml:space="preserve">Business transformation costs represent consultancy fees incurred for specific business initiatives that do not reflect the cost of normal business operations. </w:t>
      </w:r>
    </w:p>
    <w:p>
      <w:pPr>
        <w:pStyle w:val="TextBody"/>
        <w:bidi w:val="0"/>
        <w:spacing w:lineRule="auto" w:line="288" w:before="60" w:after="283"/>
        <w:ind w:left="0" w:right="0" w:hanging="360"/>
        <w:jc w:val="left"/>
        <w:rPr/>
      </w:pPr>
      <w:r>
        <w:rPr>
          <w:color w:val="000000"/>
        </w:rPr>
        <w:t>•</w:t>
      </w:r>
      <w:r>
        <w:rPr>
          <w:rFonts w:ascii="Times New Roman;serif" w:hAnsi="Times New Roman;serif"/>
          <w:b/>
          <w:color w:val="000000"/>
          <w:sz w:val="20"/>
        </w:rPr>
        <w:t xml:space="preserve">Fair value adjustments on strategic investments </w:t>
      </w:r>
      <w:r>
        <w:rPr>
          <w:color w:val="000000"/>
        </w:rPr>
        <w:t xml:space="preserve">– </w:t>
      </w:r>
      <w:r>
        <w:rPr>
          <w:rFonts w:ascii="Times New Roman;serif" w:hAnsi="Times New Roman;serif"/>
          <w:b w:val="false"/>
          <w:color w:val="000000"/>
          <w:sz w:val="20"/>
        </w:rPr>
        <w:t xml:space="preserve">Fair value adjustments on strategic investments primarily consist of the gain or loss on strategic investments, which includes recurring fair value adjustments which are adjusted for observable price changes and any potential impairments. See Note 12, </w:t>
      </w:r>
      <w:r>
        <w:rPr>
          <w:rFonts w:ascii="Times New Roman;serif" w:hAnsi="Times New Roman;serif"/>
          <w:b w:val="false"/>
          <w:i/>
          <w:color w:val="000000"/>
          <w:sz w:val="20"/>
        </w:rPr>
        <w:t>Fair Value Measures</w:t>
      </w:r>
      <w:r>
        <w:rPr>
          <w:rFonts w:ascii="Times New Roman;serif" w:hAnsi="Times New Roman;serif"/>
          <w:b w:val="false"/>
          <w:color w:val="000000"/>
          <w:sz w:val="20"/>
        </w:rPr>
        <w:t>, included in this report for additional information on our strategic investment activity. We exclude fair value adjustments on strategic investments given the volatility in ongoing adjustments to the valuation of these strategic investments and because such adjustments are unrelated to the operating performance of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84785"/>
                <wp:effectExtent l="0" t="0" r="0" b="0"/>
                <wp:wrapNone/>
                <wp:docPr id="48" name="Frame4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GAAP net income (loss) to Adjusted EBITDA for the three and nine months ended June 27, 2026 and June 28, 2025 (in thousands):</w:t>
      </w:r>
    </w:p>
    <w:tbl>
      <w:tblPr>
        <w:tblW w:w="9603" w:type="dxa"/>
        <w:jc w:val="left"/>
        <w:tblInd w:w="0" w:type="dxa"/>
        <w:tblLayout w:type="fixed"/>
        <w:tblCellMar>
          <w:top w:w="28" w:type="dxa"/>
          <w:left w:w="28" w:type="dxa"/>
          <w:bottom w:w="28" w:type="dxa"/>
          <w:right w:w="28" w:type="dxa"/>
        </w:tblCellMar>
      </w:tblPr>
      <w:tblGrid>
        <w:gridCol w:w="1434"/>
        <w:gridCol w:w="1257"/>
        <w:gridCol w:w="1268"/>
        <w:gridCol w:w="234"/>
        <w:gridCol w:w="800"/>
        <w:gridCol w:w="121"/>
        <w:gridCol w:w="109"/>
        <w:gridCol w:w="109"/>
        <w:gridCol w:w="109"/>
        <w:gridCol w:w="218"/>
        <w:gridCol w:w="824"/>
        <w:gridCol w:w="112"/>
        <w:gridCol w:w="109"/>
        <w:gridCol w:w="109"/>
        <w:gridCol w:w="109"/>
        <w:gridCol w:w="212"/>
        <w:gridCol w:w="833"/>
        <w:gridCol w:w="109"/>
        <w:gridCol w:w="109"/>
        <w:gridCol w:w="109"/>
        <w:gridCol w:w="109"/>
        <w:gridCol w:w="218"/>
        <w:gridCol w:w="823"/>
        <w:gridCol w:w="159"/>
      </w:tblGrid>
      <w:tr>
        <w:trPr/>
        <w:tc>
          <w:tcPr>
            <w:tcW w:w="1434"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28, 2025</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55,000 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(21,174)</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77,787 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(47,884)</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(11,335)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(8,373)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(33,840)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(23,371)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(1,149)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(1,204)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10,241 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12,940 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30,969 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50,519 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39,527 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151,824 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102,984 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Business combination transaction expenses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7,522 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Equity method investment</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9,631 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3,776 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7,831 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Internal control remediation</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1,486 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1,795 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7,046 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Business transformation costs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2,475 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Fair value adjustments on strategic investments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(19,378)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(4,481)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16,361 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16,130 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95,237 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45,393 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239,885 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98,017 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consider Adjusted gross profit and Adjusted gross profit margin to be important indicators of profitability which we use in our financial and operational decision-making and evaluation of our overall operating performance. We define Adjusted gross profit, a non-GAAP financial measure, as GAAP gross profit excluding the following items: depreciation, stock-based compensation, and restructuring charges. We define Adjusted gross profit margin, a non-GAAP financial measure, as non-GAAP Adjusted gross profit divided by total revenue. The following table reconciles GAAP gross profit to Adjusted gross profit and gross profit margin to Adjusted gross profit margin during the periods presented (dollars in thousands):</w:t>
      </w:r>
    </w:p>
    <w:tbl>
      <w:tblPr>
        <w:tblW w:w="8236" w:type="dxa"/>
        <w:jc w:val="left"/>
        <w:tblInd w:w="0" w:type="dxa"/>
        <w:tblLayout w:type="fixed"/>
        <w:tblCellMar>
          <w:top w:w="28" w:type="dxa"/>
          <w:left w:w="28" w:type="dxa"/>
          <w:bottom w:w="28" w:type="dxa"/>
          <w:right w:w="28" w:type="dxa"/>
        </w:tblCellMar>
      </w:tblPr>
      <w:tblGrid>
        <w:gridCol w:w="939"/>
        <w:gridCol w:w="822"/>
        <w:gridCol w:w="833"/>
        <w:gridCol w:w="212"/>
        <w:gridCol w:w="833"/>
        <w:gridCol w:w="109"/>
        <w:gridCol w:w="109"/>
        <w:gridCol w:w="109"/>
        <w:gridCol w:w="109"/>
        <w:gridCol w:w="212"/>
        <w:gridCol w:w="833"/>
        <w:gridCol w:w="109"/>
        <w:gridCol w:w="109"/>
        <w:gridCol w:w="109"/>
        <w:gridCol w:w="109"/>
        <w:gridCol w:w="212"/>
        <w:gridCol w:w="833"/>
        <w:gridCol w:w="109"/>
        <w:gridCol w:w="109"/>
        <w:gridCol w:w="109"/>
        <w:gridCol w:w="109"/>
        <w:gridCol w:w="212"/>
        <w:gridCol w:w="832"/>
        <w:gridCol w:w="155"/>
      </w:tblGrid>
      <w:tr>
        <w:trPr/>
        <w:tc>
          <w:tcPr>
            <w:tcW w:w="93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28, 2025</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160,910 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111,842 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444,286 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303,651 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8,957 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22,844 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Adjusted gross profit</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179,886 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127,193 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493,189 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335,221 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584" w:type="dxa"/>
        <w:jc w:val="left"/>
        <w:tblInd w:w="0" w:type="dxa"/>
        <w:tblLayout w:type="fixed"/>
        <w:tblCellMar>
          <w:top w:w="28" w:type="dxa"/>
          <w:left w:w="28" w:type="dxa"/>
          <w:bottom w:w="28" w:type="dxa"/>
          <w:right w:w="28" w:type="dxa"/>
        </w:tblCellMar>
      </w:tblPr>
      <w:tblGrid>
        <w:gridCol w:w="879"/>
        <w:gridCol w:w="774"/>
        <w:gridCol w:w="777"/>
        <w:gridCol w:w="255"/>
        <w:gridCol w:w="256"/>
        <w:gridCol w:w="271"/>
        <w:gridCol w:w="109"/>
        <w:gridCol w:w="109"/>
        <w:gridCol w:w="109"/>
        <w:gridCol w:w="255"/>
        <w:gridCol w:w="256"/>
        <w:gridCol w:w="271"/>
        <w:gridCol w:w="109"/>
        <w:gridCol w:w="109"/>
        <w:gridCol w:w="109"/>
        <w:gridCol w:w="255"/>
        <w:gridCol w:w="256"/>
        <w:gridCol w:w="271"/>
        <w:gridCol w:w="109"/>
        <w:gridCol w:w="109"/>
        <w:gridCol w:w="109"/>
        <w:gridCol w:w="255"/>
        <w:gridCol w:w="256"/>
        <w:gridCol w:w="316"/>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Gross profit margin</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Adjusted gross profit margin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31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consider Adjusted research and development expenses and Adjusted selling, general, and administrative expenses to be important indicators of profitability which we use in our financial and operational decision-making and evaluation of our overall operating performance. We define Adjusted research and development expenses and Adjusted selling, general, and administrative expenses as GAAP research and development expense or selling, general, and administrative expense excluding the items indicated in the tables below. The following tables reconcile GAAP research and development expenses to Adjusted research and development expenses and GAAP selling, general, and administrative expenses to Adjusted selling, general, and administrative expenses during the periods presented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84785"/>
                <wp:effectExtent l="0" t="0" r="0" b="0"/>
                <wp:wrapNone/>
                <wp:docPr id="49" name="Frame4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tbl>
      <w:tblPr>
        <w:tblW w:w="9438" w:type="dxa"/>
        <w:jc w:val="left"/>
        <w:tblInd w:w="0" w:type="dxa"/>
        <w:tblLayout w:type="fixed"/>
        <w:tblCellMar>
          <w:top w:w="28" w:type="dxa"/>
          <w:left w:w="28" w:type="dxa"/>
          <w:bottom w:w="28" w:type="dxa"/>
          <w:right w:w="28" w:type="dxa"/>
        </w:tblCellMar>
      </w:tblPr>
      <w:tblGrid>
        <w:gridCol w:w="1376"/>
        <w:gridCol w:w="1206"/>
        <w:gridCol w:w="1212"/>
        <w:gridCol w:w="234"/>
        <w:gridCol w:w="800"/>
        <w:gridCol w:w="121"/>
        <w:gridCol w:w="109"/>
        <w:gridCol w:w="109"/>
        <w:gridCol w:w="109"/>
        <w:gridCol w:w="234"/>
        <w:gridCol w:w="800"/>
        <w:gridCol w:w="121"/>
        <w:gridCol w:w="109"/>
        <w:gridCol w:w="109"/>
        <w:gridCol w:w="109"/>
        <w:gridCol w:w="212"/>
        <w:gridCol w:w="833"/>
        <w:gridCol w:w="109"/>
        <w:gridCol w:w="109"/>
        <w:gridCol w:w="109"/>
        <w:gridCol w:w="109"/>
        <w:gridCol w:w="212"/>
        <w:gridCol w:w="832"/>
        <w:gridCol w:w="155"/>
      </w:tblGrid>
      <w:tr>
        <w:trPr/>
        <w:tc>
          <w:tcPr>
            <w:tcW w:w="137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28, 2025</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43,780 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49,729 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138,069 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150,967 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(5,959)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(7,133)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(15,044)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(8,642)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(10,442)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(33,686)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(34,408)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Adjusted research and development expenses</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29,179 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32,154 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88,273 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101,515 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173" w:type="dxa"/>
        <w:jc w:val="left"/>
        <w:tblInd w:w="0" w:type="dxa"/>
        <w:tblLayout w:type="fixed"/>
        <w:tblCellMar>
          <w:top w:w="28" w:type="dxa"/>
          <w:left w:w="28" w:type="dxa"/>
          <w:bottom w:w="28" w:type="dxa"/>
          <w:right w:w="28" w:type="dxa"/>
        </w:tblCellMar>
      </w:tblPr>
      <w:tblGrid>
        <w:gridCol w:w="1642"/>
        <w:gridCol w:w="1442"/>
        <w:gridCol w:w="1445"/>
        <w:gridCol w:w="234"/>
        <w:gridCol w:w="800"/>
        <w:gridCol w:w="121"/>
        <w:gridCol w:w="109"/>
        <w:gridCol w:w="109"/>
        <w:gridCol w:w="109"/>
        <w:gridCol w:w="234"/>
        <w:gridCol w:w="800"/>
        <w:gridCol w:w="121"/>
        <w:gridCol w:w="109"/>
        <w:gridCol w:w="109"/>
        <w:gridCol w:w="109"/>
        <w:gridCol w:w="212"/>
        <w:gridCol w:w="833"/>
        <w:gridCol w:w="109"/>
        <w:gridCol w:w="109"/>
        <w:gridCol w:w="109"/>
        <w:gridCol w:w="109"/>
        <w:gridCol w:w="212"/>
        <w:gridCol w:w="832"/>
        <w:gridCol w:w="155"/>
      </w:tblGrid>
      <w:tr>
        <w:trPr/>
        <w:tc>
          <w:tcPr>
            <w:tcW w:w="164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28, 2025</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84,235 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71,557 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258,020 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205,567 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(2,775)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(2,270)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(6,969)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(24,332)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(17,272)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(73,714)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(45,731)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Business combination transaction expenses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(7,522)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Internal control remediation</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(1,486)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(1,795)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(5,832)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(7,046)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Business transformation costs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(2,475)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Adjusted selling, general, and administrative expenses</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55,344 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49,723 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164,838 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135,824 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consider free cash flow to be an important indicator of financial liquidity, which we use in our financial and operational decision-making and evaluation of our overall operating performance. We define free cash flow as net cash provided by, or used in, operating activities less purchases of property and equipment and capitalization of internal use software development costs. The following table reconciles GAAP net cash provided by, or used in, operating activities to free cash flow during the periods presented (in thousands):</w:t>
      </w:r>
    </w:p>
    <w:tbl>
      <w:tblPr>
        <w:tblW w:w="10205" w:type="dxa"/>
        <w:jc w:val="left"/>
        <w:tblInd w:w="0" w:type="dxa"/>
        <w:tblLayout w:type="fixed"/>
        <w:tblCellMar>
          <w:top w:w="28" w:type="dxa"/>
          <w:left w:w="28" w:type="dxa"/>
          <w:bottom w:w="28" w:type="dxa"/>
          <w:right w:w="28" w:type="dxa"/>
        </w:tblCellMar>
      </w:tblPr>
      <w:tblGrid>
        <w:gridCol w:w="1753"/>
        <w:gridCol w:w="1368"/>
        <w:gridCol w:w="1378"/>
        <w:gridCol w:w="211"/>
        <w:gridCol w:w="869"/>
        <w:gridCol w:w="109"/>
        <w:gridCol w:w="109"/>
        <w:gridCol w:w="109"/>
        <w:gridCol w:w="109"/>
        <w:gridCol w:w="211"/>
        <w:gridCol w:w="869"/>
        <w:gridCol w:w="109"/>
        <w:gridCol w:w="109"/>
        <w:gridCol w:w="109"/>
        <w:gridCol w:w="109"/>
        <w:gridCol w:w="211"/>
        <w:gridCol w:w="829"/>
        <w:gridCol w:w="109"/>
        <w:gridCol w:w="109"/>
        <w:gridCol w:w="109"/>
        <w:gridCol w:w="109"/>
        <w:gridCol w:w="211"/>
        <w:gridCol w:w="828"/>
        <w:gridCol w:w="159"/>
      </w:tblGrid>
      <w:tr>
        <w:trPr/>
        <w:tc>
          <w:tcPr>
            <w:tcW w:w="1753"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28, 2025</w:t>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Revised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Revised</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(147,297)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(196,512)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305,584 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278,090 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and capitalization of internal use software development costs</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(62,753)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(42,784)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(164,630)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(211,379)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242,831 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235,306 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27, 2026, our principal sources of liquidity were cash received from customers upon the inception and continuation of contracts to install Systems.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shows net cash provided by operating activities, net cash used in investing activities, and net cash provided by (used in) financing activities for the nine months ended June 27, 2026 and June 28, 2025:</w:t>
      </w:r>
    </w:p>
    <w:tbl>
      <w:tblPr>
        <w:tblW w:w="5468" w:type="dxa"/>
        <w:jc w:val="center"/>
        <w:tblInd w:w="0" w:type="dxa"/>
        <w:tblLayout w:type="fixed"/>
        <w:tblCellMar>
          <w:top w:w="28" w:type="dxa"/>
          <w:left w:w="28" w:type="dxa"/>
          <w:bottom w:w="28" w:type="dxa"/>
          <w:right w:w="28" w:type="dxa"/>
        </w:tblCellMar>
      </w:tblPr>
      <w:tblGrid>
        <w:gridCol w:w="961"/>
        <w:gridCol w:w="843"/>
        <w:gridCol w:w="850"/>
        <w:gridCol w:w="211"/>
        <w:gridCol w:w="901"/>
        <w:gridCol w:w="109"/>
        <w:gridCol w:w="109"/>
        <w:gridCol w:w="109"/>
        <w:gridCol w:w="109"/>
        <w:gridCol w:w="211"/>
        <w:gridCol w:w="901"/>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28, 2025</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Revised</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305,584 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278,090 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(206,157)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(226,840)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426,997 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84785"/>
                <wp:effectExtent l="0" t="0" r="0" b="0"/>
                <wp:wrapNone/>
                <wp:docPr id="50" name="Frame5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net cash provided by operating activities consists of net income (loss) adjusted for certain non-cash items, including depreciation and amortization, foreign currency gains and losses, loss on disposal of assets, provision for excess and obsolete inventory, and stock-based compensation, as well as changes in operating assets and liabilities. The primary changes in working capital items, such as the changes in accounts receivable and deferred revenue, result from the difference in timing of payments from our customers related to System Deployments and the associated costs incurred by us to fulfill the System performance obligation. This may result in an operating cash flow source or use for the period, depending on the timing of payments received as compared to the fulfillment of the System performance obligation.</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$305.6 million during the nine months ended June 27, 2026. Net cash provided by operating activities was primarily due to our net income of $77.8 million adjusted for non-cash items of $189.4 million, primarily consisting of $142.9 million stock-based compensation, $30.3 million depreciation and amortization, and $13.8 million provision for excess and obsolete inventory as well as cash provided by operating assets and liabilities of $38.3 million. Cash provided by operating assets and liabilities of $38.3 million was primarily driven by net working capital changes, including the timing of cash payments to vendors and cash receipts from customers.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$278.1 million during the nine months ended June 28, 2025. Net cash provided by operating activities was primarily due to our net loss of $47.9 million adjusted for non-cash items of $134.8 million, primarily consisting of $92.3 million stock-based compensation, $31.0 million depreciation and amortization, offset by cash provided by operating assets and liabilities of $191.1 million. Cash provided by operating assets and liabilities of $191.1 million was primarily driven by net working capital changes, including the timing of cash payments to vendors and cash receipts from customers, an increase in inventory purchases to meet our installation timeline for our customers’ Deployments in connection with the Walmart MAA and other customer contracts, as well as an increase in deferred revenue resulting from an increase in the number of Deployments.</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investing activities have consisted primarily of property and equipment purchases, capitalization of internal use software development costs, and acquisitions of strategic investments.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and cash equivalents used in investing activities during the nine months ended June 27, 2026 consisted of $62.8 million of purchased property and equipment and $123.2 million of cash paid for strategic investments, which includes our investment in our unconsolidated variable interest entity, Exol, and cash paid for business and asset acquisitions of $20.2 million. No other significant investing activities occurred during the nine months ended June 27, 2026.</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and cash equivalents used in investing activities during the nine months ended June 28, 2025 consisted of $42.8 million of purchased property and equipment and $42.2 million related to acquisitions of strategic investments, which includes our investment in our unconsolidated variable interest entity, Exol, and cash paid for the acquisition of ASR of $141.8 million.</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financing activities typically consist of payments and proceeds related to our equity incentive plans for both RSUs and ESPP, and also include proceeds from equity financing transactions.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June 27, 2026, we received net proceeds of $424.3 million from the issuance of Class A common stock upon completion of our equity financing transaction in December 2025. Additionally, we received proceeds from the issuance of common stock under our ESPP of $3.9 million. These proceeds were offset by $1.2 million in distributions to or on behalf of Symbotic Holdings partners to fund all or part of their obligations with respect to the taxable income of Symbotic Holdings that is allocated to them. No other significant financing activities occurred during the nine months ended June 27, 2026.</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June 28, 2025, we paid taxes of $3.0 million related to net share settlement of RSUs and we also paid $1.2 million in distributions to or on behalf of Symbotic Holdings partners to fund all or part of their obligations with respect to the taxable income of Symbotic Holdings that is allocated to them. These payments were offset by proceeds received from the issuance of common stock under our ESPP of $3.2 million. No other significant financing activities occurred during the nine months ended June 28, 2025.</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Contractual Obligations and Commitments and Liquidity Outlook</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cash flows from operations along with equity infusions have historically been sufficient to fund our operating activities and other cash requirements. At June 27, 2026, we had a cash and cash equivalents balance of $1,746.4 million.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84785"/>
                <wp:effectExtent l="0" t="0" r="0" b="0"/>
                <wp:wrapNone/>
                <wp:docPr id="51" name="Frame5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cash requirements for the three and nine months ended June 27, 2026 were primarily related to inventory purchases in order to deliver our Systems to our customers in an orderly manner in line with our installation timeline, and acquisitions of strategic investments to expand our investment profile.</w:t>
      </w:r>
    </w:p>
    <w:p>
      <w:pPr>
        <w:pStyle w:val="TextBody"/>
        <w:bidi w:val="0"/>
        <w:spacing w:lineRule="auto" w:line="288" w:before="60" w:after="283"/>
        <w:ind w:left="0" w:right="0" w:firstLine="360"/>
        <w:jc w:val="left"/>
        <w:rPr/>
      </w:pPr>
      <w:r>
        <w:rPr>
          <w:rFonts w:ascii="Times New Roman;serif" w:hAnsi="Times New Roman;serif"/>
          <w:b w:val="false"/>
          <w:color w:val="000000"/>
          <w:sz w:val="20"/>
        </w:rPr>
        <w:t xml:space="preserve">Based on our present business plan, we expect our current cash and cash equivalents, working capital, and our forecasted cash flows from operations to be sufficient to meet our foreseeable cash needs for at least the next 12 months. Our foreseeable cash needs, in addition to our recurring operating expenses, include our expected capital expenditures to support expansion of our infrastructure and workforce, potential strategic acquisitions, capital calls that may arise from time to time from Exol, and minimum contractual obligations. Contractual obligations are cash that we are obligated to pay as part of certain contracts that we have entered into during our course of business. Our contractual obligations consist of operating lease liabilities that are included in our condensed consolidated balance sheet and vendor commitments associated with agreements that are legally binding. Our operating lease cash requirements have not changed materially since September 27, 2025, and are disclosed within Note 5, </w:t>
      </w:r>
      <w:r>
        <w:rPr>
          <w:rFonts w:ascii="Times New Roman;serif" w:hAnsi="Times New Roman;serif"/>
          <w:b w:val="false"/>
          <w:i/>
          <w:color w:val="000000"/>
          <w:sz w:val="20"/>
        </w:rPr>
        <w:t>Leases</w:t>
      </w:r>
      <w:r>
        <w:rPr>
          <w:rFonts w:ascii="Times New Roman;serif" w:hAnsi="Times New Roman;serif"/>
          <w:b w:val="false"/>
          <w:color w:val="000000"/>
          <w:sz w:val="20"/>
        </w:rPr>
        <w:t>, included elsewhere in this Quarterly Report on Form 10-Q.</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current and long-term material cash requirements as of June 27, 2026 for our vendor commitments: </w:t>
      </w:r>
    </w:p>
    <w:tbl>
      <w:tblPr>
        <w:tblW w:w="9342" w:type="dxa"/>
        <w:jc w:val="left"/>
        <w:tblInd w:w="0" w:type="dxa"/>
        <w:tblLayout w:type="fixed"/>
        <w:tblCellMar>
          <w:top w:w="28" w:type="dxa"/>
          <w:left w:w="28" w:type="dxa"/>
          <w:bottom w:w="28" w:type="dxa"/>
          <w:right w:w="28" w:type="dxa"/>
        </w:tblCellMar>
      </w:tblPr>
      <w:tblGrid>
        <w:gridCol w:w="673"/>
        <w:gridCol w:w="592"/>
        <w:gridCol w:w="595"/>
        <w:gridCol w:w="211"/>
        <w:gridCol w:w="976"/>
        <w:gridCol w:w="109"/>
        <w:gridCol w:w="109"/>
        <w:gridCol w:w="109"/>
        <w:gridCol w:w="109"/>
        <w:gridCol w:w="229"/>
        <w:gridCol w:w="1062"/>
        <w:gridCol w:w="118"/>
        <w:gridCol w:w="109"/>
        <w:gridCol w:w="109"/>
        <w:gridCol w:w="109"/>
        <w:gridCol w:w="211"/>
        <w:gridCol w:w="721"/>
        <w:gridCol w:w="109"/>
        <w:gridCol w:w="109"/>
        <w:gridCol w:w="109"/>
        <w:gridCol w:w="109"/>
        <w:gridCol w:w="225"/>
        <w:gridCol w:w="498"/>
        <w:gridCol w:w="116"/>
        <w:gridCol w:w="109"/>
        <w:gridCol w:w="109"/>
        <w:gridCol w:w="109"/>
        <w:gridCol w:w="435"/>
        <w:gridCol w:w="837"/>
        <w:gridCol w:w="317"/>
      </w:tblGrid>
      <w:tr>
        <w:trPr/>
        <w:tc>
          <w:tcPr>
            <w:tcW w:w="67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9"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Payments due in:</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Less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1-3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3-5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More than 5 Years</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2" w:type="dxa"/>
            <w:gridSpan w:val="27"/>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Vendor commitments</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1,080,823 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1,015,983 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64,644 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future capital requirements will depend on many factors, including our growth rate, the timing and extent of spending to support research and development efforts, the expansion of sales and marketing activities, the introduction of new and enhanced product and service offerings, and the cost of any future acquisitions of technology or businesses. In the event that additional financing is required from outside sources, we may be unable to raise the funds on acceptable terms, if at all.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than the change in accounting principle disclosed below, there have been no significant changes in our critical accounting policies and estimates during the nine months ended June 27, 2026, as compared to the critical accounting policies and estimates disclosed in the audited consolidated financial statements and related notes thereto as of and for the year ended September 27, 2025, which are included within the Annual Report on Form 10-K filed with the SEC on November 24, 2025.</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first quarter of fiscal year 2026, we changed our stock-based compensation policy for recognizing expense for graded vesting awards with only service conditions from the accelerated attribution method to the straight-line attribution method. In connection with the Business Combination in June 2022, we granted RSUs with accelerated vesting terms. As those initial RSU awards with accelerated vesting terms have fully vested since the Business Combination, we believe the straight-line attribution method for stock-based compensation expense for awards solely subject to time-based vesting conditions is the preferable accounting policy in accordance with ASC Topic 718 because it more accurately reflects how our ongoing equity awards are earned over the service period and is the predominant method used in our industry. With the transition from the accelerated attribution method to the straight-line attribution method, we no longer consider stock-based compensation related to our service-based RSUs to be a critical accounting policy.</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27, 2026, we had no off-balance sheet arrangements as defined in Instruction 8 to Item 303(b) of Regulation S-K.</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60" w:after="283"/>
        <w:ind w:left="0" w:right="0" w:firstLine="360"/>
        <w:jc w:val="left"/>
        <w:rPr/>
      </w:pPr>
      <w:r>
        <w:rPr>
          <w:rFonts w:ascii="Times New Roman;serif" w:hAnsi="Times New Roman;serif"/>
          <w:b w:val="false"/>
          <w:color w:val="000000"/>
          <w:sz w:val="20"/>
        </w:rPr>
        <w:t xml:space="preserve">For information on recent accounting pronouncements, see Note 2, </w:t>
      </w:r>
      <w:r>
        <w:rPr>
          <w:rFonts w:ascii="Times New Roman;serif" w:hAnsi="Times New Roman;serif"/>
          <w:b w:val="false"/>
          <w:i/>
          <w:color w:val="000000"/>
          <w:sz w:val="20"/>
        </w:rPr>
        <w:t>Summary of Significant Accounting Policies - Recent Accounting Pronouncements</w:t>
      </w:r>
      <w:r>
        <w:rPr>
          <w:color w:val="000000"/>
        </w:rPr>
        <w:t xml:space="preserve"> </w:t>
      </w:r>
      <w:r>
        <w:rPr>
          <w:rFonts w:ascii="Times New Roman;serif" w:hAnsi="Times New Roman;serif"/>
          <w:b w:val="false"/>
          <w:color w:val="000000"/>
          <w:sz w:val="20"/>
        </w:rPr>
        <w:t>in the notes to the unaudited condensed consolidated financial statements appearing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84785"/>
                <wp:effectExtent l="0" t="0" r="0" b="0"/>
                <wp:wrapNone/>
                <wp:docPr id="52" name="Frame5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assessment of our sensitivity to market risk since our presentation set forth in Item 7A, “Quantitative and Qualitative Disclosures About Market Risk” in the Annual Report on Form 10-K filed with the SEC on November 24,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(our principal executive officer and principal financial officer, respectively), has evaluated the effectiveness of our disclosure controls and procedures as defined in Rules 13a-15(e) and 15d-15(e) under the Securities Exchange Act of 1934, as amended (the “Exchange Act”), as of the end of the period covered by this Quarterly Report on Form 10-Q. The term “disclosure controls and procedures,” as defined in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U.S.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that evaluation, our Chief Executive Officer and Chief Financial Officer concluded that, as of June 27, 2026, our disclosure controls and procedures were not effective at the reasonable assurance level due to the previously reported material weakness described below.</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Previously Reported Material Weakness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in “Part II. Item 9A. Controls and Procedures” in our Annual Report on Form 10-K for the year ended September 27, 2025, our Chief Executive Officer and Chief Financial Officer concluded that our disclosure controls and procedures were not effective at the reasonable assurance level because of the existence of a material weakness. A material weakness is a deficiency, or a combination of deficiencies, in internal control over financial reporting, such that there is a reasonable possibility that a material misstatement of a company's annual or interim consolidated financial statements will not be prevented or detected on a timely basis.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27, 2026, the Company did not effectively design procedures and controls over the timing of the recognition of cost of revenue. This resulted in timing discrepancies in the recognition of cost of revenue during the year ended September 27, 2025. Given that we recognize revenue on a percentage of completion basis, this also resulted in timing discrepancies in the recognition of revenue during the year ended September 27, 2025. These deficiencies in internal control over financial reporting constituted a material weakness as of June 27, 2026.</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Notwithstanding the material weakness in internal control over financial reporting, our management, including our Chief Executive Officer and Chief Financial Officer, have concluded that our consolidated financial statements present fairly, in all material respects, our financial position, results of our operations and our cash flows for the periods presented in this Quarterly Report on Form 10-Q, in conformity with U.S. GAAP. There can be no assurance that this material weakness will not result in a misstatement to the annual or interim consolidated financial statements for future periods that would not be prevented or detected.</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lineRule="auto" w:line="288" w:before="60" w:after="283"/>
        <w:ind w:left="0" w:right="0" w:firstLine="360"/>
        <w:jc w:val="left"/>
        <w:rPr/>
      </w:pPr>
      <w:r>
        <w:rPr>
          <w:rFonts w:ascii="Times New Roman;serif" w:hAnsi="Times New Roman;serif"/>
          <w:b w:val="false"/>
          <w:color w:val="000000"/>
          <w:sz w:val="20"/>
          <w:shd w:fill="FFFFFF" w:val="clear"/>
        </w:rPr>
        <w:t xml:space="preserve">Subject to the steps taken in connection with the remediation plan noted below, </w:t>
      </w:r>
      <w:r>
        <w:rPr>
          <w:rFonts w:ascii="Times New Roman;serif" w:hAnsi="Times New Roman;serif"/>
          <w:b w:val="false"/>
          <w:color w:val="000000"/>
          <w:sz w:val="20"/>
        </w:rPr>
        <w:t>there have been no changes in our internal control over financial reporting for the three months ended June 27, 2026 that have materially affected, or are reasonably likely to materially affect, our internal control over financial reporting.</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Material Weakness Remediation Plan</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Management has developed a remediation plan, which it began implementing during fiscal year 2025, that includes the following elements: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redesign of the operational processes and evidence requirements for the receipt of goods and services, with a focus on data around documenting the timing of the receipt of goods and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84785"/>
                <wp:effectExtent l="0" t="0" r="0" b="0"/>
                <wp:wrapNone/>
                <wp:docPr id="53" name="Frame5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implementing additional compensating controls over the timing of the receipt of goods and services, with a continued focus on milestone related expenses;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training of the employees of the organization receiving goods and services; and</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implementing a long term ERP system solution to manage vendors which will automate certain aspects of goods and services receipts in fiscal year 2027.</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completed the implementation of additional compensating controls over the timing of the receipt of goods and services during the third and fourth quarters of fiscal year 2025. Management is committed to the completion of the remediation of this material weakness and expects to successfully implement enhanced control processes. However, as management continues to evaluate and work to improve its internal control over financial reporting, it may determine that additional measures to address control deficiencies or modifications to the remediation plan are necessary. Therefore, management cannot assure you when this material weakness will be remediated, that additional actions will not be required to remediate this material weakness, or the costs of any such additional actions. This material weakness will not be considered remediated until the remediated controls operate for a sufficient period of time and management has concluded, through further testing, that these controls are operating effectively.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84785"/>
                <wp:effectExtent l="0" t="0" r="0" b="0"/>
                <wp:wrapNone/>
                <wp:docPr id="54" name="Frame5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60" w:after="283"/>
        <w:ind w:left="0" w:right="0" w:firstLine="360"/>
        <w:jc w:val="left"/>
        <w:rPr/>
      </w:pPr>
      <w:r>
        <w:rPr>
          <w:rFonts w:ascii="Times New Roman;serif" w:hAnsi="Times New Roman;serif"/>
          <w:b w:val="false"/>
          <w:color w:val="000000"/>
          <w:sz w:val="20"/>
        </w:rPr>
        <w:t xml:space="preserve">Refer to Note 15,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to our unaudited condensed consolidated financial statements contained in Part I, Item 1 of this Quarterly Report on Form 10-Q,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various risks and uncertainties in the course of our business. For a detailed discussion of these risks, please see the section in our Annual Report on Form 10-K filed with the SEC on November 24, 2025 titled “Risk Factors”. Any of the matters highlighted in those risk factors could adversely affect our business,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fiscal quarter ended June 27, 2026, the following director or officer, as defined in Rule 16a-1(f) under the Exchange Act, adopted or terminated a “Rule 10b5-1 trading arrangement” or a “non-Rule 10b5-1 trading arrangement” as defined in Regulation S-K Item 408.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May 21, 2026, Maria G. Freve, our Vice President, Controller and Chief Accounting Officer, entered into a trading plan pursuant to Rule 10b5-1 of the Exchange Act. Ms. Freve’s Rule 10b5-1 trading plan provides for the sale of shares of Class A Common Stock that she has received or will receive following the vesting of various RSU grants. Ms. Freve’s 10b5-1 trading plan calls for the sale of a percentage of shares that she could receive upon the future vesting of certain outstanding equity awards, net of any shares withheld by us to satisfy applicable taxes. The number of shares to be withheld, and thus the exact number of shares to be sold pursuant to Ms. Freve’s 10b5-1 trading plan, can only be determined upon the occurrence of the future vesting events. For purposes of this disclosure, without subtracting any shares to be withheld upon future vesting events, the maximum aggregate number of shares that may be sold pursuant to Ms. Freve’s 10b5-1 trading plan is 24,157 shares of Class A Common Stock. Ms. Freve’s Rule 10b5-1 trading plan expires on April 30, 2027, or earlier if all transactions under the trading arrangement are completed. The trading arrangement is intended to satisfy the affirmative defense in Rule 10b5-1(c) under the Exchange Act.</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of our directors or officers have made elections to participate in, and are participating in, our Incentive Compensation Plan, ESPP or our defined-contribution benefit plan under the provisions of Section 401(k) of the Internal Revenue Code and have made, and may from time to time make, elections to have shares withheld to cover withholding taxes or pay the exercise price of options, which may be designed to satisfy the affirmative defense conditions of Rule 10b5-1 under the Exchange Act or may constitute non-Rule 10b5-1 trading arrangements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84785"/>
                <wp:effectExtent l="0" t="0" r="0" b="0"/>
                <wp:wrapNone/>
                <wp:docPr id="55" name="Frame5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exhibits listed below are filed or incorporated by reference into this Report.</w:t>
      </w:r>
    </w:p>
    <w:tbl>
      <w:tblPr>
        <w:tblW w:w="10205" w:type="dxa"/>
        <w:jc w:val="left"/>
        <w:tblInd w:w="0" w:type="dxa"/>
        <w:tblLayout w:type="fixed"/>
        <w:tblCellMar>
          <w:top w:w="28" w:type="dxa"/>
          <w:left w:w="28" w:type="dxa"/>
          <w:bottom w:w="28" w:type="dxa"/>
          <w:right w:w="28" w:type="dxa"/>
        </w:tblCellMar>
      </w:tblPr>
      <w:tblGrid>
        <w:gridCol w:w="286"/>
        <w:gridCol w:w="252"/>
        <w:gridCol w:w="254"/>
        <w:gridCol w:w="109"/>
        <w:gridCol w:w="109"/>
        <w:gridCol w:w="109"/>
        <w:gridCol w:w="2033"/>
        <w:gridCol w:w="1939"/>
        <w:gridCol w:w="1958"/>
        <w:gridCol w:w="109"/>
        <w:gridCol w:w="109"/>
        <w:gridCol w:w="109"/>
        <w:gridCol w:w="175"/>
        <w:gridCol w:w="175"/>
        <w:gridCol w:w="176"/>
        <w:gridCol w:w="125"/>
        <w:gridCol w:w="125"/>
        <w:gridCol w:w="125"/>
        <w:gridCol w:w="240"/>
        <w:gridCol w:w="240"/>
        <w:gridCol w:w="241"/>
        <w:gridCol w:w="125"/>
        <w:gridCol w:w="125"/>
        <w:gridCol w:w="125"/>
        <w:gridCol w:w="241"/>
        <w:gridCol w:w="241"/>
        <w:gridCol w:w="350"/>
      </w:tblGrid>
      <w:tr>
        <w:trPr/>
        <w:tc>
          <w:tcPr>
            <w:tcW w:w="28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Incorporated by Reference</w:t>
            </w:r>
          </w:p>
        </w:tc>
      </w:tr>
      <w:tr>
        <w:trPr/>
        <w:tc>
          <w:tcPr>
            <w:tcW w:w="79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Form</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Exhibit</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Filing Date</w:t>
            </w:r>
          </w:p>
        </w:tc>
      </w:tr>
      <w:tr>
        <w:trPr/>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pPr>
            <w:hyperlink r:id="rId2">
              <w:r>
                <w:rPr>
                  <w:rStyle w:val="InternetLink"/>
                  <w:rFonts w:ascii="Times New Roman;serif" w:hAnsi="Times New Roman;serif"/>
                  <w:b w:val="false"/>
                  <w:color w:val="0000FF"/>
                  <w:sz w:val="20"/>
                  <w:u w:val="single"/>
                </w:rPr>
                <w:t>Certificate of Incorporation of Symbotic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6/13/2022</w:t>
            </w:r>
          </w:p>
        </w:tc>
      </w:tr>
      <w:tr>
        <w:trPr/>
        <w:tc>
          <w:tcPr>
            <w:tcW w:w="79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r:id="rId3">
              <w:r>
                <w:rPr>
                  <w:rStyle w:val="InternetLink"/>
                  <w:rFonts w:ascii="Times New Roman;serif" w:hAnsi="Times New Roman;serif"/>
                  <w:b w:val="false"/>
                  <w:color w:val="0000FF"/>
                  <w:sz w:val="20"/>
                  <w:u w:val="single"/>
                </w:rPr>
                <w:t>Bylaws of Symbotic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6/13/2022</w:t>
            </w:r>
          </w:p>
        </w:tc>
      </w:tr>
      <w:tr>
        <w:trPr/>
        <w:tc>
          <w:tcPr>
            <w:tcW w:w="79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r:id="rId4">
              <w:r>
                <w:rPr>
                  <w:rStyle w:val="InternetLink"/>
                  <w:rFonts w:ascii="Times New Roman;serif" w:hAnsi="Times New Roman;serif"/>
                  <w:b w:val="false"/>
                  <w:color w:val="0000FF"/>
                  <w:sz w:val="20"/>
                  <w:u w:val="single"/>
                </w:rPr>
                <w:t>Warrant to purchase common units, dated June 7, 2022, between Symbotic Holdings LLC and Walmart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6/13/2022</w:t>
            </w:r>
          </w:p>
        </w:tc>
      </w:tr>
      <w:tr>
        <w:trPr/>
        <w:tc>
          <w:tcPr>
            <w:tcW w:w="79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r:id="rId5">
              <w:r>
                <w:rPr>
                  <w:rStyle w:val="InternetLink"/>
                  <w:rFonts w:ascii="Times New Roman;serif" w:hAnsi="Times New Roman;serif"/>
                  <w:b w:val="false"/>
                  <w:color w:val="0000FF"/>
                  <w:sz w:val="20"/>
                  <w:u w:val="single"/>
                </w:rPr>
                <w:t>Warrant to purchase class A common stock, dated July 23, 2023, between Symbotic Inc. and Sunlight Investment Corp.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7/24/2023</w:t>
            </w:r>
          </w:p>
        </w:tc>
      </w:tr>
      <w:tr>
        <w:trPr/>
        <w:tc>
          <w:tcPr>
            <w:tcW w:w="79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r:id="rId6">
              <w:r>
                <w:rPr>
                  <w:rStyle w:val="InternetLink"/>
                  <w:rFonts w:ascii="Times New Roman;serif" w:hAnsi="Times New Roman;serif"/>
                  <w:b w:val="false"/>
                  <w:color w:val="0000FF"/>
                  <w:sz w:val="20"/>
                  <w:u w:val="single"/>
                </w:rPr>
                <w:t>Description of securities of Symbotic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10-K</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12/9/2022</w:t>
            </w:r>
          </w:p>
        </w:tc>
      </w:tr>
      <w:tr>
        <w:trPr/>
        <w:tc>
          <w:tcPr>
            <w:tcW w:w="79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r:id="rId7">
              <w:r>
                <w:rPr>
                  <w:rStyle w:val="InternetLink"/>
                  <w:rFonts w:ascii="Times New Roman;serif" w:hAnsi="Times New Roman;serif"/>
                  <w:b w:val="false"/>
                  <w:color w:val="0000FF"/>
                  <w:sz w:val="20"/>
                  <w:u w:val="single"/>
                </w:rPr>
                <w:t>Form of Indenture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7/24/2023</w:t>
            </w:r>
          </w:p>
        </w:tc>
      </w:tr>
      <w:tr>
        <w:trPr/>
        <w:tc>
          <w:tcPr>
            <w:tcW w:w="79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kuffneramendedapartmentu.htm">
              <w:r>
                <w:rPr>
                  <w:rStyle w:val="InternetLink"/>
                  <w:rFonts w:ascii="Times New Roman;serif" w:hAnsi="Times New Roman;serif"/>
                  <w:b w:val="false"/>
                  <w:color w:val="0000FF"/>
                  <w:sz w:val="20"/>
                  <w:u w:val="single"/>
                </w:rPr>
                <w:t>Amended and Restated Letter regarding Corporate Apartment dated May 6, 2026 between Symbotic LLC and James Kuffner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exhibit311-q326.htm">
              <w:r>
                <w:rPr>
                  <w:rStyle w:val="InternetLink"/>
                  <w:rFonts w:ascii="Times New Roman;serif" w:hAnsi="Times New Roman;serif"/>
                  <w:b w:val="false"/>
                  <w:color w:val="0000FF"/>
                  <w:sz w:val="20"/>
                  <w:u w:val="single"/>
                </w:rPr>
                <w:t>Certification of Chief Executive Officer Pursuant to Rule 13a-14(a)/ Rule 15d-14(a) of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exhibit312-q326.htm">
              <w:r>
                <w:rPr>
                  <w:rStyle w:val="InternetLink"/>
                  <w:rFonts w:ascii="Times New Roman;serif" w:hAnsi="Times New Roman;serif"/>
                  <w:b w:val="false"/>
                  <w:color w:val="0000FF"/>
                  <w:sz w:val="20"/>
                  <w:u w:val="single"/>
                </w:rPr>
                <w:t>Certification of Chief Financial Officer pursuant to Rule 13a-14(a)/ Rule 15d-14(a) of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exhibit321-q326.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exhibit322-q326.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with applicable taxonomy extension information contained in Exhibits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3"/>
        <w:gridCol w:w="117"/>
        <w:gridCol w:w="117"/>
        <w:gridCol w:w="2880"/>
        <w:gridCol w:w="2880"/>
        <w:gridCol w:w="4078"/>
      </w:tblGrid>
      <w:tr>
        <w:trPr/>
        <w:tc>
          <w:tcPr>
            <w:tcW w:w="13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078" w:type="dxa"/>
            <w:tcBorders/>
            <w:vAlign w:val="center"/>
          </w:tcPr>
          <w:p>
            <w:pPr>
              <w:pStyle w:val="TableContents"/>
              <w:bidi w:val="0"/>
              <w:spacing w:before="0" w:after="283"/>
              <w:jc w:val="left"/>
              <w:rPr>
                <w:sz w:val="4"/>
                <w:szCs w:val="4"/>
              </w:rPr>
            </w:pPr>
            <w:r>
              <w:rPr>
                <w:sz w:val="4"/>
                <w:szCs w:val="4"/>
              </w:rPr>
            </w:r>
          </w:p>
        </w:tc>
      </w:tr>
      <w:tr>
        <w:trPr/>
        <w:tc>
          <w:tcPr>
            <w:tcW w:w="367"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8"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Indicates management contract or compensatory plan.</w:t>
            </w:r>
          </w:p>
        </w:tc>
      </w:tr>
      <w:tr>
        <w:trPr/>
        <w:tc>
          <w:tcPr>
            <w:tcW w:w="36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20"/>
              </w:rPr>
              <w:t>++</w:t>
            </w:r>
          </w:p>
        </w:tc>
        <w:tc>
          <w:tcPr>
            <w:tcW w:w="9838"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Certain of the exhibits and schedules have been omitted in accordance with Item 601(a)(5) of Regulation S-K. We agree to furnish a copy of all omitted exhibits and schedules to the SEC upon its request.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60" w:after="283"/>
        <w:ind w:left="0" w:right="0" w:firstLine="360"/>
        <w:jc w:val="left"/>
        <w:rPr/>
      </w:pPr>
      <w:hyperlink w:anchor="iecbadb85086145d3932d30df12e097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60" w:after="283"/>
        <w:jc w:val="left"/>
        <w:rPr/>
      </w:pPr>
      <w:r>
        <w:rPr/>
      </w:r>
    </w:p>
    <w:p>
      <w:pPr>
        <w:pStyle w:val="TextBody"/>
        <w:bidi w:val="0"/>
        <w:spacing w:before="60" w:after="283"/>
        <w:jc w:val="left"/>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p>
      <w:pPr>
        <w:pStyle w:val="TextBody"/>
        <w:bidi w:val="0"/>
        <w:spacing w:lineRule="auto" w:line="288" w:before="60" w:after="283"/>
        <w:jc w:val="left"/>
        <w:rPr>
          <w:color w:val="000000"/>
        </w:rPr>
      </w:pPr>
      <w:r>
        <w:rPr>
          <w:color w:val="000000"/>
        </w:rPr>
        <w:t>                </w:t>
      </w:r>
    </w:p>
    <w:tbl>
      <w:tblPr>
        <w:tblW w:w="6015" w:type="dxa"/>
        <w:jc w:val="left"/>
        <w:tblInd w:w="0" w:type="dxa"/>
        <w:tblLayout w:type="fixed"/>
        <w:tblCellMar>
          <w:top w:w="28" w:type="dxa"/>
          <w:left w:w="28" w:type="dxa"/>
          <w:bottom w:w="28" w:type="dxa"/>
          <w:right w:w="28" w:type="dxa"/>
        </w:tblCellMar>
      </w:tblPr>
      <w:tblGrid>
        <w:gridCol w:w="462"/>
        <w:gridCol w:w="405"/>
        <w:gridCol w:w="408"/>
        <w:gridCol w:w="1387"/>
        <w:gridCol w:w="1387"/>
        <w:gridCol w:w="1966"/>
      </w:tblGrid>
      <w:tr>
        <w:trPr/>
        <w:tc>
          <w:tcPr>
            <w:tcW w:w="46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Symbotic Inc.</w:t>
            </w:r>
          </w:p>
        </w:tc>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74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Maria G. Freve</w:t>
            </w:r>
          </w:p>
        </w:tc>
      </w:tr>
      <w:tr>
        <w:trPr/>
        <w:tc>
          <w:tcPr>
            <w:tcW w:w="127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Maria G. Freve</w:t>
            </w:r>
          </w:p>
        </w:tc>
      </w:tr>
      <w:tr>
        <w:trPr/>
        <w:tc>
          <w:tcPr>
            <w:tcW w:w="127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74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Vice President, Controller and Chief Accounting Officer </w:t>
            </w:r>
          </w:p>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spacing w:before="0" w:after="0"/>
        <w:jc w:val="center"/>
        <w:rPr/>
      </w:pPr>
      <w:bookmarkStart w:id="0" w:name="kuffneramendedapartmentu.htm"/>
      <w:bookmarkStart w:id="1" w:name="kskuffneramendedapartmentu"/>
      <w:bookmarkEnd w:id="0"/>
      <w:bookmarkEnd w:id="1"/>
      <w:r>
        <w:rPr/>
        <w:drawing>
          <wp:inline distT="0" distB="0" distL="0" distR="0">
            <wp:extent cx="10048875" cy="26003250"/>
            <wp:effectExtent l="0" t="0" r="0" b="0"/>
            <wp:docPr id="5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1" descr=""/>
                    <pic:cNvPicPr>
                      <a:picLocks noChangeAspect="1" noChangeArrowheads="1"/>
                    </pic:cNvPicPr>
                  </pic:nvPicPr>
                  <pic:blipFill>
                    <a:blip r:embed="rId8"/>
                    <a:stretch>
                      <a:fillRect/>
                    </a:stretch>
                  </pic:blipFill>
                  <pic:spPr bwMode="auto">
                    <a:xfrm>
                      <a:off x="0" y="0"/>
                      <a:ext cx="10048875" cy="2600325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84785"/>
                <wp:effectExtent l="0" t="0" r="0" b="0"/>
                <wp:wrapNone/>
                <wp:docPr id="58" name="Frame5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jc w:val="center"/>
        <w:rPr>
          <w:color w:val="FFFFFF"/>
          <w:sz w:val="2"/>
        </w:rPr>
      </w:pPr>
      <w:r>
        <w:rPr>
          <w:color w:val="FFFFFF"/>
          <w:sz w:val="2"/>
        </w:rPr>
        <w:t xml:space="preserve">Symbotic LLC 200 Research Drive | Wilmington, MA 01887 Phone 978-284-2800 | www.symbotic.com May 6, 2026 James Kuffner c/o Symbotic Inc. 200 Research Drive Wilmington, MA 01887 Re: Corporate Apartment Dear James: On June 6, 2025, you signed a letter agreement with Symbotic LLC (the “Company”) regarding temporary accommodations near the headquarters of the Company in Wilmington, Massachusetts (“Letter Agreement”). The Letter Agreement terminated on April 30, 2026. This letter amends and restates the terms of your temporary accommodations subject to your continued employment with the Company or any of its subsidiaries. If you understand and agree to these terms, please sign at the end of this letter. 1. Beginning on June 6, 2025, the Company will provide you access to a furnished corporate apartment with two bedrooms and two bathrooms at the Life Time Living Burlington apartment complex. 2. You may use the apartment on a temporary basis as the Company’s guest and at its sole and absolute discretion. Whom you allow into the apartment as your guest (including family, colleagues, friends or others) will be up to you, and you will be solely responsible for any guests. 3. You agree not to rent the apartment or any portion of the apartment to anyone or use any of it for any commercial or illegal purpose. You agree to use good judgment and follow the Code of Business Conduct and Ethics and other policies of the Company in connection with your use of the apartment. You will be responsible for cleaning the apartment and for any maintenance not provided by the owner of the apartment complex. In addition, you agree to follow any other rules required by the owner and/or landlord. You expressly consent to the Company providing relevant personal information about you to the owner and/or landlord of the apartment complex in connection with this arrangement and as required in relation to the lease. 4. The purpose of this housing is to facilitate you spending time at the Company’s headquarters. If at any time, and for any reason, the Company’s desire (in the Company’s sole judgment) for you to spend time at the Company’s headquarters ends or significantly decreases, the Company may stop providing you with this Docusign Envelope ID: 89D406EA-D70A-8FBE-82D4-AB492707BB43 Page 2 www.symbotic.com housing with no liability to you. You unconditionally agree to vacate the apartment in good order and to ensure that anyone who is your guest in the apartment does so as well, within seven (7) days after the Company requests that you do so, regardless of the reason for the Company’s request and whether or not you agree with the Company’s reason. 5. This letter doesn’t change the terms of your employment. It is not a lease, and it does not make you a tenant. It merely describes the Company’s plan to meet the expense of your business accommodation as set out above. The terms of the Company’s travel and expenses policy continue to apply in the normal way. If you have questions about this letter or would like to discuss a different approach to your housing needs, please let me know. Sincerely, Eric Hyland Senior Director, HR Business Partner I understand and agree to the terms of this letter. _____________________________ James Kuffner Date: Docusign Envelope ID: 89D406EA-D70A-8FBE-82D4-AB492707BB43 May 6, 2026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before="0" w:after="0"/>
        <w:jc w:val="left"/>
        <w:rPr/>
      </w:pPr>
      <w:r>
        <w:rPr/>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I, Richard B. Cohen, certify that:</w:t>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for the fiscal quarter ended June 27, 2026 of Symbotic Inc.;</w:t>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12" w:before="0" w:after="120"/>
        <w:ind w:left="0" w:right="0" w:hanging="360"/>
        <w:jc w:val="left"/>
        <w:rPr/>
      </w:pPr>
      <w:r>
        <w:rPr>
          <w:rFonts w:ascii="Times New Roman;serif" w:hAnsi="Times New Roman;serif"/>
          <w:b w:val="false"/>
          <w:color w:val="000000"/>
          <w:sz w:val="20"/>
        </w:rPr>
        <w:t>a.</w:t>
      </w:r>
      <w:r>
        <w:rPr>
          <w:color w:val="000000"/>
        </w:rPr>
        <w:t> </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12"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12" w:before="0" w:after="120"/>
        <w:ind w:left="0" w:right="0" w:hanging="360"/>
        <w:jc w:val="left"/>
        <w:rPr/>
      </w:pPr>
      <w:r>
        <w:rPr>
          <w:rFonts w:ascii="Times New Roman;serif" w:hAnsi="Times New Roman;serif"/>
          <w:b w:val="false"/>
          <w:color w:val="000000"/>
          <w:sz w:val="20"/>
        </w:rPr>
        <w:t>c.</w:t>
      </w:r>
      <w:r>
        <w:rPr>
          <w:color w:val="000000"/>
        </w:rPr>
        <w:t> </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12" w:before="0" w:after="120"/>
        <w:ind w:left="0" w:right="0" w:hanging="360"/>
        <w:jc w:val="left"/>
        <w:rPr/>
      </w:pPr>
      <w:r>
        <w:rPr>
          <w:rFonts w:ascii="Times New Roman;serif" w:hAnsi="Times New Roman;serif"/>
          <w:b w:val="false"/>
          <w:color w:val="000000"/>
          <w:sz w:val="20"/>
        </w:rPr>
        <w:t>d.</w:t>
      </w:r>
      <w:r>
        <w:rPr>
          <w:color w:val="000000"/>
        </w:rPr>
        <w:t> </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12"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502"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951"/>
        <w:gridCol w:w="951"/>
        <w:gridCol w:w="135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B. Cohen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B. Cohen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before="0" w:after="0"/>
        <w:jc w:val="left"/>
        <w:rPr/>
      </w:pPr>
      <w:r>
        <w:rPr/>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I, Izilda Martins, certify that:</w:t>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for the fiscal quarter ended June 27, 2026 of Symbotic Inc.;</w:t>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12"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12"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12"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12"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12"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398"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919"/>
        <w:gridCol w:w="919"/>
        <w:gridCol w:w="131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Izilda Martins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Izilda Martins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Symbotic Inc. (the “Company”) for the fiscal quarter ended June 27, 2026, as filed with the Securities and Exchange Commission on the date hereof (the “Report”), I, Richard B. Cohen, Chairman and Chief Executive Officer of the Company, certify, pursuant to 18 U.S.C. Section 1350, as adopted pursuant to Section 906 of the Sarbanes-Oxley Act of 2002, that, to my knowledge:</w:t>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5502"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951"/>
        <w:gridCol w:w="951"/>
        <w:gridCol w:w="135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B. Cohen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B. Cohen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The foregoing certification is being furnished solely pursuant to 18 U.S.C. Section 1350 and is not being filed as part of the Report or as a separate disclosure document.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Symbotic Inc. (the “Company”) for the fiscal quarter ended June 27, 2026, as filed with the Securities and Exchange Commission on the date hereof (the “Report”), I, Izilda Martins, Chief Financial Officer and Treasurer of the Company, certify, pursuant to 18 U.S.C. Section 1350, as adopted pursuant to Section 906 of the Sarbanes-Oxley Act of 2002, that, to my knowledge:</w:t>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5398"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919"/>
        <w:gridCol w:w="919"/>
        <w:gridCol w:w="131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Izilda Martins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Izilda Martins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18 U.S.C. Section 1350 and is not being filed as part of the Report or as a separate disclosure document.</w:t>
      </w:r>
    </w:p>
    <w:p>
      <w:pPr>
        <w:pStyle w:val="TextBody"/>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7240/000119312522172211/d369444dex31.htm" TargetMode="External"/><Relationship Id="rId3" Type="http://schemas.openxmlformats.org/officeDocument/2006/relationships/hyperlink" Target="https://www.sec.gov/Archives/edgar/data/1837240/000119312522172211/d369444dex32.htm" TargetMode="External"/><Relationship Id="rId4" Type="http://schemas.openxmlformats.org/officeDocument/2006/relationships/hyperlink" Target="https://www.sec.gov/Archives/edgar/data/1837240/000119312522172211/d369444dex41.htm" TargetMode="External"/><Relationship Id="rId5" Type="http://schemas.openxmlformats.org/officeDocument/2006/relationships/hyperlink" Target="https://www.sec.gov/Archives/edgar/data/1837240/000119312523191837/d518855dex41.htm" TargetMode="External"/><Relationship Id="rId6" Type="http://schemas.openxmlformats.org/officeDocument/2006/relationships/hyperlink" Target="https://www.sec.gov/Archives/edgar/data/1837240/000183724022000049/exhibit42-descriptionofsec.htm" TargetMode="External"/><Relationship Id="rId7" Type="http://schemas.openxmlformats.org/officeDocument/2006/relationships/hyperlink" Target="https://www.sec.gov/Archives/edgar/data/1837240/000119312523191872/d538793dex41.htm" TargetMode="Externa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27915</Words>
  <Characters>155611</Characters>
  <CharactersWithSpaces>181516</CharactersWithSpaces>
  <Paragraphs>3590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kuffneramendedapartmentu</dc:title>
</cp:coreProperties>
</file>