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60" w:after="283"/>
        <w:ind w:left="0" w:right="0" w:firstLine="360"/>
        <w:jc w:val="left"/>
        <w:rPr/>
      </w:pPr>
      <w:r>
        <w:rPr/>
      </w:r>
    </w:p>
    <w:p>
      <w:pPr>
        <w:pStyle w:val="TextBody"/>
        <w:bidi w:val="0"/>
        <w:spacing w:before="0" w:after="120"/>
        <w:jc w:val="center"/>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60" w:after="283"/>
        <w:jc w:val="center"/>
        <w:rPr/>
      </w:pPr>
      <w:r>
        <w:rPr/>
      </w:r>
    </w:p>
    <w:p>
      <w:pPr>
        <w:pStyle w:val="TextBody"/>
        <w:bidi w:val="0"/>
        <w:spacing w:lineRule="auto" w:line="288" w:before="60" w:after="283"/>
        <w:jc w:val="center"/>
        <w:rPr>
          <w:rFonts w:ascii="Times New Roman;serif" w:hAnsi="Times New Roman;serif"/>
          <w:b/>
          <w:color w:val="000000"/>
          <w:sz w:val="32"/>
        </w:rPr>
      </w:pPr>
      <w:r>
        <w:rPr>
          <w:rFonts w:ascii="Times New Roman;serif" w:hAnsi="Times New Roman;serif"/>
          <w:b/>
          <w:color w:val="000000"/>
          <w:sz w:val="32"/>
        </w:rPr>
        <w:t>UNITED STATES</w:t>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before="60" w:after="60"/>
        <w:jc w:val="center"/>
        <w:rPr/>
      </w:pPr>
      <w:r>
        <w:rPr/>
      </w:r>
    </w:p>
    <w:tbl>
      <w:tblPr>
        <w:tblW w:w="2130" w:type="dxa"/>
        <w:jc w:val="center"/>
        <w:tblInd w:w="0" w:type="dxa"/>
        <w:tblLayout w:type="fixed"/>
        <w:tblCellMar>
          <w:top w:w="28" w:type="dxa"/>
          <w:left w:w="28" w:type="dxa"/>
          <w:bottom w:w="28" w:type="dxa"/>
          <w:right w:w="28" w:type="dxa"/>
        </w:tblCellMar>
      </w:tblPr>
      <w:tblGrid>
        <w:gridCol w:w="681"/>
        <w:gridCol w:w="599"/>
        <w:gridCol w:w="850"/>
      </w:tblGrid>
      <w:tr>
        <w:trPr/>
        <w:tc>
          <w:tcPr>
            <w:tcW w:w="681"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r>
      <w:tr>
        <w:trPr/>
        <w:tc>
          <w:tcPr>
            <w:tcW w:w="2130" w:type="dxa"/>
            <w:gridSpan w:val="3"/>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lineRule="auto" w:line="300" w:before="0" w:after="2"/>
              <w:jc w:val="center"/>
              <w:rPr>
                <w:rFonts w:ascii="Times New Roman;serif" w:hAnsi="Times New Roman;serif"/>
                <w:b/>
                <w:color w:val="000000"/>
                <w:sz w:val="36"/>
              </w:rPr>
            </w:pPr>
            <w:r>
              <w:rPr>
                <w:rFonts w:ascii="Times New Roman;serif" w:hAnsi="Times New Roman;serif"/>
                <w:b/>
                <w:color w:val="000000"/>
                <w:sz w:val="36"/>
              </w:rPr>
              <w:t>FORM 10-Q</w:t>
            </w:r>
          </w:p>
        </w:tc>
      </w:tr>
    </w:tbl>
    <w:p>
      <w:pPr>
        <w:pStyle w:val="TextBody"/>
        <w:bidi w:val="0"/>
        <w:spacing w:before="60" w:after="283"/>
        <w:jc w:val="center"/>
        <w:rPr/>
      </w:pPr>
      <w:r>
        <w:rPr/>
      </w:r>
    </w:p>
    <w:p>
      <w:pPr>
        <w:pStyle w:val="TextBody"/>
        <w:bidi w:val="0"/>
        <w:spacing w:lineRule="auto" w:line="400" w:before="60" w:after="100"/>
        <w:jc w:val="left"/>
        <w:rPr>
          <w:rFonts w:ascii="Times New Roman;serif" w:hAnsi="Times New Roman;serif"/>
          <w:b/>
          <w:color w:val="000000"/>
          <w:sz w:val="20"/>
        </w:rPr>
      </w:pPr>
      <w:r>
        <w:rPr>
          <w:rFonts w:ascii="Times New Roman;serif" w:hAnsi="Times New Roman;serif"/>
          <w:b/>
          <w:color w:val="000000"/>
          <w:sz w:val="20"/>
        </w:rPr>
        <w:t>(Mark One)</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300" w:before="0" w:after="283"/>
              <w:jc w:val="center"/>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53" w:after="30"/>
              <w:jc w:val="left"/>
              <w:rPr>
                <w:rFonts w:ascii="Times New Roman;serif" w:hAnsi="Times New Roman;serif"/>
                <w:b/>
                <w:color w:val="000000"/>
                <w:sz w:val="20"/>
              </w:rPr>
            </w:pPr>
            <w:r>
              <w:rPr>
                <w:rFonts w:ascii="Times New Roman;serif" w:hAnsi="Times New Roman;serif"/>
                <w:b/>
                <w:color w:val="000000"/>
                <w:sz w:val="20"/>
              </w:rPr>
              <w:t>QUARTERLY REPORT PURSUANT TO SECTION 13 OR 15(d) OF THE SECURITIES EXCHANGE ACT OF 1934</w:t>
            </w:r>
          </w:p>
        </w:tc>
      </w:tr>
    </w:tbl>
    <w:p>
      <w:pPr>
        <w:pStyle w:val="TextBody"/>
        <w:bidi w:val="0"/>
        <w:spacing w:lineRule="auto" w:line="307" w:before="60" w:after="283"/>
        <w:jc w:val="center"/>
        <w:rPr>
          <w:rFonts w:ascii="Times New Roman;serif" w:hAnsi="Times New Roman;serif"/>
          <w:b/>
          <w:color w:val="000000"/>
          <w:sz w:val="20"/>
        </w:rPr>
      </w:pPr>
      <w:r>
        <w:rPr>
          <w:rFonts w:ascii="Times New Roman;serif" w:hAnsi="Times New Roman;serif"/>
          <w:b/>
          <w:color w:val="000000"/>
          <w:sz w:val="20"/>
        </w:rPr>
        <w:t xml:space="preserve">For the quarterly period ended June 28, 2025 </w:t>
      </w:r>
    </w:p>
    <w:p>
      <w:pPr>
        <w:pStyle w:val="TextBody"/>
        <w:bidi w:val="0"/>
        <w:spacing w:lineRule="auto" w:line="400" w:before="60" w:after="283"/>
        <w:jc w:val="center"/>
        <w:rPr>
          <w:rFonts w:ascii="Times New Roman;serif" w:hAnsi="Times New Roman;serif"/>
          <w:b/>
          <w:color w:val="000000"/>
          <w:sz w:val="16"/>
        </w:rPr>
      </w:pPr>
      <w:r>
        <w:rPr>
          <w:rFonts w:ascii="Times New Roman;serif" w:hAnsi="Times New Roman;serif"/>
          <w:b/>
          <w:color w:val="000000"/>
          <w:sz w:val="16"/>
        </w:rPr>
        <w:t>OR</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8"/>
        <w:gridCol w:w="2888"/>
        <w:gridCol w:w="40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300" w:before="0" w:after="283"/>
              <w:jc w:val="center"/>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53" w:after="30"/>
              <w:jc w:val="left"/>
              <w:rPr>
                <w:rFonts w:ascii="Times New Roman;serif" w:hAnsi="Times New Roman;serif"/>
                <w:b/>
                <w:color w:val="000000"/>
                <w:sz w:val="20"/>
              </w:rPr>
            </w:pPr>
            <w:r>
              <w:rPr>
                <w:rFonts w:ascii="Times New Roman;serif" w:hAnsi="Times New Roman;serif"/>
                <w:b/>
                <w:color w:val="000000"/>
                <w:sz w:val="20"/>
              </w:rPr>
              <w:t>TRANSITION REPORT PURSUANT TO SECTION 13 OR 15(d) OF THE SECURITIES EXCHANGE ACT OF 1934</w:t>
            </w:r>
          </w:p>
        </w:tc>
      </w:tr>
    </w:tbl>
    <w:p>
      <w:pPr>
        <w:pStyle w:val="TextBody"/>
        <w:bidi w:val="0"/>
        <w:spacing w:lineRule="auto" w:line="307" w:before="60" w:after="283"/>
        <w:jc w:val="center"/>
        <w:rPr>
          <w:rFonts w:ascii="Times New Roman;serif" w:hAnsi="Times New Roman;serif"/>
          <w:b/>
          <w:color w:val="000000"/>
          <w:sz w:val="20"/>
        </w:rPr>
      </w:pPr>
      <w:r>
        <w:rPr>
          <w:rFonts w:ascii="Times New Roman;serif" w:hAnsi="Times New Roman;serif"/>
          <w:b/>
          <w:color w:val="000000"/>
          <w:sz w:val="20"/>
        </w:rPr>
        <w:t xml:space="preserve">For the transition period from ______ to </w:t>
      </w:r>
    </w:p>
    <w:p>
      <w:pPr>
        <w:pStyle w:val="TextBody"/>
        <w:bidi w:val="0"/>
        <w:spacing w:before="60" w:after="283"/>
        <w:jc w:val="left"/>
        <w:rPr/>
      </w:pPr>
      <w:r>
        <w:rPr/>
      </w:r>
    </w:p>
    <w:p>
      <w:pPr>
        <w:pStyle w:val="TextBody"/>
        <w:bidi w:val="0"/>
        <w:spacing w:lineRule="auto" w:line="400" w:before="60" w:after="283"/>
        <w:jc w:val="center"/>
        <w:rPr>
          <w:rFonts w:ascii="Times New Roman;serif" w:hAnsi="Times New Roman;serif"/>
          <w:b/>
          <w:color w:val="000000"/>
          <w:sz w:val="20"/>
        </w:rPr>
      </w:pPr>
      <w:r>
        <w:rPr>
          <w:rFonts w:ascii="Times New Roman;serif" w:hAnsi="Times New Roman;serif"/>
          <w:b/>
          <w:color w:val="000000"/>
          <w:sz w:val="20"/>
        </w:rPr>
        <w:t xml:space="preserve">Commission file number 001-40175 </w:t>
      </w:r>
    </w:p>
    <w:p>
      <w:pPr>
        <w:pStyle w:val="TextBody"/>
        <w:bidi w:val="0"/>
        <w:spacing w:before="60" w:after="283"/>
        <w:jc w:val="center"/>
        <w:rPr/>
      </w:pPr>
      <w:r>
        <w:rPr/>
      </w:r>
    </w:p>
    <w:p>
      <w:pPr>
        <w:pStyle w:val="TextBody"/>
        <w:bidi w:val="0"/>
        <w:spacing w:lineRule="auto" w:line="400" w:before="60" w:after="283"/>
        <w:jc w:val="center"/>
        <w:rPr>
          <w:rFonts w:ascii="Times New Roman;serif" w:hAnsi="Times New Roman;serif"/>
          <w:b/>
          <w:color w:val="000000"/>
          <w:sz w:val="36"/>
        </w:rPr>
      </w:pPr>
      <w:r>
        <w:rPr>
          <w:rFonts w:ascii="Times New Roman;serif" w:hAnsi="Times New Roman;serif"/>
          <w:b/>
          <w:color w:val="000000"/>
          <w:sz w:val="36"/>
        </w:rPr>
        <w:t xml:space="preserve">SYMBOTIC INC. </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tbl>
      <w:tblPr>
        <w:tblW w:w="10205" w:type="dxa"/>
        <w:jc w:val="left"/>
        <w:tblInd w:w="0" w:type="dxa"/>
        <w:tblLayout w:type="fixed"/>
        <w:tblCellMar>
          <w:top w:w="28" w:type="dxa"/>
          <w:left w:w="28" w:type="dxa"/>
          <w:bottom w:w="28" w:type="dxa"/>
          <w:right w:w="28" w:type="dxa"/>
        </w:tblCellMar>
      </w:tblPr>
      <w:tblGrid>
        <w:gridCol w:w="1027"/>
        <w:gridCol w:w="903"/>
        <w:gridCol w:w="912"/>
        <w:gridCol w:w="832"/>
        <w:gridCol w:w="832"/>
        <w:gridCol w:w="832"/>
        <w:gridCol w:w="832"/>
        <w:gridCol w:w="832"/>
        <w:gridCol w:w="848"/>
        <w:gridCol w:w="666"/>
        <w:gridCol w:w="666"/>
        <w:gridCol w:w="645"/>
        <w:gridCol w:w="109"/>
        <w:gridCol w:w="109"/>
        <w:gridCol w:w="160"/>
      </w:tblGrid>
      <w:tr>
        <w:trPr/>
        <w:tc>
          <w:tcPr>
            <w:tcW w:w="1027"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842"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22"/>
              </w:rPr>
            </w:pPr>
            <w:r>
              <w:rPr>
                <w:rFonts w:ascii="Times New Roman;serif" w:hAnsi="Times New Roman;serif"/>
                <w:b/>
                <w:color w:val="000000"/>
                <w:sz w:val="22"/>
              </w:rPr>
              <w:t>Delaware</w:t>
            </w:r>
          </w:p>
        </w:tc>
        <w:tc>
          <w:tcPr>
            <w:tcW w:w="5008"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7"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22"/>
              </w:rPr>
            </w:pPr>
            <w:r>
              <w:rPr>
                <w:rFonts w:ascii="Times New Roman;serif" w:hAnsi="Times New Roman;serif"/>
                <w:b/>
                <w:color w:val="000000"/>
                <w:sz w:val="22"/>
              </w:rPr>
              <w:t>98-1572401</w:t>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2" w:type="dxa"/>
            <w:gridSpan w:val="3"/>
            <w:tcBorders/>
            <w:tcMar>
              <w:top w:w="0" w:type="dxa"/>
              <w:left w:w="0" w:type="dxa"/>
              <w:bottom w:w="0" w:type="dxa"/>
              <w:right w:w="0" w:type="dxa"/>
            </w:tcMar>
            <w:vAlign w:val="center"/>
          </w:tcPr>
          <w:p>
            <w:pPr>
              <w:pStyle w:val="TableContents"/>
              <w:bidi w:val="0"/>
              <w:spacing w:lineRule="auto" w:line="240" w:before="53" w:after="30"/>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 incorporation or organization)</w:t>
            </w:r>
          </w:p>
        </w:tc>
        <w:tc>
          <w:tcPr>
            <w:tcW w:w="5008"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7" w:type="dxa"/>
            <w:gridSpan w:val="3"/>
            <w:tcBorders/>
            <w:tcMar>
              <w:top w:w="0" w:type="dxa"/>
              <w:left w:w="0" w:type="dxa"/>
              <w:bottom w:w="0" w:type="dxa"/>
              <w:right w:w="0" w:type="dxa"/>
            </w:tcMar>
            <w:vAlign w:val="center"/>
          </w:tcPr>
          <w:p>
            <w:pPr>
              <w:pStyle w:val="TableContents"/>
              <w:bidi w:val="0"/>
              <w:spacing w:lineRule="auto" w:line="240" w:before="53" w:after="30"/>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No.)</w:t>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8" w:type="dxa"/>
            <w:gridSpan w:val="6"/>
            <w:vMerge w:val="restart"/>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2"/>
              </w:rPr>
            </w:pPr>
            <w:r>
              <w:rPr>
                <w:rFonts w:ascii="Times New Roman;serif" w:hAnsi="Times New Roman;serif"/>
                <w:b/>
                <w:color w:val="000000"/>
                <w:sz w:val="22"/>
              </w:rPr>
              <w:t>200 Research Drive</w:t>
            </w:r>
          </w:p>
          <w:p>
            <w:pPr>
              <w:pStyle w:val="TableContents"/>
              <w:bidi w:val="0"/>
              <w:spacing w:lineRule="auto" w:line="300" w:before="0" w:after="2"/>
              <w:jc w:val="center"/>
              <w:rPr>
                <w:rFonts w:ascii="Times New Roman;serif" w:hAnsi="Times New Roman;serif"/>
                <w:b/>
                <w:color w:val="000000"/>
                <w:sz w:val="22"/>
              </w:rPr>
            </w:pPr>
            <w:r>
              <w:rPr>
                <w:rFonts w:ascii="Times New Roman;serif" w:hAnsi="Times New Roman;serif"/>
                <w:b/>
                <w:color w:val="000000"/>
                <w:sz w:val="22"/>
              </w:rPr>
              <w:t xml:space="preserve">Wilmington, MA 01887 </w:t>
            </w:r>
          </w:p>
          <w:p>
            <w:pPr>
              <w:pStyle w:val="TableContents"/>
              <w:bidi w:val="0"/>
              <w:spacing w:lineRule="auto" w:line="300" w:before="0" w:after="2"/>
              <w:jc w:val="center"/>
              <w:rPr>
                <w:rFonts w:ascii="Times New Roman;serif" w:hAnsi="Times New Roman;serif"/>
                <w:b/>
                <w:color w:val="000000"/>
                <w:sz w:val="22"/>
              </w:rPr>
            </w:pPr>
            <w:r>
              <w:rPr>
                <w:rFonts w:ascii="Times New Roman;serif" w:hAnsi="Times New Roman;serif"/>
                <w:b/>
                <w:color w:val="000000"/>
                <w:sz w:val="22"/>
              </w:rPr>
              <w:t>(978) 284-2800</w:t>
            </w:r>
          </w:p>
        </w:tc>
        <w:tc>
          <w:tcPr>
            <w:tcW w:w="19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8" w:type="dxa"/>
            <w:gridSpan w:val="6"/>
            <w:vMerge w:val="continue"/>
            <w:tcBorders/>
            <w:tcMar>
              <w:top w:w="0" w:type="dxa"/>
              <w:left w:w="0" w:type="dxa"/>
              <w:bottom w:w="0" w:type="dxa"/>
              <w:right w:w="0" w:type="dxa"/>
            </w:tcMar>
            <w:vAlign w:val="center"/>
          </w:tcPr>
          <w:p>
            <w:pPr>
              <w:pStyle w:val="Normal"/>
              <w:bidi w:val="0"/>
              <w:jc w:val="left"/>
              <w:rPr/>
            </w:pPr>
            <w:r>
              <w:rPr/>
            </w:r>
          </w:p>
        </w:tc>
        <w:tc>
          <w:tcPr>
            <w:tcW w:w="19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8" w:type="dxa"/>
            <w:gridSpan w:val="6"/>
            <w:tcBorders/>
            <w:tcMar>
              <w:top w:w="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val="false"/>
                <w:color w:val="000000"/>
                <w:sz w:val="20"/>
              </w:rPr>
            </w:pPr>
            <w:r>
              <w:rPr>
                <w:rFonts w:ascii="Times New Roman;serif" w:hAnsi="Times New Roman;serif"/>
                <w:b w:val="false"/>
                <w:color w:val="000000"/>
                <w:sz w:val="20"/>
              </w:rPr>
              <w:t>(Address, Including Zip Code, and Telephone Number, Including Area Code, of Registrant’s Principal Executive Offices)</w:t>
            </w:r>
          </w:p>
        </w:tc>
        <w:tc>
          <w:tcPr>
            <w:tcW w:w="19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 Applicable</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(Former name, former address and former fiscal year, if changed since last report)</w:t>
      </w:r>
    </w:p>
    <w:p>
      <w:pPr>
        <w:pStyle w:val="TextBody"/>
        <w:bidi w:val="0"/>
        <w:spacing w:before="60" w:after="283"/>
        <w:ind w:left="0" w:right="0" w:firstLine="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213360"/>
                <wp:effectExtent l="0" t="0" r="0" b="0"/>
                <wp:wrapNone/>
                <wp:docPr id="1" name="Frame1"/>
                <a:graphic xmlns:a="http://schemas.openxmlformats.org/drawingml/2006/main">
                  <a:graphicData uri="http://schemas.microsoft.com/office/word/2010/wordprocessingShape">
                    <wps:wsp>
                      <wps:cNvSpPr txBox="1"/>
                      <wps:spPr>
                        <a:xfrm>
                          <a:off x="0" y="0"/>
                          <a:ext cx="6480175" cy="213360"/>
                        </a:xfrm>
                        <a:prstGeom prst="rect"/>
                        <a:solidFill>
                          <a:srgbClr val="FFFFFF"/>
                        </a:solidFill>
                      </wps:spPr>
                      <wps:txbx>
                        <w:txbxContent>
                          <w:p>
                            <w:pPr>
                              <w:pStyle w:val="TextBody"/>
                              <w:bidi w:val="0"/>
                              <w:spacing w:before="60" w:after="283"/>
                              <w:ind w:left="0" w:right="0" w:firstLine="36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6.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60" w:after="283"/>
                        <w:ind w:left="0" w:right="0" w:firstLine="360"/>
                        <w:jc w:val="center"/>
                        <w:rPr/>
                      </w:pPr>
                      <w:r>
                        <w:rPr/>
                      </w:r>
                    </w:p>
                  </w:txbxContent>
                </v:textbox>
                <w10:wrap type="none"/>
              </v:rect>
            </w:pict>
          </mc:Fallback>
        </mc:AlternateContent>
      </w:r>
    </w:p>
    <w:p>
      <w:pPr>
        <w:pStyle w:val="TextBody"/>
        <w:bidi w:val="0"/>
        <w:spacing w:before="60" w:after="283"/>
        <w:ind w:left="0" w:right="0" w:firstLine="360"/>
        <w:jc w:val="left"/>
        <w:rPr/>
      </w:pPr>
      <w:r>
        <w:rPr/>
      </w:r>
    </w:p>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Securities registered pursuant to Section 12(b) of the Act: </w:t>
      </w:r>
    </w:p>
    <w:tbl>
      <w:tblPr>
        <w:tblW w:w="10205" w:type="dxa"/>
        <w:jc w:val="left"/>
        <w:tblInd w:w="0" w:type="dxa"/>
        <w:tblLayout w:type="fixed"/>
        <w:tblCellMar>
          <w:top w:w="28" w:type="dxa"/>
          <w:left w:w="28" w:type="dxa"/>
          <w:bottom w:w="28" w:type="dxa"/>
          <w:right w:w="28" w:type="dxa"/>
        </w:tblCellMar>
      </w:tblPr>
      <w:tblGrid>
        <w:gridCol w:w="1543"/>
        <w:gridCol w:w="1349"/>
        <w:gridCol w:w="1365"/>
        <w:gridCol w:w="109"/>
        <w:gridCol w:w="109"/>
        <w:gridCol w:w="109"/>
        <w:gridCol w:w="536"/>
        <w:gridCol w:w="536"/>
        <w:gridCol w:w="538"/>
        <w:gridCol w:w="109"/>
        <w:gridCol w:w="109"/>
        <w:gridCol w:w="109"/>
        <w:gridCol w:w="1077"/>
        <w:gridCol w:w="1077"/>
        <w:gridCol w:w="1530"/>
      </w:tblGrid>
      <w:tr>
        <w:trPr/>
        <w:tc>
          <w:tcPr>
            <w:tcW w:w="1543" w:type="dxa"/>
            <w:tcBorders/>
            <w:vAlign w:val="center"/>
          </w:tcPr>
          <w:p>
            <w:pPr>
              <w:pStyle w:val="TableContents"/>
              <w:bidi w:val="0"/>
              <w:spacing w:before="0" w:after="283"/>
              <w:jc w:val="left"/>
              <w:rPr>
                <w:sz w:val="4"/>
                <w:szCs w:val="4"/>
              </w:rPr>
            </w:pPr>
            <w:r>
              <w:rPr>
                <w:sz w:val="4"/>
                <w:szCs w:val="4"/>
              </w:rPr>
            </w:r>
          </w:p>
        </w:tc>
        <w:tc>
          <w:tcPr>
            <w:tcW w:w="1349" w:type="dxa"/>
            <w:tcBorders/>
            <w:vAlign w:val="center"/>
          </w:tcPr>
          <w:p>
            <w:pPr>
              <w:pStyle w:val="TableContents"/>
              <w:bidi w:val="0"/>
              <w:spacing w:before="0" w:after="283"/>
              <w:jc w:val="left"/>
              <w:rPr>
                <w:sz w:val="4"/>
                <w:szCs w:val="4"/>
              </w:rPr>
            </w:pPr>
            <w:r>
              <w:rPr>
                <w:sz w:val="4"/>
                <w:szCs w:val="4"/>
              </w:rPr>
            </w:r>
          </w:p>
        </w:tc>
        <w:tc>
          <w:tcPr>
            <w:tcW w:w="13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77" w:type="dxa"/>
            <w:tcBorders/>
            <w:vAlign w:val="center"/>
          </w:tcPr>
          <w:p>
            <w:pPr>
              <w:pStyle w:val="TableContents"/>
              <w:bidi w:val="0"/>
              <w:spacing w:before="0" w:after="283"/>
              <w:jc w:val="left"/>
              <w:rPr>
                <w:sz w:val="4"/>
                <w:szCs w:val="4"/>
              </w:rPr>
            </w:pPr>
            <w:r>
              <w:rPr>
                <w:sz w:val="4"/>
                <w:szCs w:val="4"/>
              </w:rPr>
            </w:r>
          </w:p>
        </w:tc>
        <w:tc>
          <w:tcPr>
            <w:tcW w:w="1077" w:type="dxa"/>
            <w:tcBorders/>
            <w:vAlign w:val="center"/>
          </w:tcPr>
          <w:p>
            <w:pPr>
              <w:pStyle w:val="TableContents"/>
              <w:bidi w:val="0"/>
              <w:spacing w:before="0" w:after="283"/>
              <w:jc w:val="left"/>
              <w:rPr>
                <w:sz w:val="4"/>
                <w:szCs w:val="4"/>
              </w:rPr>
            </w:pPr>
            <w:r>
              <w:rPr>
                <w:sz w:val="4"/>
                <w:szCs w:val="4"/>
              </w:rPr>
            </w:r>
          </w:p>
        </w:tc>
        <w:tc>
          <w:tcPr>
            <w:tcW w:w="1530" w:type="dxa"/>
            <w:tcBorders/>
            <w:vAlign w:val="center"/>
          </w:tcPr>
          <w:p>
            <w:pPr>
              <w:pStyle w:val="TableContents"/>
              <w:bidi w:val="0"/>
              <w:spacing w:before="0" w:after="283"/>
              <w:jc w:val="left"/>
              <w:rPr>
                <w:sz w:val="4"/>
                <w:szCs w:val="4"/>
              </w:rPr>
            </w:pPr>
            <w:r>
              <w:rPr>
                <w:sz w:val="4"/>
                <w:szCs w:val="4"/>
              </w:rPr>
            </w:r>
          </w:p>
        </w:tc>
      </w:tr>
      <w:tr>
        <w:trPr/>
        <w:tc>
          <w:tcPr>
            <w:tcW w:w="4257"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val="false"/>
                <w:color w:val="000000"/>
                <w:sz w:val="20"/>
              </w:rPr>
            </w:pPr>
            <w:r>
              <w:rPr>
                <w:rFonts w:ascii="Times New Roman;serif" w:hAnsi="Times New Roman;serif"/>
                <w:b w:val="false"/>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0"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val="false"/>
                <w:color w:val="000000"/>
                <w:sz w:val="20"/>
              </w:rPr>
            </w:pPr>
            <w:r>
              <w:rPr>
                <w:rFonts w:ascii="Times New Roman;serif" w:hAnsi="Times New Roman;serif"/>
                <w:b w:val="false"/>
                <w:color w:val="000000"/>
                <w:sz w:val="20"/>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4"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val="false"/>
                <w:color w:val="000000"/>
                <w:sz w:val="20"/>
              </w:rPr>
            </w:pPr>
            <w:r>
              <w:rPr>
                <w:rFonts w:ascii="Times New Roman;serif" w:hAnsi="Times New Roman;serif"/>
                <w:b w:val="false"/>
                <w:color w:val="000000"/>
                <w:sz w:val="20"/>
              </w:rPr>
              <w:t>Name of each exchange on which registered</w:t>
            </w:r>
          </w:p>
        </w:tc>
      </w:tr>
      <w:tr>
        <w:trPr/>
        <w:tc>
          <w:tcPr>
            <w:tcW w:w="42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val="false"/>
                <w:color w:val="000000"/>
                <w:sz w:val="20"/>
              </w:rPr>
            </w:pPr>
            <w:r>
              <w:rPr>
                <w:rFonts w:ascii="Times New Roman;serif" w:hAnsi="Times New Roman;serif"/>
                <w:b w:val="false"/>
                <w:color w:val="000000"/>
                <w:sz w:val="20"/>
              </w:rPr>
              <w:t>Class A common stock, par value $0.0001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val="false"/>
                <w:color w:val="000000"/>
                <w:sz w:val="20"/>
              </w:rPr>
            </w:pPr>
            <w:r>
              <w:rPr>
                <w:rFonts w:ascii="Times New Roman;serif" w:hAnsi="Times New Roman;serif"/>
                <w:b w:val="false"/>
                <w:color w:val="000000"/>
                <w:sz w:val="20"/>
              </w:rPr>
              <w:t>SYM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Stock Market LLC</w:t>
            </w:r>
          </w:p>
        </w:tc>
      </w:tr>
    </w:tbl>
    <w:p>
      <w:pPr>
        <w:pStyle w:val="TextBody"/>
        <w:bidi w:val="0"/>
        <w:spacing w:lineRule="auto" w:line="288" w:before="60" w:after="283"/>
        <w:jc w:val="left"/>
        <w:rPr/>
      </w:pPr>
      <w:r>
        <w:rPr>
          <w:rFonts w:ascii="Times New Roman;serif" w:hAnsi="Times New Roman;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w:t>
      </w:r>
      <w:r>
        <w:rPr>
          <w:rFonts w:ascii="Times New Roman;serif" w:hAnsi="Times New Roman;serif"/>
          <w:b w:val="false"/>
          <w:color w:val="000000"/>
          <w:sz w:val="20"/>
        </w:rPr>
        <w:t>No  </w:t>
      </w:r>
      <w:r>
        <w:rPr>
          <w:rFonts w:ascii="Wingdings;sans-serif" w:hAnsi="Wingdings;sans-serif"/>
          <w:b w:val="false"/>
          <w:color w:val="000000"/>
          <w:sz w:val="20"/>
        </w:rPr>
        <w:t>o</w:t>
      </w:r>
      <w:r>
        <w:rPr>
          <w:color w:val="000000"/>
        </w:rPr>
        <w:t> </w:t>
      </w:r>
    </w:p>
    <w:p>
      <w:pPr>
        <w:pStyle w:val="TextBody"/>
        <w:bidi w:val="0"/>
        <w:spacing w:before="60" w:after="283"/>
        <w:jc w:val="left"/>
        <w:rPr/>
      </w:pPr>
      <w:r>
        <w:rPr/>
      </w:r>
    </w:p>
    <w:p>
      <w:pPr>
        <w:pStyle w:val="TextBody"/>
        <w:bidi w:val="0"/>
        <w:spacing w:lineRule="auto" w:line="288" w:before="60" w:after="283"/>
        <w:jc w:val="both"/>
        <w:rPr/>
      </w:pPr>
      <w:r>
        <w:rPr>
          <w:rFonts w:ascii="Times New Roman;serif" w:hAnsi="Times New Roman;serif"/>
          <w:b w:val="false"/>
          <w:color w:val="000000"/>
          <w:sz w:val="20"/>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color w:val="000000"/>
        </w:rPr>
        <w:t>☒   </w:t>
      </w:r>
      <w:r>
        <w:rPr>
          <w:rFonts w:ascii="Times New Roman;serif" w:hAnsi="Times New Roman;serif"/>
          <w:b w:val="false"/>
          <w:color w:val="000000"/>
          <w:sz w:val="20"/>
        </w:rPr>
        <w:t>No  </w:t>
      </w:r>
      <w:r>
        <w:rPr>
          <w:rFonts w:ascii="Wingdings;sans-serif" w:hAnsi="Wingdings;sans-serif"/>
          <w:b w:val="false"/>
          <w:color w:val="000000"/>
          <w:sz w:val="20"/>
        </w:rPr>
        <w:t>o</w:t>
      </w:r>
      <w:r>
        <w:rPr>
          <w:color w:val="000000"/>
        </w:rPr>
        <w:t> </w:t>
      </w:r>
    </w:p>
    <w:p>
      <w:pPr>
        <w:pStyle w:val="TextBody"/>
        <w:bidi w:val="0"/>
        <w:spacing w:before="60" w:after="283"/>
        <w:jc w:val="both"/>
        <w:rPr/>
      </w:pPr>
      <w:r>
        <w:rPr/>
      </w:r>
    </w:p>
    <w:p>
      <w:pPr>
        <w:pStyle w:val="TextBody"/>
        <w:bidi w:val="0"/>
        <w:spacing w:lineRule="auto" w:line="288" w:before="60" w:after="100"/>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tbl>
      <w:tblPr>
        <w:tblW w:w="5626" w:type="dxa"/>
        <w:jc w:val="left"/>
        <w:tblInd w:w="0" w:type="dxa"/>
        <w:tblLayout w:type="fixed"/>
        <w:tblCellMar>
          <w:top w:w="28" w:type="dxa"/>
          <w:left w:w="28" w:type="dxa"/>
          <w:bottom w:w="28" w:type="dxa"/>
          <w:right w:w="28" w:type="dxa"/>
        </w:tblCellMar>
      </w:tblPr>
      <w:tblGrid>
        <w:gridCol w:w="695"/>
        <w:gridCol w:w="611"/>
        <w:gridCol w:w="613"/>
        <w:gridCol w:w="225"/>
        <w:gridCol w:w="225"/>
        <w:gridCol w:w="226"/>
        <w:gridCol w:w="769"/>
        <w:gridCol w:w="769"/>
        <w:gridCol w:w="772"/>
        <w:gridCol w:w="211"/>
        <w:gridCol w:w="211"/>
        <w:gridCol w:w="299"/>
      </w:tblGrid>
      <w:tr>
        <w:trPr/>
        <w:tc>
          <w:tcPr>
            <w:tcW w:w="69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Large accelerated filer</w:t>
            </w:r>
          </w:p>
        </w:tc>
        <w:tc>
          <w:tcPr>
            <w:tcW w:w="676" w:type="dxa"/>
            <w:gridSpan w:val="3"/>
            <w:tcBorders/>
            <w:tcMar>
              <w:top w:w="0" w:type="dxa"/>
              <w:left w:w="0" w:type="dxa"/>
              <w:bottom w:w="0" w:type="dxa"/>
              <w:right w:w="0" w:type="dxa"/>
            </w:tcMar>
            <w:vAlign w:val="center"/>
          </w:tcPr>
          <w:p>
            <w:pPr>
              <w:pStyle w:val="TableContents"/>
              <w:bidi w:val="0"/>
              <w:spacing w:lineRule="auto" w:line="240" w:before="53" w:after="30"/>
              <w:ind w:left="0" w:right="0" w:firstLine="360"/>
              <w:jc w:val="center"/>
              <w:rPr>
                <w:color w:val="000000"/>
              </w:rPr>
            </w:pPr>
            <w:r>
              <w:rPr>
                <w:color w:val="000000"/>
              </w:rPr>
              <w:t>☒</w:t>
            </w:r>
          </w:p>
        </w:tc>
        <w:tc>
          <w:tcPr>
            <w:tcW w:w="2310" w:type="dxa"/>
            <w:gridSpan w:val="3"/>
            <w:tcBorders/>
            <w:tcMar>
              <w:top w:w="0" w:type="dxa"/>
              <w:left w:w="0" w:type="dxa"/>
              <w:bottom w:w="0" w:type="dxa"/>
              <w:right w:w="0" w:type="dxa"/>
            </w:tcMar>
            <w:vAlign w:val="center"/>
          </w:tcPr>
          <w:p>
            <w:pPr>
              <w:pStyle w:val="TableContents"/>
              <w:bidi w:val="0"/>
              <w:spacing w:lineRule="auto" w:line="240" w:before="53" w:after="30"/>
              <w:jc w:val="both"/>
              <w:rPr>
                <w:rFonts w:ascii="Times New Roman;serif" w:hAnsi="Times New Roman;serif"/>
                <w:b w:val="false"/>
                <w:color w:val="000000"/>
                <w:sz w:val="20"/>
              </w:rPr>
            </w:pPr>
            <w:r>
              <w:rPr>
                <w:rFonts w:ascii="Times New Roman;serif" w:hAnsi="Times New Roman;serif"/>
                <w:b w:val="false"/>
                <w:color w:val="000000"/>
                <w:sz w:val="20"/>
              </w:rPr>
              <w:t>Accelerated filer</w:t>
            </w:r>
          </w:p>
        </w:tc>
        <w:tc>
          <w:tcPr>
            <w:tcW w:w="721" w:type="dxa"/>
            <w:gridSpan w:val="3"/>
            <w:tcBorders/>
            <w:tcMar>
              <w:top w:w="0" w:type="dxa"/>
              <w:left w:w="0" w:type="dxa"/>
              <w:bottom w:w="0" w:type="dxa"/>
              <w:right w:w="0" w:type="dxa"/>
            </w:tcMar>
            <w:vAlign w:val="center"/>
          </w:tcPr>
          <w:p>
            <w:pPr>
              <w:pStyle w:val="TableContents"/>
              <w:bidi w:val="0"/>
              <w:spacing w:lineRule="auto" w:line="240" w:before="53" w:after="30"/>
              <w:ind w:left="0" w:right="0" w:firstLine="360"/>
              <w:jc w:val="center"/>
              <w:rPr>
                <w:color w:val="000000"/>
              </w:rPr>
            </w:pPr>
            <w:r>
              <w:rPr>
                <w:color w:val="000000"/>
              </w:rPr>
              <w:t>☐</w:t>
            </w:r>
          </w:p>
        </w:tc>
      </w:tr>
      <w:tr>
        <w:trPr/>
        <w:tc>
          <w:tcPr>
            <w:tcW w:w="1919"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Non-accelerated filer</w:t>
            </w:r>
          </w:p>
        </w:tc>
        <w:tc>
          <w:tcPr>
            <w:tcW w:w="676" w:type="dxa"/>
            <w:gridSpan w:val="3"/>
            <w:tcBorders/>
            <w:tcMar>
              <w:top w:w="0" w:type="dxa"/>
              <w:left w:w="0" w:type="dxa"/>
              <w:bottom w:w="0" w:type="dxa"/>
              <w:right w:w="0" w:type="dxa"/>
            </w:tcMar>
            <w:vAlign w:val="center"/>
          </w:tcPr>
          <w:p>
            <w:pPr>
              <w:pStyle w:val="TableContents"/>
              <w:bidi w:val="0"/>
              <w:spacing w:lineRule="auto" w:line="240" w:before="53" w:after="30"/>
              <w:ind w:left="0" w:right="0" w:firstLine="360"/>
              <w:jc w:val="center"/>
              <w:rPr>
                <w:color w:val="000000"/>
              </w:rPr>
            </w:pPr>
            <w:r>
              <w:rPr>
                <w:color w:val="000000"/>
              </w:rPr>
              <w:t>☐</w:t>
            </w:r>
          </w:p>
        </w:tc>
        <w:tc>
          <w:tcPr>
            <w:tcW w:w="2310" w:type="dxa"/>
            <w:gridSpan w:val="3"/>
            <w:tcBorders/>
            <w:tcMar>
              <w:top w:w="0" w:type="dxa"/>
              <w:left w:w="0" w:type="dxa"/>
              <w:bottom w:w="0" w:type="dxa"/>
              <w:right w:w="0" w:type="dxa"/>
            </w:tcMar>
            <w:vAlign w:val="center"/>
          </w:tcPr>
          <w:p>
            <w:pPr>
              <w:pStyle w:val="TableContents"/>
              <w:bidi w:val="0"/>
              <w:spacing w:lineRule="auto" w:line="240" w:before="53" w:after="30"/>
              <w:jc w:val="both"/>
              <w:rPr>
                <w:rFonts w:ascii="Times New Roman;serif" w:hAnsi="Times New Roman;serif"/>
                <w:b w:val="false"/>
                <w:color w:val="000000"/>
                <w:sz w:val="20"/>
              </w:rPr>
            </w:pPr>
            <w:r>
              <w:rPr>
                <w:rFonts w:ascii="Times New Roman;serif" w:hAnsi="Times New Roman;serif"/>
                <w:b w:val="false"/>
                <w:color w:val="000000"/>
                <w:sz w:val="20"/>
              </w:rPr>
              <w:t>Smaller reporting company</w:t>
            </w:r>
          </w:p>
        </w:tc>
        <w:tc>
          <w:tcPr>
            <w:tcW w:w="721" w:type="dxa"/>
            <w:gridSpan w:val="3"/>
            <w:tcBorders/>
            <w:tcMar>
              <w:top w:w="0" w:type="dxa"/>
              <w:left w:w="0" w:type="dxa"/>
              <w:bottom w:w="0" w:type="dxa"/>
              <w:right w:w="0" w:type="dxa"/>
            </w:tcMar>
            <w:vAlign w:val="center"/>
          </w:tcPr>
          <w:p>
            <w:pPr>
              <w:pStyle w:val="TableContents"/>
              <w:bidi w:val="0"/>
              <w:spacing w:lineRule="auto" w:line="240" w:before="53" w:after="30"/>
              <w:ind w:left="0" w:right="0" w:firstLine="360"/>
              <w:jc w:val="center"/>
              <w:rPr>
                <w:color w:val="000000"/>
              </w:rPr>
            </w:pPr>
            <w:r>
              <w:rPr>
                <w:color w:val="000000"/>
              </w:rPr>
              <w:t>☐</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40" w:before="53" w:after="30"/>
              <w:jc w:val="both"/>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721" w:type="dxa"/>
            <w:gridSpan w:val="3"/>
            <w:tcBorders/>
            <w:tcMar>
              <w:top w:w="0" w:type="dxa"/>
              <w:left w:w="0" w:type="dxa"/>
              <w:bottom w:w="0" w:type="dxa"/>
              <w:right w:w="0" w:type="dxa"/>
            </w:tcMar>
            <w:vAlign w:val="center"/>
          </w:tcPr>
          <w:p>
            <w:pPr>
              <w:pStyle w:val="TableContents"/>
              <w:bidi w:val="0"/>
              <w:spacing w:lineRule="auto" w:line="240" w:before="53" w:after="30"/>
              <w:ind w:left="0" w:right="0" w:firstLine="360"/>
              <w:jc w:val="center"/>
              <w:rPr>
                <w:color w:val="000000"/>
              </w:rPr>
            </w:pPr>
            <w:r>
              <w:rPr>
                <w:color w:val="000000"/>
              </w:rPr>
              <w:t>☐</w:t>
            </w:r>
          </w:p>
        </w:tc>
      </w:tr>
    </w:tbl>
    <w:p>
      <w:pPr>
        <w:pStyle w:val="TextBody"/>
        <w:bidi w:val="0"/>
        <w:spacing w:lineRule="auto" w:line="400" w:before="60" w:after="283"/>
        <w:jc w:val="center"/>
        <w:rPr>
          <w:color w:val="000000"/>
        </w:rPr>
      </w:pPr>
      <w:r>
        <w:rPr>
          <w:color w:val="000000"/>
        </w:rPr>
        <w:t>                </w:t>
      </w:r>
    </w:p>
    <w:p>
      <w:pPr>
        <w:pStyle w:val="TextBody"/>
        <w:bidi w:val="0"/>
        <w:spacing w:lineRule="auto" w:line="288" w:before="60" w:after="283"/>
        <w:jc w:val="left"/>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20"/>
        </w:rPr>
        <w:t>o</w:t>
      </w:r>
    </w:p>
    <w:p>
      <w:pPr>
        <w:pStyle w:val="TextBody"/>
        <w:bidi w:val="0"/>
        <w:spacing w:before="60" w:after="283"/>
        <w:jc w:val="left"/>
        <w:rPr/>
      </w:pPr>
      <w:r>
        <w:rPr/>
      </w:r>
    </w:p>
    <w:p>
      <w:pPr>
        <w:pStyle w:val="TextBody"/>
        <w:bidi w:val="0"/>
        <w:spacing w:lineRule="auto" w:line="307" w:before="60" w:after="283"/>
        <w:jc w:val="left"/>
        <w:rPr/>
      </w:pPr>
      <w:r>
        <w:rPr>
          <w:rFonts w:ascii="Times New Roman;serif" w:hAnsi="Times New Roman;serif"/>
          <w:b w:val="false"/>
          <w:color w:val="000000"/>
          <w:sz w:val="20"/>
        </w:rPr>
        <w:t>Indicate by check mark whether the registrant is a shell company (as defined in Rule 12b-2 of the Exchange Act). Yes  </w:t>
      </w:r>
      <w:r>
        <w:rPr>
          <w:rFonts w:ascii="Wingdings;sans-serif" w:hAnsi="Wingdings;sans-serif"/>
          <w:b w:val="false"/>
          <w:color w:val="000000"/>
          <w:sz w:val="20"/>
        </w:rPr>
        <w:t>o</w:t>
      </w:r>
      <w:r>
        <w:rPr>
          <w:color w:val="000000"/>
        </w:rPr>
        <w:t>   </w:t>
      </w:r>
      <w:r>
        <w:rPr>
          <w:rFonts w:ascii="Times New Roman;serif" w:hAnsi="Times New Roman;serif"/>
          <w:b w:val="false"/>
          <w:color w:val="000000"/>
          <w:sz w:val="20"/>
        </w:rPr>
        <w:t>No  </w:t>
      </w:r>
      <w:r>
        <w:rPr>
          <w:color w:val="000000"/>
        </w:rPr>
        <w:t>☒</w:t>
      </w:r>
    </w:p>
    <w:p>
      <w:pPr>
        <w:pStyle w:val="TextBody"/>
        <w:bidi w:val="0"/>
        <w:spacing w:before="60" w:after="283"/>
        <w:jc w:val="left"/>
        <w:rPr/>
      </w:pPr>
      <w:r>
        <w:rPr/>
      </w:r>
    </w:p>
    <w:p>
      <w:pPr>
        <w:pStyle w:val="TextBody"/>
        <w:bidi w:val="0"/>
        <w:spacing w:lineRule="auto" w:line="400" w:before="60" w:after="283"/>
        <w:jc w:val="left"/>
        <w:rPr>
          <w:rFonts w:ascii="Times New Roman;serif" w:hAnsi="Times New Roman;serif"/>
          <w:b w:val="false"/>
          <w:color w:val="000000"/>
          <w:sz w:val="20"/>
        </w:rPr>
      </w:pPr>
      <w:r>
        <w:rPr>
          <w:rFonts w:ascii="Times New Roman;serif" w:hAnsi="Times New Roman;serif"/>
          <w:b w:val="false"/>
          <w:color w:val="000000"/>
          <w:sz w:val="20"/>
        </w:rPr>
        <w:t>As of August 4, 2025, the following shares of common stock were outstanding:</w:t>
      </w:r>
    </w:p>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111,314,938 shares of Class A common stock, par value $0.0001 per share</w:t>
      </w:r>
    </w:p>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75,619,171 shares of Class V-1 common stock, par value $0.0001 per share</w:t>
      </w:r>
    </w:p>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403,559,196 shares of Class V-3 common stock, par value $0.0001 per share</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213360"/>
                <wp:effectExtent l="0" t="0" r="0" b="0"/>
                <wp:wrapNone/>
                <wp:docPr id="2" name="Frame2"/>
                <a:graphic xmlns:a="http://schemas.openxmlformats.org/drawingml/2006/main">
                  <a:graphicData uri="http://schemas.microsoft.com/office/word/2010/wordprocessingShape">
                    <wps:wsp>
                      <wps:cNvSpPr txBox="1"/>
                      <wps:spPr>
                        <a:xfrm>
                          <a:off x="0" y="0"/>
                          <a:ext cx="6480175" cy="213360"/>
                        </a:xfrm>
                        <a:prstGeom prst="rect"/>
                        <a:solidFill>
                          <a:srgbClr val="FFFFFF"/>
                        </a:solidFill>
                      </wps:spPr>
                      <wps:txbx>
                        <w:txbxContent>
                          <w:p>
                            <w:pPr>
                              <w:pStyle w:val="TextBody"/>
                              <w:bidi w:val="0"/>
                              <w:spacing w:before="60" w:after="283"/>
                              <w:ind w:left="0" w:right="0" w:firstLine="36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6.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60" w:after="283"/>
                        <w:ind w:left="0" w:right="0" w:firstLine="360"/>
                        <w:jc w:val="center"/>
                        <w:rPr/>
                      </w:pPr>
                      <w:r>
                        <w:rPr/>
                      </w:r>
                    </w:p>
                  </w:txbxContent>
                </v:textbox>
                <w10:wrap type="none"/>
              </v:rect>
            </w:pict>
          </mc:Fallback>
        </mc:AlternateContent>
      </w:r>
    </w:p>
    <w:p>
      <w:pPr>
        <w:pStyle w:val="TextBody"/>
        <w:bidi w:val="0"/>
        <w:spacing w:before="60" w:after="283"/>
        <w:ind w:left="0" w:right="0" w:firstLine="360"/>
        <w:jc w:val="left"/>
        <w:rPr/>
      </w:pPr>
      <w:r>
        <w:rPr/>
      </w:r>
    </w:p>
    <w:tbl>
      <w:tblPr>
        <w:tblW w:w="10205" w:type="dxa"/>
        <w:jc w:val="center"/>
        <w:tblInd w:w="0" w:type="dxa"/>
        <w:tblLayout w:type="fixed"/>
        <w:tblCellMar>
          <w:top w:w="28" w:type="dxa"/>
          <w:left w:w="28" w:type="dxa"/>
          <w:bottom w:w="28" w:type="dxa"/>
          <w:right w:w="28" w:type="dxa"/>
        </w:tblCellMar>
      </w:tblPr>
      <w:tblGrid>
        <w:gridCol w:w="256"/>
        <w:gridCol w:w="226"/>
        <w:gridCol w:w="227"/>
        <w:gridCol w:w="2979"/>
        <w:gridCol w:w="2970"/>
        <w:gridCol w:w="2974"/>
        <w:gridCol w:w="167"/>
        <w:gridCol w:w="167"/>
        <w:gridCol w:w="239"/>
      </w:tblGrid>
      <w:tr>
        <w:trPr/>
        <w:tc>
          <w:tcPr>
            <w:tcW w:w="25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979" w:type="dxa"/>
            <w:tcBorders/>
            <w:vAlign w:val="center"/>
          </w:tcPr>
          <w:p>
            <w:pPr>
              <w:pStyle w:val="TableContents"/>
              <w:bidi w:val="0"/>
              <w:spacing w:before="0" w:after="283"/>
              <w:jc w:val="left"/>
              <w:rPr>
                <w:sz w:val="4"/>
                <w:szCs w:val="4"/>
              </w:rPr>
            </w:pPr>
            <w:r>
              <w:rPr>
                <w:sz w:val="4"/>
                <w:szCs w:val="4"/>
              </w:rPr>
            </w:r>
          </w:p>
        </w:tc>
        <w:tc>
          <w:tcPr>
            <w:tcW w:w="2970" w:type="dxa"/>
            <w:tcBorders/>
            <w:vAlign w:val="center"/>
          </w:tcPr>
          <w:p>
            <w:pPr>
              <w:pStyle w:val="TableContents"/>
              <w:bidi w:val="0"/>
              <w:spacing w:before="0" w:after="283"/>
              <w:jc w:val="left"/>
              <w:rPr>
                <w:sz w:val="4"/>
                <w:szCs w:val="4"/>
              </w:rPr>
            </w:pPr>
            <w:r>
              <w:rPr>
                <w:sz w:val="4"/>
                <w:szCs w:val="4"/>
              </w:rPr>
            </w:r>
          </w:p>
        </w:tc>
        <w:tc>
          <w:tcPr>
            <w:tcW w:w="2974"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r>
      <w:tr>
        <w:trPr/>
        <w:tc>
          <w:tcPr>
            <w:tcW w:w="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3"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20"/>
              </w:rPr>
            </w:pPr>
            <w:r>
              <w:rPr>
                <w:rFonts w:ascii="Times New Roman;serif" w:hAnsi="Times New Roman;serif"/>
                <w:b/>
                <w:color w:val="000000"/>
                <w:sz w:val="20"/>
              </w:rPr>
              <w:t>TABLE OF CONTENTS</w:t>
            </w:r>
          </w:p>
        </w:tc>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20"/>
              </w:rPr>
            </w:pPr>
            <w:r>
              <w:rPr>
                <w:rFonts w:ascii="Times New Roman;serif" w:hAnsi="Times New Roman;serif"/>
                <w:b/>
                <w:color w:val="000000"/>
                <w:sz w:val="20"/>
              </w:rPr>
              <w:t>Page</w:t>
            </w:r>
          </w:p>
        </w:tc>
      </w:tr>
      <w:tr>
        <w:trPr/>
        <w:tc>
          <w:tcPr>
            <w:tcW w:w="7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3"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center"/>
              <w:rPr/>
            </w:pPr>
            <w:hyperlink w:anchor="i123540df82f04e0eb97811cc101df5ff_10">
              <w:r>
                <w:rPr>
                  <w:rStyle w:val="InternetLink"/>
                  <w:rFonts w:ascii="Times New Roman;serif" w:hAnsi="Times New Roman;serif"/>
                  <w:b/>
                  <w:color w:val="0E32E1"/>
                  <w:sz w:val="20"/>
                  <w:u w:val="single"/>
                </w:rPr>
                <w:t>Part I - Financial Information</w:t>
              </w:r>
            </w:hyperlink>
          </w:p>
        </w:tc>
        <w:tc>
          <w:tcPr>
            <w:tcW w:w="57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0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Item 1. </w:t>
            </w:r>
          </w:p>
        </w:tc>
        <w:tc>
          <w:tcPr>
            <w:tcW w:w="8923" w:type="dxa"/>
            <w:gridSpan w:val="3"/>
            <w:tcBorders/>
            <w:shd w:fill="FFFFFF" w:val="clear"/>
            <w:tcMar>
              <w:top w:w="0" w:type="dxa"/>
              <w:left w:w="0" w:type="dxa"/>
              <w:bottom w:w="0" w:type="dxa"/>
              <w:right w:w="0" w:type="dxa"/>
            </w:tcMar>
            <w:vAlign w:val="center"/>
          </w:tcPr>
          <w:p>
            <w:pPr>
              <w:pStyle w:val="TableContents"/>
              <w:bidi w:val="0"/>
              <w:spacing w:lineRule="auto" w:line="300" w:before="0" w:after="2"/>
              <w:ind w:left="0" w:right="0" w:hanging="180"/>
              <w:jc w:val="left"/>
              <w:rPr/>
            </w:pPr>
            <w:hyperlink w:anchor="i123540df82f04e0eb97811cc101df5ff_13">
              <w:r>
                <w:rPr>
                  <w:rStyle w:val="InternetLink"/>
                  <w:rFonts w:ascii="Times New Roman;serif" w:hAnsi="Times New Roman;serif"/>
                  <w:b w:val="false"/>
                  <w:color w:val="0000FF"/>
                  <w:sz w:val="20"/>
                  <w:u w:val="single"/>
                </w:rPr>
                <w:t>Financial Statements</w:t>
              </w:r>
            </w:hyperlink>
          </w:p>
        </w:tc>
        <w:tc>
          <w:tcPr>
            <w:tcW w:w="573"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pPr>
            <w:hyperlink w:anchor="i123540df82f04e0eb97811cc101df5ff_13">
              <w:r>
                <w:rPr>
                  <w:rStyle w:val="InternetLink"/>
                  <w:rFonts w:ascii="Times New Roman;serif" w:hAnsi="Times New Roman;serif"/>
                  <w:b w:val="false"/>
                  <w:strike w:val="false"/>
                  <w:dstrike w:val="false"/>
                  <w:color w:val="000000"/>
                  <w:sz w:val="20"/>
                  <w:u w:val="none"/>
                  <w:effect w:val="none"/>
                </w:rPr>
                <w:t>1</w:t>
              </w:r>
            </w:hyperlink>
          </w:p>
        </w:tc>
      </w:tr>
      <w:tr>
        <w:trPr/>
        <w:tc>
          <w:tcPr>
            <w:tcW w:w="7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3" w:type="dxa"/>
            <w:gridSpan w:val="3"/>
            <w:tcBorders/>
            <w:shd w:fill="CCEEFF" w:val="clear"/>
            <w:tcMar>
              <w:top w:w="0" w:type="dxa"/>
              <w:left w:w="0" w:type="dxa"/>
              <w:bottom w:w="0" w:type="dxa"/>
              <w:right w:w="0" w:type="dxa"/>
            </w:tcMar>
            <w:vAlign w:val="center"/>
          </w:tcPr>
          <w:p>
            <w:pPr>
              <w:pStyle w:val="TableContents"/>
              <w:bidi w:val="0"/>
              <w:spacing w:lineRule="auto" w:line="300" w:before="0" w:after="2"/>
              <w:ind w:left="0" w:right="0" w:hanging="180"/>
              <w:jc w:val="left"/>
              <w:rPr/>
            </w:pPr>
            <w:hyperlink w:anchor="i123540df82f04e0eb97811cc101df5ff_13">
              <w:r>
                <w:rPr>
                  <w:rStyle w:val="InternetLink"/>
                  <w:rFonts w:ascii="Times New Roman;serif" w:hAnsi="Times New Roman;serif"/>
                  <w:b w:val="false"/>
                  <w:color w:val="0000FF"/>
                  <w:sz w:val="20"/>
                  <w:u w:val="single"/>
                </w:rPr>
                <w:t>Unaudited Condensed Consolidated Financial Statements</w:t>
              </w:r>
            </w:hyperlink>
          </w:p>
        </w:tc>
        <w:tc>
          <w:tcPr>
            <w:tcW w:w="573"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pPr>
            <w:hyperlink w:anchor="i123540df82f04e0eb97811cc101df5ff_13">
              <w:r>
                <w:rPr>
                  <w:rStyle w:val="InternetLink"/>
                  <w:rFonts w:ascii="Times New Roman;serif" w:hAnsi="Times New Roman;serif"/>
                  <w:b w:val="false"/>
                  <w:strike w:val="false"/>
                  <w:dstrike w:val="false"/>
                  <w:color w:val="000000"/>
                  <w:sz w:val="20"/>
                  <w:u w:val="none"/>
                  <w:effect w:val="none"/>
                </w:rPr>
                <w:t>1</w:t>
              </w:r>
            </w:hyperlink>
          </w:p>
        </w:tc>
      </w:tr>
      <w:tr>
        <w:trPr/>
        <w:tc>
          <w:tcPr>
            <w:tcW w:w="7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3" w:type="dxa"/>
            <w:gridSpan w:val="3"/>
            <w:tcBorders/>
            <w:shd w:fill="FFFFFF" w:val="clear"/>
            <w:tcMar>
              <w:top w:w="0" w:type="dxa"/>
              <w:left w:w="0" w:type="dxa"/>
              <w:bottom w:w="0" w:type="dxa"/>
              <w:right w:w="0" w:type="dxa"/>
            </w:tcMar>
            <w:vAlign w:val="center"/>
          </w:tcPr>
          <w:p>
            <w:pPr>
              <w:pStyle w:val="TableContents"/>
              <w:bidi w:val="0"/>
              <w:spacing w:lineRule="auto" w:line="300" w:before="0" w:after="2"/>
              <w:ind w:left="0" w:right="0" w:hanging="180"/>
              <w:jc w:val="left"/>
              <w:rPr/>
            </w:pPr>
            <w:hyperlink w:anchor="i123540df82f04e0eb97811cc101df5ff_16">
              <w:r>
                <w:rPr>
                  <w:rStyle w:val="InternetLink"/>
                  <w:rFonts w:ascii="Times New Roman;serif" w:hAnsi="Times New Roman;serif"/>
                  <w:b w:val="false"/>
                  <w:color w:val="000080"/>
                  <w:sz w:val="20"/>
                  <w:u w:val="single"/>
                </w:rPr>
                <w:t xml:space="preserve">Unaudited Condensed Consolidated Balance Sheets as of June </w:t>
              </w:r>
            </w:hyperlink>
            <w:hyperlink w:anchor="i123540df82f04e0eb97811cc101df5ff_16">
              <w:r>
                <w:rPr>
                  <w:rStyle w:val="InternetLink"/>
                  <w:rFonts w:ascii="Times New Roman;serif" w:hAnsi="Times New Roman;serif"/>
                  <w:b w:val="false"/>
                  <w:color w:val="000080"/>
                  <w:sz w:val="20"/>
                  <w:u w:val="single"/>
                </w:rPr>
                <w:t>28, 2025</w:t>
              </w:r>
            </w:hyperlink>
            <w:hyperlink w:anchor="i123540df82f04e0eb97811cc101df5ff_16">
              <w:r>
                <w:rPr>
                  <w:rStyle w:val="InternetLink"/>
                  <w:rFonts w:ascii="Times New Roman;serif" w:hAnsi="Times New Roman;serif"/>
                  <w:b w:val="false"/>
                  <w:color w:val="000080"/>
                  <w:sz w:val="20"/>
                  <w:u w:val="single"/>
                </w:rPr>
                <w:t xml:space="preserve"> and Se</w:t>
              </w:r>
            </w:hyperlink>
            <w:hyperlink w:anchor="i123540df82f04e0eb97811cc101df5ff_16">
              <w:r>
                <w:rPr>
                  <w:rStyle w:val="InternetLink"/>
                  <w:rFonts w:ascii="Times New Roman;serif" w:hAnsi="Times New Roman;serif"/>
                  <w:b w:val="false"/>
                  <w:color w:val="000080"/>
                  <w:sz w:val="20"/>
                  <w:u w:val="single"/>
                </w:rPr>
                <w:t>p</w:t>
              </w:r>
            </w:hyperlink>
            <w:hyperlink w:anchor="i123540df82f04e0eb97811cc101df5ff_16">
              <w:r>
                <w:rPr>
                  <w:rStyle w:val="InternetLink"/>
                  <w:rFonts w:ascii="Times New Roman;serif" w:hAnsi="Times New Roman;serif"/>
                  <w:b w:val="false"/>
                  <w:color w:val="000080"/>
                  <w:sz w:val="20"/>
                  <w:u w:val="single"/>
                </w:rPr>
                <w:t xml:space="preserve">tember </w:t>
              </w:r>
            </w:hyperlink>
            <w:hyperlink w:anchor="i123540df82f04e0eb97811cc101df5ff_16">
              <w:r>
                <w:rPr>
                  <w:rStyle w:val="InternetLink"/>
                  <w:rFonts w:ascii="Times New Roman;serif" w:hAnsi="Times New Roman;serif"/>
                  <w:b w:val="false"/>
                  <w:color w:val="000080"/>
                  <w:sz w:val="20"/>
                  <w:u w:val="single"/>
                </w:rPr>
                <w:t>28, 2</w:t>
              </w:r>
            </w:hyperlink>
            <w:hyperlink w:anchor="i123540df82f04e0eb97811cc101df5ff_16">
              <w:r>
                <w:rPr>
                  <w:rStyle w:val="InternetLink"/>
                  <w:rFonts w:ascii="Times New Roman;serif" w:hAnsi="Times New Roman;serif"/>
                  <w:b w:val="false"/>
                  <w:color w:val="000080"/>
                  <w:sz w:val="20"/>
                  <w:u w:val="single"/>
                </w:rPr>
                <w:t>024</w:t>
              </w:r>
            </w:hyperlink>
          </w:p>
        </w:tc>
        <w:tc>
          <w:tcPr>
            <w:tcW w:w="573"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pPr>
            <w:hyperlink w:anchor="i123540df82f04e0eb97811cc101df5ff_16">
              <w:r>
                <w:rPr>
                  <w:rStyle w:val="InternetLink"/>
                  <w:rFonts w:ascii="Times New Roman;serif" w:hAnsi="Times New Roman;serif"/>
                  <w:b w:val="false"/>
                  <w:strike w:val="false"/>
                  <w:dstrike w:val="false"/>
                  <w:color w:val="000000"/>
                  <w:sz w:val="20"/>
                  <w:u w:val="none"/>
                  <w:effect w:val="none"/>
                </w:rPr>
                <w:t>1</w:t>
              </w:r>
            </w:hyperlink>
          </w:p>
        </w:tc>
      </w:tr>
      <w:tr>
        <w:trPr/>
        <w:tc>
          <w:tcPr>
            <w:tcW w:w="7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3"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pPr>
            <w:hyperlink w:anchor="i123540df82f04e0eb97811cc101df5ff_19">
              <w:r>
                <w:rPr>
                  <w:rStyle w:val="InternetLink"/>
                  <w:rFonts w:ascii="Times New Roman;serif" w:hAnsi="Times New Roman;serif"/>
                  <w:b w:val="false"/>
                  <w:color w:val="000080"/>
                  <w:sz w:val="20"/>
                  <w:u w:val="single"/>
                </w:rPr>
                <w:t>Unaudited Condensed Consolidated Statements of Operations for the Three and Nine Months Ended June 2</w:t>
              </w:r>
            </w:hyperlink>
            <w:hyperlink w:anchor="i123540df82f04e0eb97811cc101df5ff_19">
              <w:r>
                <w:rPr>
                  <w:rStyle w:val="InternetLink"/>
                  <w:rFonts w:ascii="Times New Roman;serif" w:hAnsi="Times New Roman;serif"/>
                  <w:b w:val="false"/>
                  <w:color w:val="000080"/>
                  <w:sz w:val="20"/>
                  <w:u w:val="single"/>
                </w:rPr>
                <w:t>8</w:t>
              </w:r>
            </w:hyperlink>
            <w:hyperlink w:anchor="i123540df82f04e0eb97811cc101df5ff_19">
              <w:r>
                <w:rPr>
                  <w:rStyle w:val="InternetLink"/>
                  <w:rFonts w:ascii="Times New Roman;serif" w:hAnsi="Times New Roman;serif"/>
                  <w:b w:val="false"/>
                  <w:color w:val="000080"/>
                  <w:sz w:val="20"/>
                  <w:u w:val="single"/>
                </w:rPr>
                <w:t>, 202</w:t>
              </w:r>
            </w:hyperlink>
            <w:hyperlink w:anchor="i123540df82f04e0eb97811cc101df5ff_19">
              <w:r>
                <w:rPr>
                  <w:rStyle w:val="InternetLink"/>
                  <w:rFonts w:ascii="Times New Roman;serif" w:hAnsi="Times New Roman;serif"/>
                  <w:b w:val="false"/>
                  <w:color w:val="000080"/>
                  <w:sz w:val="20"/>
                  <w:u w:val="single"/>
                </w:rPr>
                <w:t>5</w:t>
              </w:r>
            </w:hyperlink>
            <w:hyperlink w:anchor="i123540df82f04e0eb97811cc101df5ff_19">
              <w:r>
                <w:rPr>
                  <w:rStyle w:val="InternetLink"/>
                  <w:rFonts w:ascii="Times New Roman;serif" w:hAnsi="Times New Roman;serif"/>
                  <w:b w:val="false"/>
                  <w:color w:val="000080"/>
                  <w:sz w:val="20"/>
                  <w:u w:val="single"/>
                </w:rPr>
                <w:t xml:space="preserve"> and June 2</w:t>
              </w:r>
            </w:hyperlink>
            <w:hyperlink w:anchor="i123540df82f04e0eb97811cc101df5ff_19">
              <w:r>
                <w:rPr>
                  <w:rStyle w:val="InternetLink"/>
                  <w:rFonts w:ascii="Times New Roman;serif" w:hAnsi="Times New Roman;serif"/>
                  <w:b w:val="false"/>
                  <w:color w:val="000080"/>
                  <w:sz w:val="20"/>
                  <w:u w:val="single"/>
                </w:rPr>
                <w:t>9</w:t>
              </w:r>
            </w:hyperlink>
            <w:hyperlink w:anchor="i123540df82f04e0eb97811cc101df5ff_19">
              <w:r>
                <w:rPr>
                  <w:rStyle w:val="InternetLink"/>
                  <w:rFonts w:ascii="Times New Roman;serif" w:hAnsi="Times New Roman;serif"/>
                  <w:b w:val="false"/>
                  <w:color w:val="000080"/>
                  <w:sz w:val="20"/>
                  <w:u w:val="single"/>
                </w:rPr>
                <w:t>, 202</w:t>
              </w:r>
            </w:hyperlink>
            <w:hyperlink w:anchor="i123540df82f04e0eb97811cc101df5ff_19">
              <w:r>
                <w:rPr>
                  <w:rStyle w:val="InternetLink"/>
                  <w:rFonts w:ascii="Times New Roman;serif" w:hAnsi="Times New Roman;serif"/>
                  <w:b w:val="false"/>
                  <w:color w:val="000080"/>
                  <w:sz w:val="20"/>
                  <w:u w:val="single"/>
                </w:rPr>
                <w:t>4</w:t>
              </w:r>
            </w:hyperlink>
          </w:p>
        </w:tc>
        <w:tc>
          <w:tcPr>
            <w:tcW w:w="573"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pPr>
            <w:hyperlink w:anchor="i123540df82f04e0eb97811cc101df5ff_19">
              <w:r>
                <w:rPr>
                  <w:rStyle w:val="InternetLink"/>
                  <w:rFonts w:ascii="Times New Roman;serif" w:hAnsi="Times New Roman;serif"/>
                  <w:b w:val="false"/>
                  <w:strike w:val="false"/>
                  <w:dstrike w:val="false"/>
                  <w:color w:val="000000"/>
                  <w:sz w:val="20"/>
                  <w:u w:val="none"/>
                  <w:effect w:val="none"/>
                </w:rPr>
                <w:t>3</w:t>
              </w:r>
            </w:hyperlink>
          </w:p>
        </w:tc>
      </w:tr>
      <w:tr>
        <w:trPr/>
        <w:tc>
          <w:tcPr>
            <w:tcW w:w="7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3" w:type="dxa"/>
            <w:gridSpan w:val="3"/>
            <w:tcBorders/>
            <w:shd w:fill="FFFFFF" w:val="clear"/>
            <w:tcMar>
              <w:top w:w="0" w:type="dxa"/>
              <w:left w:w="0" w:type="dxa"/>
              <w:bottom w:w="0" w:type="dxa"/>
              <w:right w:w="0" w:type="dxa"/>
            </w:tcMar>
            <w:vAlign w:val="center"/>
          </w:tcPr>
          <w:p>
            <w:pPr>
              <w:pStyle w:val="TableContents"/>
              <w:bidi w:val="0"/>
              <w:spacing w:lineRule="auto" w:line="300" w:before="0" w:after="2"/>
              <w:ind w:left="0" w:right="0" w:hanging="180"/>
              <w:jc w:val="left"/>
              <w:rPr/>
            </w:pPr>
            <w:hyperlink w:anchor="i123540df82f04e0eb97811cc101df5ff_22">
              <w:r>
                <w:rPr>
                  <w:rStyle w:val="InternetLink"/>
                  <w:rFonts w:ascii="Times New Roman;serif" w:hAnsi="Times New Roman;serif"/>
                  <w:b w:val="false"/>
                  <w:color w:val="000080"/>
                  <w:sz w:val="20"/>
                  <w:u w:val="single"/>
                </w:rPr>
                <w:t>Unaudited Condensed Consolidated Statements of Comprehensive Loss for the Three and Nine Months Ended June 2</w:t>
              </w:r>
            </w:hyperlink>
            <w:hyperlink w:anchor="i123540df82f04e0eb97811cc101df5ff_22">
              <w:r>
                <w:rPr>
                  <w:rStyle w:val="InternetLink"/>
                  <w:rFonts w:ascii="Times New Roman;serif" w:hAnsi="Times New Roman;serif"/>
                  <w:b w:val="false"/>
                  <w:color w:val="000080"/>
                  <w:sz w:val="20"/>
                  <w:u w:val="single"/>
                </w:rPr>
                <w:t>8</w:t>
              </w:r>
            </w:hyperlink>
            <w:hyperlink w:anchor="i123540df82f04e0eb97811cc101df5ff_22">
              <w:r>
                <w:rPr>
                  <w:rStyle w:val="InternetLink"/>
                  <w:rFonts w:ascii="Times New Roman;serif" w:hAnsi="Times New Roman;serif"/>
                  <w:b w:val="false"/>
                  <w:color w:val="000080"/>
                  <w:sz w:val="20"/>
                  <w:u w:val="single"/>
                </w:rPr>
                <w:t>, 202</w:t>
              </w:r>
            </w:hyperlink>
            <w:hyperlink w:anchor="i123540df82f04e0eb97811cc101df5ff_22">
              <w:r>
                <w:rPr>
                  <w:rStyle w:val="InternetLink"/>
                  <w:rFonts w:ascii="Times New Roman;serif" w:hAnsi="Times New Roman;serif"/>
                  <w:b w:val="false"/>
                  <w:color w:val="000080"/>
                  <w:sz w:val="20"/>
                  <w:u w:val="single"/>
                </w:rPr>
                <w:t>5</w:t>
              </w:r>
            </w:hyperlink>
            <w:hyperlink w:anchor="i123540df82f04e0eb97811cc101df5ff_22">
              <w:r>
                <w:rPr>
                  <w:rStyle w:val="InternetLink"/>
                  <w:rFonts w:ascii="Times New Roman;serif" w:hAnsi="Times New Roman;serif"/>
                  <w:b w:val="false"/>
                  <w:color w:val="000080"/>
                  <w:sz w:val="20"/>
                  <w:u w:val="single"/>
                </w:rPr>
                <w:t xml:space="preserve"> and June 2</w:t>
              </w:r>
            </w:hyperlink>
            <w:hyperlink w:anchor="i123540df82f04e0eb97811cc101df5ff_22">
              <w:r>
                <w:rPr>
                  <w:rStyle w:val="InternetLink"/>
                  <w:rFonts w:ascii="Times New Roman;serif" w:hAnsi="Times New Roman;serif"/>
                  <w:b w:val="false"/>
                  <w:color w:val="000080"/>
                  <w:sz w:val="20"/>
                  <w:u w:val="single"/>
                </w:rPr>
                <w:t>9</w:t>
              </w:r>
            </w:hyperlink>
            <w:hyperlink w:anchor="i123540df82f04e0eb97811cc101df5ff_22">
              <w:r>
                <w:rPr>
                  <w:rStyle w:val="InternetLink"/>
                  <w:rFonts w:ascii="Times New Roman;serif" w:hAnsi="Times New Roman;serif"/>
                  <w:b w:val="false"/>
                  <w:color w:val="000080"/>
                  <w:sz w:val="20"/>
                  <w:u w:val="single"/>
                </w:rPr>
                <w:t>, 202</w:t>
              </w:r>
            </w:hyperlink>
            <w:hyperlink w:anchor="i123540df82f04e0eb97811cc101df5ff_22">
              <w:r>
                <w:rPr>
                  <w:rStyle w:val="InternetLink"/>
                  <w:rFonts w:ascii="Times New Roman;serif" w:hAnsi="Times New Roman;serif"/>
                  <w:b w:val="false"/>
                  <w:color w:val="000080"/>
                  <w:sz w:val="20"/>
                  <w:u w:val="single"/>
                </w:rPr>
                <w:t>4</w:t>
              </w:r>
            </w:hyperlink>
          </w:p>
        </w:tc>
        <w:tc>
          <w:tcPr>
            <w:tcW w:w="573"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pPr>
            <w:hyperlink w:anchor="i123540df82f04e0eb97811cc101df5ff_22">
              <w:r>
                <w:rPr>
                  <w:rStyle w:val="InternetLink"/>
                  <w:rFonts w:ascii="Times New Roman;serif" w:hAnsi="Times New Roman;serif"/>
                  <w:b w:val="false"/>
                  <w:strike w:val="false"/>
                  <w:dstrike w:val="false"/>
                  <w:color w:val="000000"/>
                  <w:sz w:val="20"/>
                  <w:u w:val="none"/>
                  <w:effect w:val="none"/>
                </w:rPr>
                <w:t>4</w:t>
              </w:r>
            </w:hyperlink>
          </w:p>
        </w:tc>
      </w:tr>
      <w:tr>
        <w:trPr/>
        <w:tc>
          <w:tcPr>
            <w:tcW w:w="7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3" w:type="dxa"/>
            <w:gridSpan w:val="3"/>
            <w:tcBorders/>
            <w:shd w:fill="CCEEFF" w:val="clear"/>
            <w:tcMar>
              <w:top w:w="0" w:type="dxa"/>
              <w:left w:w="0" w:type="dxa"/>
              <w:bottom w:w="0" w:type="dxa"/>
              <w:right w:w="0" w:type="dxa"/>
            </w:tcMar>
            <w:vAlign w:val="center"/>
          </w:tcPr>
          <w:p>
            <w:pPr>
              <w:pStyle w:val="TableContents"/>
              <w:bidi w:val="0"/>
              <w:spacing w:lineRule="auto" w:line="300" w:before="0" w:after="2"/>
              <w:ind w:left="0" w:right="0" w:hanging="180"/>
              <w:jc w:val="left"/>
              <w:rPr/>
            </w:pPr>
            <w:hyperlink w:anchor="i123540df82f04e0eb97811cc101df5ff_25">
              <w:r>
                <w:rPr>
                  <w:rStyle w:val="InternetLink"/>
                  <w:rFonts w:ascii="Times New Roman;serif" w:hAnsi="Times New Roman;serif"/>
                  <w:b w:val="false"/>
                  <w:color w:val="000080"/>
                  <w:sz w:val="20"/>
                  <w:u w:val="single"/>
                </w:rPr>
                <w:t>Unaudited Condensed Consolidated Statements of Changes in Equity (Deficit) for the Three and Nine Months Ended June 2</w:t>
              </w:r>
            </w:hyperlink>
            <w:hyperlink w:anchor="i123540df82f04e0eb97811cc101df5ff_25">
              <w:r>
                <w:rPr>
                  <w:rStyle w:val="InternetLink"/>
                  <w:rFonts w:ascii="Times New Roman;serif" w:hAnsi="Times New Roman;serif"/>
                  <w:b w:val="false"/>
                  <w:color w:val="000080"/>
                  <w:sz w:val="20"/>
                  <w:u w:val="single"/>
                </w:rPr>
                <w:t>8</w:t>
              </w:r>
            </w:hyperlink>
            <w:hyperlink w:anchor="i123540df82f04e0eb97811cc101df5ff_25">
              <w:r>
                <w:rPr>
                  <w:rStyle w:val="InternetLink"/>
                  <w:rFonts w:ascii="Times New Roman;serif" w:hAnsi="Times New Roman;serif"/>
                  <w:b w:val="false"/>
                  <w:color w:val="000080"/>
                  <w:sz w:val="20"/>
                  <w:u w:val="single"/>
                </w:rPr>
                <w:t>, 202</w:t>
              </w:r>
            </w:hyperlink>
            <w:hyperlink w:anchor="i123540df82f04e0eb97811cc101df5ff_25">
              <w:r>
                <w:rPr>
                  <w:rStyle w:val="InternetLink"/>
                  <w:rFonts w:ascii="Times New Roman;serif" w:hAnsi="Times New Roman;serif"/>
                  <w:b w:val="false"/>
                  <w:color w:val="000080"/>
                  <w:sz w:val="20"/>
                  <w:u w:val="single"/>
                </w:rPr>
                <w:t>5</w:t>
              </w:r>
            </w:hyperlink>
            <w:hyperlink w:anchor="i123540df82f04e0eb97811cc101df5ff_25">
              <w:r>
                <w:rPr>
                  <w:rStyle w:val="InternetLink"/>
                  <w:rFonts w:ascii="Times New Roman;serif" w:hAnsi="Times New Roman;serif"/>
                  <w:b w:val="false"/>
                  <w:color w:val="000080"/>
                  <w:sz w:val="20"/>
                  <w:u w:val="single"/>
                </w:rPr>
                <w:t xml:space="preserve"> and June 2</w:t>
              </w:r>
            </w:hyperlink>
            <w:hyperlink w:anchor="i123540df82f04e0eb97811cc101df5ff_25">
              <w:r>
                <w:rPr>
                  <w:rStyle w:val="InternetLink"/>
                  <w:rFonts w:ascii="Times New Roman;serif" w:hAnsi="Times New Roman;serif"/>
                  <w:b w:val="false"/>
                  <w:color w:val="000080"/>
                  <w:sz w:val="20"/>
                  <w:u w:val="single"/>
                </w:rPr>
                <w:t>9</w:t>
              </w:r>
            </w:hyperlink>
            <w:hyperlink w:anchor="i123540df82f04e0eb97811cc101df5ff_25">
              <w:r>
                <w:rPr>
                  <w:rStyle w:val="InternetLink"/>
                  <w:rFonts w:ascii="Times New Roman;serif" w:hAnsi="Times New Roman;serif"/>
                  <w:b w:val="false"/>
                  <w:color w:val="000080"/>
                  <w:sz w:val="20"/>
                  <w:u w:val="single"/>
                </w:rPr>
                <w:t>, 202</w:t>
              </w:r>
            </w:hyperlink>
            <w:hyperlink w:anchor="i123540df82f04e0eb97811cc101df5ff_25">
              <w:r>
                <w:rPr>
                  <w:rStyle w:val="InternetLink"/>
                  <w:rFonts w:ascii="Times New Roman;serif" w:hAnsi="Times New Roman;serif"/>
                  <w:b w:val="false"/>
                  <w:color w:val="000080"/>
                  <w:sz w:val="20"/>
                  <w:u w:val="single"/>
                </w:rPr>
                <w:t>4</w:t>
              </w:r>
            </w:hyperlink>
          </w:p>
        </w:tc>
        <w:tc>
          <w:tcPr>
            <w:tcW w:w="573"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pPr>
            <w:hyperlink w:anchor="i123540df82f04e0eb97811cc101df5ff_25">
              <w:r>
                <w:rPr>
                  <w:rStyle w:val="InternetLink"/>
                  <w:rFonts w:ascii="Times New Roman;serif" w:hAnsi="Times New Roman;serif"/>
                  <w:b w:val="false"/>
                  <w:strike w:val="false"/>
                  <w:dstrike w:val="false"/>
                  <w:color w:val="000000"/>
                  <w:sz w:val="20"/>
                  <w:u w:val="none"/>
                  <w:effect w:val="none"/>
                </w:rPr>
                <w:t>5</w:t>
              </w:r>
            </w:hyperlink>
          </w:p>
        </w:tc>
      </w:tr>
      <w:tr>
        <w:trPr/>
        <w:tc>
          <w:tcPr>
            <w:tcW w:w="7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3" w:type="dxa"/>
            <w:gridSpan w:val="3"/>
            <w:tcBorders/>
            <w:shd w:fill="FFFFFF" w:val="clear"/>
            <w:tcMar>
              <w:top w:w="0" w:type="dxa"/>
              <w:left w:w="0" w:type="dxa"/>
              <w:bottom w:w="0" w:type="dxa"/>
              <w:right w:w="0" w:type="dxa"/>
            </w:tcMar>
            <w:vAlign w:val="center"/>
          </w:tcPr>
          <w:p>
            <w:pPr>
              <w:pStyle w:val="TableContents"/>
              <w:bidi w:val="0"/>
              <w:spacing w:lineRule="auto" w:line="300" w:before="0" w:after="2"/>
              <w:ind w:left="0" w:right="0" w:hanging="180"/>
              <w:jc w:val="left"/>
              <w:rPr/>
            </w:pPr>
            <w:hyperlink w:anchor="i123540df82f04e0eb97811cc101df5ff_28">
              <w:r>
                <w:rPr>
                  <w:rStyle w:val="InternetLink"/>
                  <w:rFonts w:ascii="Times New Roman;serif" w:hAnsi="Times New Roman;serif"/>
                  <w:b w:val="false"/>
                  <w:color w:val="000080"/>
                  <w:sz w:val="20"/>
                  <w:u w:val="single"/>
                </w:rPr>
                <w:t>Unaudited Condensed Consolidated Statements of Cash Flows for the Nine Months Ended June 2</w:t>
              </w:r>
            </w:hyperlink>
            <w:hyperlink w:anchor="i123540df82f04e0eb97811cc101df5ff_28">
              <w:r>
                <w:rPr>
                  <w:rStyle w:val="InternetLink"/>
                  <w:rFonts w:ascii="Times New Roman;serif" w:hAnsi="Times New Roman;serif"/>
                  <w:b w:val="false"/>
                  <w:color w:val="000080"/>
                  <w:sz w:val="20"/>
                  <w:u w:val="single"/>
                </w:rPr>
                <w:t>8</w:t>
              </w:r>
            </w:hyperlink>
            <w:hyperlink w:anchor="i123540df82f04e0eb97811cc101df5ff_28">
              <w:r>
                <w:rPr>
                  <w:rStyle w:val="InternetLink"/>
                  <w:rFonts w:ascii="Times New Roman;serif" w:hAnsi="Times New Roman;serif"/>
                  <w:b w:val="false"/>
                  <w:color w:val="000080"/>
                  <w:sz w:val="20"/>
                  <w:u w:val="single"/>
                </w:rPr>
                <w:t>, 202</w:t>
              </w:r>
            </w:hyperlink>
            <w:hyperlink w:anchor="i123540df82f04e0eb97811cc101df5ff_28">
              <w:r>
                <w:rPr>
                  <w:rStyle w:val="InternetLink"/>
                  <w:rFonts w:ascii="Times New Roman;serif" w:hAnsi="Times New Roman;serif"/>
                  <w:b w:val="false"/>
                  <w:color w:val="000080"/>
                  <w:sz w:val="20"/>
                  <w:u w:val="single"/>
                </w:rPr>
                <w:t>5</w:t>
              </w:r>
            </w:hyperlink>
            <w:hyperlink w:anchor="i123540df82f04e0eb97811cc101df5ff_28">
              <w:r>
                <w:rPr>
                  <w:rStyle w:val="InternetLink"/>
                  <w:rFonts w:ascii="Times New Roman;serif" w:hAnsi="Times New Roman;serif"/>
                  <w:b w:val="false"/>
                  <w:color w:val="000080"/>
                  <w:sz w:val="20"/>
                  <w:u w:val="single"/>
                </w:rPr>
                <w:t xml:space="preserve"> and June 2</w:t>
              </w:r>
            </w:hyperlink>
            <w:hyperlink w:anchor="i123540df82f04e0eb97811cc101df5ff_28">
              <w:r>
                <w:rPr>
                  <w:rStyle w:val="InternetLink"/>
                  <w:rFonts w:ascii="Times New Roman;serif" w:hAnsi="Times New Roman;serif"/>
                  <w:b w:val="false"/>
                  <w:color w:val="000080"/>
                  <w:sz w:val="20"/>
                  <w:u w:val="single"/>
                </w:rPr>
                <w:t>9</w:t>
              </w:r>
            </w:hyperlink>
            <w:hyperlink w:anchor="i123540df82f04e0eb97811cc101df5ff_28">
              <w:r>
                <w:rPr>
                  <w:rStyle w:val="InternetLink"/>
                  <w:rFonts w:ascii="Times New Roman;serif" w:hAnsi="Times New Roman;serif"/>
                  <w:b w:val="false"/>
                  <w:color w:val="000080"/>
                  <w:sz w:val="20"/>
                  <w:u w:val="single"/>
                </w:rPr>
                <w:t>, 202</w:t>
              </w:r>
            </w:hyperlink>
            <w:hyperlink w:anchor="i123540df82f04e0eb97811cc101df5ff_28">
              <w:r>
                <w:rPr>
                  <w:rStyle w:val="InternetLink"/>
                  <w:rFonts w:ascii="Times New Roman;serif" w:hAnsi="Times New Roman;serif"/>
                  <w:b w:val="false"/>
                  <w:color w:val="000080"/>
                  <w:sz w:val="20"/>
                  <w:u w:val="single"/>
                </w:rPr>
                <w:t>4</w:t>
              </w:r>
            </w:hyperlink>
          </w:p>
        </w:tc>
        <w:tc>
          <w:tcPr>
            <w:tcW w:w="573"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pPr>
            <w:hyperlink w:anchor="i123540df82f04e0eb97811cc101df5ff_28">
              <w:r>
                <w:rPr>
                  <w:rStyle w:val="InternetLink"/>
                  <w:rFonts w:ascii="Times New Roman;serif" w:hAnsi="Times New Roman;serif"/>
                  <w:b w:val="false"/>
                  <w:strike w:val="false"/>
                  <w:dstrike w:val="false"/>
                  <w:color w:val="000000"/>
                  <w:sz w:val="20"/>
                  <w:u w:val="none"/>
                  <w:effect w:val="none"/>
                </w:rPr>
                <w:t>7</w:t>
              </w:r>
            </w:hyperlink>
          </w:p>
        </w:tc>
      </w:tr>
      <w:tr>
        <w:trPr/>
        <w:tc>
          <w:tcPr>
            <w:tcW w:w="7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3" w:type="dxa"/>
            <w:gridSpan w:val="3"/>
            <w:tcBorders/>
            <w:shd w:fill="CCEEFF" w:val="clear"/>
            <w:tcMar>
              <w:top w:w="0" w:type="dxa"/>
              <w:left w:w="0" w:type="dxa"/>
              <w:bottom w:w="0" w:type="dxa"/>
              <w:right w:w="0" w:type="dxa"/>
            </w:tcMar>
            <w:vAlign w:val="center"/>
          </w:tcPr>
          <w:p>
            <w:pPr>
              <w:pStyle w:val="TableContents"/>
              <w:bidi w:val="0"/>
              <w:spacing w:lineRule="auto" w:line="300" w:before="0" w:after="2"/>
              <w:ind w:left="0" w:right="0" w:hanging="180"/>
              <w:jc w:val="left"/>
              <w:rPr/>
            </w:pPr>
            <w:hyperlink w:anchor="i123540df82f04e0eb97811cc101df5ff_31">
              <w:r>
                <w:rPr>
                  <w:rStyle w:val="InternetLink"/>
                  <w:rFonts w:ascii="Times New Roman;serif" w:hAnsi="Times New Roman;serif"/>
                  <w:b w:val="false"/>
                  <w:color w:val="0000FF"/>
                  <w:sz w:val="20"/>
                  <w:u w:val="single"/>
                </w:rPr>
                <w:t>Notes to Unaudited Condensed Consolidated Financial Statements</w:t>
              </w:r>
            </w:hyperlink>
          </w:p>
        </w:tc>
        <w:tc>
          <w:tcPr>
            <w:tcW w:w="573" w:type="dxa"/>
            <w:gridSpan w:val="3"/>
            <w:tcBorders/>
            <w:shd w:fill="CCEEFF" w:val="clear"/>
            <w:tcMar>
              <w:top w:w="0" w:type="dxa"/>
              <w:left w:w="0" w:type="dxa"/>
              <w:bottom w:w="0" w:type="dxa"/>
              <w:right w:w="0" w:type="dxa"/>
            </w:tcMar>
            <w:vAlign w:val="center"/>
          </w:tcPr>
          <w:p>
            <w:pPr>
              <w:pStyle w:val="TableContents"/>
              <w:bidi w:val="0"/>
              <w:spacing w:lineRule="auto" w:line="300" w:before="0" w:after="2"/>
              <w:ind w:left="0" w:right="0" w:hanging="180"/>
              <w:jc w:val="right"/>
              <w:rPr/>
            </w:pPr>
            <w:hyperlink w:anchor="i123540df82f04e0eb97811cc101df5ff_31">
              <w:r>
                <w:rPr>
                  <w:rStyle w:val="InternetLink"/>
                  <w:rFonts w:ascii="Times New Roman;serif" w:hAnsi="Times New Roman;serif"/>
                  <w:b w:val="false"/>
                  <w:strike w:val="false"/>
                  <w:dstrike w:val="false"/>
                  <w:color w:val="000000"/>
                  <w:sz w:val="20"/>
                  <w:u w:val="none"/>
                  <w:effect w:val="none"/>
                </w:rPr>
                <w:t>9</w:t>
              </w:r>
            </w:hyperlink>
          </w:p>
        </w:tc>
      </w:tr>
      <w:tr>
        <w:trPr/>
        <w:tc>
          <w:tcPr>
            <w:tcW w:w="70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Item 2.</w:t>
            </w:r>
          </w:p>
        </w:tc>
        <w:tc>
          <w:tcPr>
            <w:tcW w:w="8923" w:type="dxa"/>
            <w:gridSpan w:val="3"/>
            <w:tcBorders/>
            <w:shd w:fill="FFFFFF" w:val="clear"/>
            <w:tcMar>
              <w:top w:w="0" w:type="dxa"/>
              <w:left w:w="0" w:type="dxa"/>
              <w:bottom w:w="0" w:type="dxa"/>
              <w:right w:w="0" w:type="dxa"/>
            </w:tcMar>
            <w:vAlign w:val="center"/>
          </w:tcPr>
          <w:p>
            <w:pPr>
              <w:pStyle w:val="TableContents"/>
              <w:bidi w:val="0"/>
              <w:spacing w:lineRule="auto" w:line="300" w:before="0" w:after="2"/>
              <w:ind w:left="0" w:right="0" w:hanging="180"/>
              <w:jc w:val="left"/>
              <w:rPr/>
            </w:pPr>
            <w:hyperlink w:anchor="i123540df82f04e0eb97811cc101df5ff_100">
              <w:r>
                <w:rPr>
                  <w:rStyle w:val="InternetLink"/>
                  <w:rFonts w:ascii="Times New Roman;serif" w:hAnsi="Times New Roman;serif"/>
                  <w:b w:val="false"/>
                  <w:color w:val="0E32E1"/>
                  <w:sz w:val="20"/>
                  <w:u w:val="single"/>
                </w:rPr>
                <w:t>Management’s Discussion and Analysis of Financial Condition and Results of Operations</w:t>
              </w:r>
            </w:hyperlink>
          </w:p>
        </w:tc>
        <w:tc>
          <w:tcPr>
            <w:tcW w:w="573" w:type="dxa"/>
            <w:gridSpan w:val="3"/>
            <w:tcBorders/>
            <w:shd w:fill="FFFFFF" w:val="clear"/>
            <w:tcMar>
              <w:top w:w="0" w:type="dxa"/>
              <w:left w:w="0" w:type="dxa"/>
              <w:bottom w:w="0" w:type="dxa"/>
              <w:right w:w="0" w:type="dxa"/>
            </w:tcMar>
            <w:vAlign w:val="center"/>
          </w:tcPr>
          <w:p>
            <w:pPr>
              <w:pStyle w:val="TableContents"/>
              <w:bidi w:val="0"/>
              <w:spacing w:lineRule="auto" w:line="300" w:before="0" w:after="2"/>
              <w:ind w:left="0" w:right="0" w:hanging="180"/>
              <w:jc w:val="right"/>
              <w:rPr/>
            </w:pPr>
            <w:hyperlink w:anchor="i123540df82f04e0eb97811cc101df5ff_100">
              <w:r>
                <w:rPr>
                  <w:rStyle w:val="InternetLink"/>
                  <w:rFonts w:ascii="Times New Roman;serif" w:hAnsi="Times New Roman;serif"/>
                  <w:b w:val="false"/>
                  <w:strike w:val="false"/>
                  <w:dstrike w:val="false"/>
                  <w:color w:val="000000"/>
                  <w:sz w:val="20"/>
                  <w:u w:val="none"/>
                  <w:effect w:val="none"/>
                </w:rPr>
                <w:t>27</w:t>
              </w:r>
            </w:hyperlink>
          </w:p>
        </w:tc>
      </w:tr>
      <w:tr>
        <w:trPr/>
        <w:tc>
          <w:tcPr>
            <w:tcW w:w="70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Item 3.</w:t>
            </w:r>
          </w:p>
        </w:tc>
        <w:tc>
          <w:tcPr>
            <w:tcW w:w="8923" w:type="dxa"/>
            <w:gridSpan w:val="3"/>
            <w:tcBorders/>
            <w:shd w:fill="CCEEFF" w:val="clear"/>
            <w:tcMar>
              <w:top w:w="0" w:type="dxa"/>
              <w:left w:w="0" w:type="dxa"/>
              <w:bottom w:w="0" w:type="dxa"/>
              <w:right w:w="0" w:type="dxa"/>
            </w:tcMar>
            <w:vAlign w:val="center"/>
          </w:tcPr>
          <w:p>
            <w:pPr>
              <w:pStyle w:val="TableContents"/>
              <w:bidi w:val="0"/>
              <w:spacing w:lineRule="auto" w:line="300" w:before="0" w:after="2"/>
              <w:ind w:left="0" w:right="0" w:hanging="180"/>
              <w:jc w:val="left"/>
              <w:rPr/>
            </w:pPr>
            <w:hyperlink w:anchor="i123540df82f04e0eb97811cc101df5ff_103">
              <w:r>
                <w:rPr>
                  <w:rStyle w:val="InternetLink"/>
                  <w:rFonts w:ascii="Times New Roman;serif" w:hAnsi="Times New Roman;serif"/>
                  <w:b w:val="false"/>
                  <w:color w:val="0E32E1"/>
                  <w:sz w:val="20"/>
                  <w:u w:val="single"/>
                </w:rPr>
                <w:t>Quantitative and Qualitative Disclosures About Market Risk</w:t>
              </w:r>
            </w:hyperlink>
          </w:p>
        </w:tc>
        <w:tc>
          <w:tcPr>
            <w:tcW w:w="573" w:type="dxa"/>
            <w:gridSpan w:val="3"/>
            <w:tcBorders/>
            <w:shd w:fill="CCEEFF" w:val="clear"/>
            <w:tcMar>
              <w:top w:w="0" w:type="dxa"/>
              <w:left w:w="0" w:type="dxa"/>
              <w:bottom w:w="0" w:type="dxa"/>
              <w:right w:w="0" w:type="dxa"/>
            </w:tcMar>
            <w:vAlign w:val="center"/>
          </w:tcPr>
          <w:p>
            <w:pPr>
              <w:pStyle w:val="TableContents"/>
              <w:bidi w:val="0"/>
              <w:spacing w:lineRule="auto" w:line="300" w:before="0" w:after="2"/>
              <w:ind w:left="0" w:right="0" w:hanging="180"/>
              <w:jc w:val="right"/>
              <w:rPr/>
            </w:pPr>
            <w:hyperlink w:anchor="i123540df82f04e0eb97811cc101df5ff_103">
              <w:r>
                <w:rPr>
                  <w:rStyle w:val="InternetLink"/>
                  <w:rFonts w:ascii="Times New Roman;serif" w:hAnsi="Times New Roman;serif"/>
                  <w:b w:val="false"/>
                  <w:strike w:val="false"/>
                  <w:dstrike w:val="false"/>
                  <w:color w:val="000000"/>
                  <w:sz w:val="20"/>
                  <w:u w:val="none"/>
                  <w:effect w:val="none"/>
                </w:rPr>
                <w:t>41</w:t>
              </w:r>
            </w:hyperlink>
          </w:p>
        </w:tc>
      </w:tr>
      <w:tr>
        <w:trPr/>
        <w:tc>
          <w:tcPr>
            <w:tcW w:w="70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Item 4.</w:t>
            </w:r>
          </w:p>
        </w:tc>
        <w:tc>
          <w:tcPr>
            <w:tcW w:w="8923" w:type="dxa"/>
            <w:gridSpan w:val="3"/>
            <w:tcBorders/>
            <w:shd w:fill="FFFFFF" w:val="clear"/>
            <w:tcMar>
              <w:top w:w="0" w:type="dxa"/>
              <w:left w:w="0" w:type="dxa"/>
              <w:bottom w:w="0" w:type="dxa"/>
              <w:right w:w="0" w:type="dxa"/>
            </w:tcMar>
            <w:vAlign w:val="center"/>
          </w:tcPr>
          <w:p>
            <w:pPr>
              <w:pStyle w:val="TableContents"/>
              <w:bidi w:val="0"/>
              <w:spacing w:lineRule="auto" w:line="300" w:before="0" w:after="2"/>
              <w:ind w:left="0" w:right="0" w:hanging="180"/>
              <w:jc w:val="left"/>
              <w:rPr/>
            </w:pPr>
            <w:hyperlink w:anchor="i123540df82f04e0eb97811cc101df5ff_106">
              <w:r>
                <w:rPr>
                  <w:rStyle w:val="InternetLink"/>
                  <w:rFonts w:ascii="Times New Roman;serif" w:hAnsi="Times New Roman;serif"/>
                  <w:b w:val="false"/>
                  <w:color w:val="0E32E1"/>
                  <w:sz w:val="20"/>
                  <w:u w:val="single"/>
                </w:rPr>
                <w:t>Controls and Procedures</w:t>
              </w:r>
            </w:hyperlink>
          </w:p>
        </w:tc>
        <w:tc>
          <w:tcPr>
            <w:tcW w:w="573"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pPr>
            <w:hyperlink w:anchor="i123540df82f04e0eb97811cc101df5ff_106">
              <w:r>
                <w:rPr>
                  <w:rStyle w:val="InternetLink"/>
                  <w:rFonts w:ascii="Times New Roman;serif" w:hAnsi="Times New Roman;serif"/>
                  <w:b w:val="false"/>
                  <w:strike w:val="false"/>
                  <w:dstrike w:val="false"/>
                  <w:color w:val="000000"/>
                  <w:sz w:val="20"/>
                  <w:u w:val="none"/>
                  <w:effect w:val="none"/>
                </w:rPr>
                <w:t>41</w:t>
              </w:r>
            </w:hyperlink>
          </w:p>
        </w:tc>
      </w:tr>
      <w:tr>
        <w:trPr/>
        <w:tc>
          <w:tcPr>
            <w:tcW w:w="7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3"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center"/>
              <w:rPr/>
            </w:pPr>
            <w:hyperlink w:anchor="i123540df82f04e0eb97811cc101df5ff_109">
              <w:r>
                <w:rPr>
                  <w:rStyle w:val="InternetLink"/>
                  <w:rFonts w:ascii="Times New Roman;serif" w:hAnsi="Times New Roman;serif"/>
                  <w:b/>
                  <w:color w:val="0E32E1"/>
                  <w:sz w:val="20"/>
                  <w:u w:val="single"/>
                </w:rPr>
                <w:t>Part II - Other Information</w:t>
              </w:r>
            </w:hyperlink>
          </w:p>
        </w:tc>
        <w:tc>
          <w:tcPr>
            <w:tcW w:w="573"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0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Item 1.</w:t>
            </w:r>
          </w:p>
        </w:tc>
        <w:tc>
          <w:tcPr>
            <w:tcW w:w="8923" w:type="dxa"/>
            <w:gridSpan w:val="3"/>
            <w:tcBorders/>
            <w:shd w:fill="FFFFFF" w:val="clear"/>
            <w:tcMar>
              <w:top w:w="0" w:type="dxa"/>
              <w:left w:w="0" w:type="dxa"/>
              <w:bottom w:w="0" w:type="dxa"/>
              <w:right w:w="0" w:type="dxa"/>
            </w:tcMar>
            <w:vAlign w:val="center"/>
          </w:tcPr>
          <w:p>
            <w:pPr>
              <w:pStyle w:val="TableContents"/>
              <w:bidi w:val="0"/>
              <w:spacing w:lineRule="auto" w:line="300" w:before="0" w:after="2"/>
              <w:ind w:left="0" w:right="0" w:hanging="180"/>
              <w:jc w:val="left"/>
              <w:rPr/>
            </w:pPr>
            <w:hyperlink w:anchor="i123540df82f04e0eb97811cc101df5ff_112">
              <w:r>
                <w:rPr>
                  <w:rStyle w:val="InternetLink"/>
                  <w:rFonts w:ascii="Times New Roman;serif" w:hAnsi="Times New Roman;serif"/>
                  <w:b w:val="false"/>
                  <w:color w:val="0E32E1"/>
                  <w:sz w:val="20"/>
                  <w:u w:val="single"/>
                </w:rPr>
                <w:t>Legal Proceedings</w:t>
              </w:r>
            </w:hyperlink>
          </w:p>
        </w:tc>
        <w:tc>
          <w:tcPr>
            <w:tcW w:w="573" w:type="dxa"/>
            <w:gridSpan w:val="3"/>
            <w:tcBorders/>
            <w:shd w:fill="FFFFFF" w:val="clear"/>
            <w:tcMar>
              <w:top w:w="0" w:type="dxa"/>
              <w:left w:w="0" w:type="dxa"/>
              <w:bottom w:w="0" w:type="dxa"/>
              <w:right w:w="0" w:type="dxa"/>
            </w:tcMar>
            <w:vAlign w:val="center"/>
          </w:tcPr>
          <w:p>
            <w:pPr>
              <w:pStyle w:val="TableContents"/>
              <w:bidi w:val="0"/>
              <w:spacing w:lineRule="auto" w:line="300" w:before="0" w:after="2"/>
              <w:ind w:left="0" w:right="0" w:hanging="180"/>
              <w:jc w:val="right"/>
              <w:rPr/>
            </w:pPr>
            <w:hyperlink w:anchor="i123540df82f04e0eb97811cc101df5ff_112">
              <w:r>
                <w:rPr>
                  <w:rStyle w:val="InternetLink"/>
                  <w:rFonts w:ascii="Times New Roman;serif" w:hAnsi="Times New Roman;serif"/>
                  <w:b w:val="false"/>
                  <w:strike w:val="false"/>
                  <w:dstrike w:val="false"/>
                  <w:color w:val="000000"/>
                  <w:sz w:val="20"/>
                  <w:u w:val="none"/>
                  <w:effect w:val="none"/>
                </w:rPr>
                <w:t>43</w:t>
              </w:r>
            </w:hyperlink>
          </w:p>
        </w:tc>
      </w:tr>
      <w:tr>
        <w:trPr/>
        <w:tc>
          <w:tcPr>
            <w:tcW w:w="70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Item 1A.</w:t>
            </w:r>
          </w:p>
        </w:tc>
        <w:tc>
          <w:tcPr>
            <w:tcW w:w="8923" w:type="dxa"/>
            <w:gridSpan w:val="3"/>
            <w:tcBorders/>
            <w:shd w:fill="CCEEFF" w:val="clear"/>
            <w:tcMar>
              <w:top w:w="0" w:type="dxa"/>
              <w:left w:w="0" w:type="dxa"/>
              <w:bottom w:w="0" w:type="dxa"/>
              <w:right w:w="0" w:type="dxa"/>
            </w:tcMar>
            <w:vAlign w:val="center"/>
          </w:tcPr>
          <w:p>
            <w:pPr>
              <w:pStyle w:val="TableContents"/>
              <w:bidi w:val="0"/>
              <w:spacing w:lineRule="auto" w:line="300" w:before="0" w:after="2"/>
              <w:ind w:left="0" w:right="0" w:hanging="180"/>
              <w:jc w:val="left"/>
              <w:rPr/>
            </w:pPr>
            <w:hyperlink w:anchor="i123540df82f04e0eb97811cc101df5ff_115">
              <w:r>
                <w:rPr>
                  <w:rStyle w:val="InternetLink"/>
                  <w:rFonts w:ascii="Times New Roman;serif" w:hAnsi="Times New Roman;serif"/>
                  <w:b w:val="false"/>
                  <w:color w:val="0E32E1"/>
                  <w:sz w:val="20"/>
                  <w:u w:val="single"/>
                </w:rPr>
                <w:t>Risk Factors</w:t>
              </w:r>
            </w:hyperlink>
          </w:p>
        </w:tc>
        <w:tc>
          <w:tcPr>
            <w:tcW w:w="573" w:type="dxa"/>
            <w:gridSpan w:val="3"/>
            <w:tcBorders/>
            <w:shd w:fill="CCEEFF" w:val="clear"/>
            <w:tcMar>
              <w:top w:w="0" w:type="dxa"/>
              <w:left w:w="0" w:type="dxa"/>
              <w:bottom w:w="0" w:type="dxa"/>
              <w:right w:w="0" w:type="dxa"/>
            </w:tcMar>
            <w:vAlign w:val="center"/>
          </w:tcPr>
          <w:p>
            <w:pPr>
              <w:pStyle w:val="TableContents"/>
              <w:bidi w:val="0"/>
              <w:spacing w:lineRule="auto" w:line="300" w:before="0" w:after="2"/>
              <w:ind w:left="0" w:right="0" w:hanging="180"/>
              <w:jc w:val="right"/>
              <w:rPr/>
            </w:pPr>
            <w:hyperlink w:anchor="i123540df82f04e0eb97811cc101df5ff_115">
              <w:r>
                <w:rPr>
                  <w:rStyle w:val="InternetLink"/>
                  <w:rFonts w:ascii="Times New Roman;serif" w:hAnsi="Times New Roman;serif"/>
                  <w:b w:val="false"/>
                  <w:strike w:val="false"/>
                  <w:dstrike w:val="false"/>
                  <w:color w:val="000000"/>
                  <w:sz w:val="20"/>
                  <w:u w:val="none"/>
                  <w:effect w:val="none"/>
                </w:rPr>
                <w:t>44</w:t>
              </w:r>
            </w:hyperlink>
          </w:p>
        </w:tc>
      </w:tr>
      <w:tr>
        <w:trPr/>
        <w:tc>
          <w:tcPr>
            <w:tcW w:w="70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Item 2.</w:t>
            </w:r>
          </w:p>
        </w:tc>
        <w:tc>
          <w:tcPr>
            <w:tcW w:w="8923" w:type="dxa"/>
            <w:gridSpan w:val="3"/>
            <w:tcBorders/>
            <w:shd w:fill="FFFFFF" w:val="clear"/>
            <w:tcMar>
              <w:top w:w="0" w:type="dxa"/>
              <w:left w:w="0" w:type="dxa"/>
              <w:bottom w:w="0" w:type="dxa"/>
              <w:right w:w="0" w:type="dxa"/>
            </w:tcMar>
            <w:vAlign w:val="center"/>
          </w:tcPr>
          <w:p>
            <w:pPr>
              <w:pStyle w:val="TableContents"/>
              <w:bidi w:val="0"/>
              <w:spacing w:lineRule="auto" w:line="300" w:before="0" w:after="2"/>
              <w:ind w:left="0" w:right="0" w:hanging="180"/>
              <w:jc w:val="left"/>
              <w:rPr/>
            </w:pPr>
            <w:hyperlink w:anchor="i123540df82f04e0eb97811cc101df5ff_118">
              <w:r>
                <w:rPr>
                  <w:rStyle w:val="InternetLink"/>
                  <w:rFonts w:ascii="Times New Roman;serif" w:hAnsi="Times New Roman;serif"/>
                  <w:b w:val="false"/>
                  <w:color w:val="0E32E1"/>
                  <w:sz w:val="20"/>
                  <w:u w:val="single"/>
                </w:rPr>
                <w:t>Unregistered Sales of Equity Securities and Use of Proceeds</w:t>
              </w:r>
            </w:hyperlink>
          </w:p>
        </w:tc>
        <w:tc>
          <w:tcPr>
            <w:tcW w:w="573" w:type="dxa"/>
            <w:gridSpan w:val="3"/>
            <w:tcBorders/>
            <w:shd w:fill="FFFFFF" w:val="clear"/>
            <w:tcMar>
              <w:top w:w="0" w:type="dxa"/>
              <w:left w:w="0" w:type="dxa"/>
              <w:bottom w:w="0" w:type="dxa"/>
              <w:right w:w="0" w:type="dxa"/>
            </w:tcMar>
            <w:vAlign w:val="center"/>
          </w:tcPr>
          <w:p>
            <w:pPr>
              <w:pStyle w:val="TableContents"/>
              <w:bidi w:val="0"/>
              <w:spacing w:lineRule="auto" w:line="300" w:before="0" w:after="2"/>
              <w:ind w:left="0" w:right="0" w:hanging="180"/>
              <w:jc w:val="right"/>
              <w:rPr/>
            </w:pPr>
            <w:hyperlink w:anchor="i123540df82f04e0eb97811cc101df5ff_118">
              <w:r>
                <w:rPr>
                  <w:rStyle w:val="InternetLink"/>
                  <w:rFonts w:ascii="Times New Roman;serif" w:hAnsi="Times New Roman;serif"/>
                  <w:b w:val="false"/>
                  <w:strike w:val="false"/>
                  <w:dstrike w:val="false"/>
                  <w:color w:val="000000"/>
                  <w:sz w:val="20"/>
                  <w:u w:val="none"/>
                  <w:effect w:val="none"/>
                </w:rPr>
                <w:t>44</w:t>
              </w:r>
            </w:hyperlink>
          </w:p>
        </w:tc>
      </w:tr>
      <w:tr>
        <w:trPr/>
        <w:tc>
          <w:tcPr>
            <w:tcW w:w="70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Item 3.</w:t>
            </w:r>
          </w:p>
        </w:tc>
        <w:tc>
          <w:tcPr>
            <w:tcW w:w="8923" w:type="dxa"/>
            <w:gridSpan w:val="3"/>
            <w:tcBorders/>
            <w:shd w:fill="CCEEFF" w:val="clear"/>
            <w:tcMar>
              <w:top w:w="0" w:type="dxa"/>
              <w:left w:w="0" w:type="dxa"/>
              <w:bottom w:w="0" w:type="dxa"/>
              <w:right w:w="0" w:type="dxa"/>
            </w:tcMar>
            <w:vAlign w:val="center"/>
          </w:tcPr>
          <w:p>
            <w:pPr>
              <w:pStyle w:val="TableContents"/>
              <w:bidi w:val="0"/>
              <w:spacing w:lineRule="auto" w:line="300" w:before="0" w:after="2"/>
              <w:ind w:left="0" w:right="0" w:hanging="180"/>
              <w:jc w:val="left"/>
              <w:rPr/>
            </w:pPr>
            <w:hyperlink w:anchor="i123540df82f04e0eb97811cc101df5ff_121">
              <w:r>
                <w:rPr>
                  <w:rStyle w:val="InternetLink"/>
                  <w:rFonts w:ascii="Times New Roman;serif" w:hAnsi="Times New Roman;serif"/>
                  <w:b w:val="false"/>
                  <w:color w:val="0E32E1"/>
                  <w:sz w:val="20"/>
                  <w:u w:val="single"/>
                </w:rPr>
                <w:t>Defaults Upon Senior Securities</w:t>
              </w:r>
            </w:hyperlink>
          </w:p>
        </w:tc>
        <w:tc>
          <w:tcPr>
            <w:tcW w:w="573" w:type="dxa"/>
            <w:gridSpan w:val="3"/>
            <w:tcBorders/>
            <w:shd w:fill="CCEEFF" w:val="clear"/>
            <w:tcMar>
              <w:top w:w="0" w:type="dxa"/>
              <w:left w:w="0" w:type="dxa"/>
              <w:bottom w:w="0" w:type="dxa"/>
              <w:right w:w="0" w:type="dxa"/>
            </w:tcMar>
            <w:vAlign w:val="center"/>
          </w:tcPr>
          <w:p>
            <w:pPr>
              <w:pStyle w:val="TableContents"/>
              <w:bidi w:val="0"/>
              <w:spacing w:lineRule="auto" w:line="300" w:before="0" w:after="2"/>
              <w:ind w:left="0" w:right="0" w:hanging="180"/>
              <w:jc w:val="right"/>
              <w:rPr/>
            </w:pPr>
            <w:hyperlink w:anchor="i123540df82f04e0eb97811cc101df5ff_121">
              <w:r>
                <w:rPr>
                  <w:rStyle w:val="InternetLink"/>
                  <w:rFonts w:ascii="Times New Roman;serif" w:hAnsi="Times New Roman;serif"/>
                  <w:b w:val="false"/>
                  <w:strike w:val="false"/>
                  <w:dstrike w:val="false"/>
                  <w:color w:val="000000"/>
                  <w:sz w:val="20"/>
                  <w:u w:val="none"/>
                  <w:effect w:val="none"/>
                </w:rPr>
                <w:t>44</w:t>
              </w:r>
            </w:hyperlink>
          </w:p>
        </w:tc>
      </w:tr>
      <w:tr>
        <w:trPr/>
        <w:tc>
          <w:tcPr>
            <w:tcW w:w="70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Item 4.</w:t>
            </w:r>
          </w:p>
        </w:tc>
        <w:tc>
          <w:tcPr>
            <w:tcW w:w="8923" w:type="dxa"/>
            <w:gridSpan w:val="3"/>
            <w:tcBorders/>
            <w:shd w:fill="FFFFFF" w:val="clear"/>
            <w:tcMar>
              <w:top w:w="0" w:type="dxa"/>
              <w:left w:w="0" w:type="dxa"/>
              <w:bottom w:w="0" w:type="dxa"/>
              <w:right w:w="0" w:type="dxa"/>
            </w:tcMar>
            <w:vAlign w:val="center"/>
          </w:tcPr>
          <w:p>
            <w:pPr>
              <w:pStyle w:val="TableContents"/>
              <w:bidi w:val="0"/>
              <w:spacing w:lineRule="auto" w:line="300" w:before="0" w:after="2"/>
              <w:ind w:left="0" w:right="0" w:hanging="180"/>
              <w:jc w:val="left"/>
              <w:rPr/>
            </w:pPr>
            <w:hyperlink w:anchor="i123540df82f04e0eb97811cc101df5ff_124">
              <w:r>
                <w:rPr>
                  <w:rStyle w:val="InternetLink"/>
                  <w:rFonts w:ascii="Times New Roman;serif" w:hAnsi="Times New Roman;serif"/>
                  <w:b w:val="false"/>
                  <w:color w:val="0E32E1"/>
                  <w:sz w:val="20"/>
                  <w:u w:val="single"/>
                </w:rPr>
                <w:t>Mine Safety Disclosures</w:t>
              </w:r>
            </w:hyperlink>
          </w:p>
        </w:tc>
        <w:tc>
          <w:tcPr>
            <w:tcW w:w="573" w:type="dxa"/>
            <w:gridSpan w:val="3"/>
            <w:tcBorders/>
            <w:shd w:fill="FFFFFF" w:val="clear"/>
            <w:tcMar>
              <w:top w:w="0" w:type="dxa"/>
              <w:left w:w="0" w:type="dxa"/>
              <w:bottom w:w="0" w:type="dxa"/>
              <w:right w:w="0" w:type="dxa"/>
            </w:tcMar>
            <w:vAlign w:val="center"/>
          </w:tcPr>
          <w:p>
            <w:pPr>
              <w:pStyle w:val="TableContents"/>
              <w:bidi w:val="0"/>
              <w:spacing w:lineRule="auto" w:line="300" w:before="0" w:after="2"/>
              <w:ind w:left="0" w:right="0" w:hanging="180"/>
              <w:jc w:val="right"/>
              <w:rPr/>
            </w:pPr>
            <w:hyperlink w:anchor="i123540df82f04e0eb97811cc101df5ff_124">
              <w:r>
                <w:rPr>
                  <w:rStyle w:val="InternetLink"/>
                  <w:rFonts w:ascii="Times New Roman;serif" w:hAnsi="Times New Roman;serif"/>
                  <w:b w:val="false"/>
                  <w:strike w:val="false"/>
                  <w:dstrike w:val="false"/>
                  <w:color w:val="000000"/>
                  <w:sz w:val="20"/>
                  <w:u w:val="none"/>
                  <w:effect w:val="none"/>
                </w:rPr>
                <w:t>44</w:t>
              </w:r>
            </w:hyperlink>
          </w:p>
        </w:tc>
      </w:tr>
      <w:tr>
        <w:trPr/>
        <w:tc>
          <w:tcPr>
            <w:tcW w:w="70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Item 5.</w:t>
            </w:r>
          </w:p>
        </w:tc>
        <w:tc>
          <w:tcPr>
            <w:tcW w:w="8923" w:type="dxa"/>
            <w:gridSpan w:val="3"/>
            <w:tcBorders/>
            <w:shd w:fill="CCEEFF" w:val="clear"/>
            <w:tcMar>
              <w:top w:w="0" w:type="dxa"/>
              <w:left w:w="0" w:type="dxa"/>
              <w:bottom w:w="0" w:type="dxa"/>
              <w:right w:w="0" w:type="dxa"/>
            </w:tcMar>
            <w:vAlign w:val="center"/>
          </w:tcPr>
          <w:p>
            <w:pPr>
              <w:pStyle w:val="TableContents"/>
              <w:bidi w:val="0"/>
              <w:spacing w:lineRule="auto" w:line="300" w:before="0" w:after="2"/>
              <w:ind w:left="0" w:right="0" w:hanging="180"/>
              <w:jc w:val="left"/>
              <w:rPr/>
            </w:pPr>
            <w:hyperlink w:anchor="i123540df82f04e0eb97811cc101df5ff_127">
              <w:r>
                <w:rPr>
                  <w:rStyle w:val="InternetLink"/>
                  <w:rFonts w:ascii="Times New Roman;serif" w:hAnsi="Times New Roman;serif"/>
                  <w:b w:val="false"/>
                  <w:color w:val="0E32E1"/>
                  <w:sz w:val="20"/>
                  <w:u w:val="single"/>
                </w:rPr>
                <w:t>Other Information</w:t>
              </w:r>
            </w:hyperlink>
          </w:p>
        </w:tc>
        <w:tc>
          <w:tcPr>
            <w:tcW w:w="573" w:type="dxa"/>
            <w:gridSpan w:val="3"/>
            <w:tcBorders/>
            <w:shd w:fill="CCEEFF" w:val="clear"/>
            <w:tcMar>
              <w:top w:w="0" w:type="dxa"/>
              <w:left w:w="0" w:type="dxa"/>
              <w:bottom w:w="0" w:type="dxa"/>
              <w:right w:w="0" w:type="dxa"/>
            </w:tcMar>
            <w:vAlign w:val="center"/>
          </w:tcPr>
          <w:p>
            <w:pPr>
              <w:pStyle w:val="TableContents"/>
              <w:bidi w:val="0"/>
              <w:spacing w:lineRule="auto" w:line="300" w:before="0" w:after="2"/>
              <w:ind w:left="0" w:right="0" w:hanging="180"/>
              <w:jc w:val="right"/>
              <w:rPr/>
            </w:pPr>
            <w:hyperlink w:anchor="i123540df82f04e0eb97811cc101df5ff_127">
              <w:r>
                <w:rPr>
                  <w:rStyle w:val="InternetLink"/>
                  <w:rFonts w:ascii="Times New Roman;serif" w:hAnsi="Times New Roman;serif"/>
                  <w:b w:val="false"/>
                  <w:strike w:val="false"/>
                  <w:dstrike w:val="false"/>
                  <w:color w:val="000000"/>
                  <w:sz w:val="20"/>
                  <w:u w:val="none"/>
                  <w:effect w:val="none"/>
                </w:rPr>
                <w:t>44</w:t>
              </w:r>
            </w:hyperlink>
          </w:p>
        </w:tc>
      </w:tr>
      <w:tr>
        <w:trPr/>
        <w:tc>
          <w:tcPr>
            <w:tcW w:w="70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Item 6.</w:t>
            </w:r>
          </w:p>
        </w:tc>
        <w:tc>
          <w:tcPr>
            <w:tcW w:w="8923" w:type="dxa"/>
            <w:gridSpan w:val="3"/>
            <w:tcBorders/>
            <w:shd w:fill="FFFFFF" w:val="clear"/>
            <w:tcMar>
              <w:top w:w="0" w:type="dxa"/>
              <w:left w:w="0" w:type="dxa"/>
              <w:bottom w:w="0" w:type="dxa"/>
              <w:right w:w="0" w:type="dxa"/>
            </w:tcMar>
            <w:vAlign w:val="center"/>
          </w:tcPr>
          <w:p>
            <w:pPr>
              <w:pStyle w:val="TableContents"/>
              <w:bidi w:val="0"/>
              <w:spacing w:lineRule="auto" w:line="300" w:before="0" w:after="2"/>
              <w:ind w:left="0" w:right="0" w:hanging="180"/>
              <w:jc w:val="left"/>
              <w:rPr/>
            </w:pPr>
            <w:hyperlink w:anchor="i123540df82f04e0eb97811cc101df5ff_133">
              <w:r>
                <w:rPr>
                  <w:rStyle w:val="InternetLink"/>
                  <w:rFonts w:ascii="Times New Roman;serif" w:hAnsi="Times New Roman;serif"/>
                  <w:b w:val="false"/>
                  <w:color w:val="0E32E1"/>
                  <w:sz w:val="20"/>
                  <w:u w:val="single"/>
                </w:rPr>
                <w:t>Exhibits</w:t>
              </w:r>
            </w:hyperlink>
          </w:p>
        </w:tc>
        <w:tc>
          <w:tcPr>
            <w:tcW w:w="573"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pPr>
            <w:hyperlink w:anchor="i123540df82f04e0eb97811cc101df5ff_133">
              <w:r>
                <w:rPr>
                  <w:rStyle w:val="InternetLink"/>
                  <w:rFonts w:ascii="Times New Roman;serif" w:hAnsi="Times New Roman;serif"/>
                  <w:b w:val="false"/>
                  <w:strike w:val="false"/>
                  <w:dstrike w:val="false"/>
                  <w:color w:val="000000"/>
                  <w:sz w:val="20"/>
                  <w:u w:val="none"/>
                  <w:effect w:val="none"/>
                </w:rPr>
                <w:t>46</w:t>
              </w:r>
            </w:hyperlink>
          </w:p>
        </w:tc>
      </w:tr>
      <w:tr>
        <w:trPr/>
        <w:tc>
          <w:tcPr>
            <w:tcW w:w="7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3"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pPr>
            <w:hyperlink w:anchor="i123540df82f04e0eb97811cc101df5ff_136">
              <w:r>
                <w:rPr>
                  <w:rStyle w:val="InternetLink"/>
                  <w:rFonts w:ascii="Times New Roman;serif" w:hAnsi="Times New Roman;serif"/>
                  <w:b w:val="false"/>
                  <w:color w:val="0E32E1"/>
                  <w:sz w:val="20"/>
                  <w:u w:val="single"/>
                </w:rPr>
                <w:t>Signatures</w:t>
              </w:r>
            </w:hyperlink>
          </w:p>
        </w:tc>
        <w:tc>
          <w:tcPr>
            <w:tcW w:w="573"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pPr>
            <w:hyperlink w:anchor="i123540df82f04e0eb97811cc101df5ff_136">
              <w:r>
                <w:rPr>
                  <w:rStyle w:val="InternetLink"/>
                  <w:rFonts w:ascii="Times New Roman;serif" w:hAnsi="Times New Roman;serif"/>
                  <w:b w:val="false"/>
                  <w:strike w:val="false"/>
                  <w:dstrike w:val="false"/>
                  <w:color w:val="000000"/>
                  <w:sz w:val="20"/>
                  <w:u w:val="none"/>
                  <w:effect w:val="none"/>
                </w:rPr>
                <w:t>47</w:t>
              </w:r>
            </w:hyperlink>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84785"/>
                <wp:effectExtent l="0" t="0" r="0" b="0"/>
                <wp:wrapNone/>
                <wp:docPr id="3" name="Frame3"/>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i</w:t>
                      </w:r>
                    </w:p>
                  </w:txbxContent>
                </v:textbox>
                <w10:wrap type="none"/>
              </v:rect>
            </w:pict>
          </mc:Fallback>
        </mc:AlternateContent>
      </w:r>
    </w:p>
    <w:p>
      <w:pPr>
        <w:pStyle w:val="TextBody"/>
        <w:bidi w:val="0"/>
        <w:spacing w:before="60" w:after="283"/>
        <w:ind w:left="0" w:right="0" w:firstLine="360"/>
        <w:jc w:val="left"/>
        <w:rPr/>
      </w:pPr>
      <w:r>
        <w:rPr/>
      </w:r>
    </w:p>
    <w:p>
      <w:pPr>
        <w:pStyle w:val="TextBody"/>
        <w:bidi w:val="0"/>
        <w:spacing w:lineRule="auto" w:line="240" w:before="0" w:after="200"/>
        <w:jc w:val="center"/>
        <w:rPr>
          <w:rFonts w:ascii="Times New Roman;serif" w:hAnsi="Times New Roman;serif"/>
          <w:b/>
          <w:color w:val="000000"/>
          <w:sz w:val="20"/>
        </w:rPr>
      </w:pPr>
      <w:r>
        <w:rPr>
          <w:rFonts w:ascii="Times New Roman;serif" w:hAnsi="Times New Roman;serif"/>
          <w:b/>
          <w:color w:val="000000"/>
          <w:sz w:val="20"/>
        </w:rPr>
        <w:t>CAUTIONARY NOTE ON FORWARD-LOOKING STATEMENTS</w:t>
      </w:r>
    </w:p>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This Quarterly Report on Form 10-Q contains forward-looking statements within the meaning of the Private Securities Litigation Reform Act of 1995, Section 27A of the Securities Act of 1933, as amended (the “Securities Act”), and Section 21E of the Securities Exchange Act of 1934, as amended (the “Exchange Act”). These statements include, but are not limited to, the Company’s expectations or predictions of future financial or business performance or conditions. Forward-looking statements are inherently subject to risks, uncertainties and assumptions. Generally, statements that are not historical facts, including statements concerning the Company’s possible or assumed future actions, business strategies, events or results of operations, are forward-looking statements. These statements may be preceded by, followed by or include the words “believes,” “estimates,” “expects,” “projects,” “forecasts,” “may,” “will,” “should,” “seeks,” “plans,” “scheduled,” “anticipates,” or “intends” or similar expressions.</w:t>
      </w:r>
    </w:p>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Forward-looking statements contained in this Quarterly Report on Form 10-Q include, but are not limited to, statements about the Company’s ability to, or expectations that it will: </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color w:val="000000"/>
          <w:sz w:val="20"/>
        </w:rPr>
        <w:t xml:space="preserve">meet the technical requirements of existing or future supply agreements with its customers, including with respect to existing backlog; </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color w:val="000000"/>
          <w:sz w:val="20"/>
        </w:rPr>
        <w:t>expand its target customer base and maintain its existing customer base;</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color w:val="000000"/>
          <w:sz w:val="20"/>
        </w:rPr>
        <w:t>realize the benefits expected from the acquisition of Walmart’s Advanced Systems and Robotics business, the GreenBox joint venture, the Commercial Agreement with GreenBox, Symbotic’s acquisitions of developed technology intangible assets, and the commercial agreement with Walmart de México y Centroamérica;</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color w:val="000000"/>
          <w:sz w:val="20"/>
        </w:rPr>
        <w:t>realize its outlook, including its system gross margin;</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color w:val="000000"/>
          <w:sz w:val="20"/>
        </w:rPr>
        <w:t xml:space="preserve">anticipate industry trends; </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color w:val="000000"/>
          <w:sz w:val="20"/>
        </w:rPr>
        <w:t xml:space="preserve">maintain and enhance its system; </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color w:val="000000"/>
          <w:sz w:val="20"/>
        </w:rPr>
        <w:t xml:space="preserve">maintain the listing of the Symbotic Class A Common Stock on Nasdaq; </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color w:val="000000"/>
          <w:sz w:val="20"/>
        </w:rPr>
        <w:t xml:space="preserve">execute its growth strategy; </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color w:val="000000"/>
          <w:sz w:val="20"/>
        </w:rPr>
        <w:t xml:space="preserve">develop, design and sell systems that are differentiated from those of competitors; </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color w:val="000000"/>
          <w:sz w:val="20"/>
        </w:rPr>
        <w:t xml:space="preserve">execute its research and development strategy; </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color w:val="000000"/>
          <w:sz w:val="20"/>
        </w:rPr>
        <w:t xml:space="preserve">acquire, maintain, protect and enforce intellectual property; </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color w:val="000000"/>
          <w:sz w:val="20"/>
        </w:rPr>
        <w:t xml:space="preserve">attract, train and retain effective officers, key employees or directors; </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color w:val="000000"/>
          <w:sz w:val="20"/>
        </w:rPr>
        <w:t xml:space="preserve">comply with laws and regulations applicable to its business; </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color w:val="000000"/>
          <w:sz w:val="20"/>
        </w:rPr>
        <w:t xml:space="preserve">stay abreast of modified or new laws and regulations applying to its business; </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color w:val="000000"/>
          <w:sz w:val="20"/>
        </w:rPr>
        <w:t xml:space="preserve">successfully defend litigation; </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color w:val="000000"/>
          <w:sz w:val="20"/>
        </w:rPr>
        <w:t xml:space="preserve">issue equity securities in connection with future transactions; </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color w:val="000000"/>
          <w:sz w:val="20"/>
        </w:rPr>
        <w:t xml:space="preserve">meet future liquidity requirements and, if applicable, comply with restrictive covenants related to long-term indebtedness; </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color w:val="000000"/>
          <w:sz w:val="20"/>
        </w:rPr>
        <w:t xml:space="preserve">timely and effectively remediate any material weaknesses in its internal control over financial reporting; </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color w:val="000000"/>
          <w:sz w:val="20"/>
        </w:rPr>
        <w:t xml:space="preserve">anticipate rapid technological changes; and </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color w:val="000000"/>
          <w:sz w:val="20"/>
        </w:rPr>
        <w:t xml:space="preserve">effectively respond to general economic and business conditions. </w:t>
      </w:r>
    </w:p>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Forward-looking statements made in this Quarterly Report on Form 10-Q also include, but are not limited to, statements with respect to:</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color w:val="000000"/>
          <w:sz w:val="20"/>
        </w:rPr>
        <w:t>the future performance of Symbotic’s business and operations;</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color w:val="000000"/>
          <w:sz w:val="20"/>
        </w:rPr>
        <w:t xml:space="preserve">expectations regarding revenues, expenses, adjusted EBITDA and anticipated cash needs; </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color w:val="000000"/>
          <w:sz w:val="20"/>
        </w:rPr>
        <w:t xml:space="preserve">expectations regarding cash flow, liquidity and sources of funding; </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color w:val="000000"/>
          <w:sz w:val="20"/>
        </w:rPr>
        <w:t xml:space="preserve">expectations regarding capital expenditures; </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color w:val="000000"/>
          <w:sz w:val="20"/>
        </w:rPr>
        <w:t>the anticipated benefits of Symbotic’s leadership structure;</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color w:val="000000"/>
          <w:sz w:val="20"/>
        </w:rPr>
        <w:t xml:space="preserve">the effects of pending and future legislation, regulation and trade practices, including tariffs; </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color w:val="000000"/>
          <w:sz w:val="20"/>
        </w:rPr>
        <w:t xml:space="preserve">business disruption; </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color w:val="000000"/>
          <w:sz w:val="20"/>
        </w:rPr>
        <w:t xml:space="preserve">disruption to the business due to Symbotic’s dependency on certain customers;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84785"/>
                <wp:effectExtent l="0" t="0" r="0" b="0"/>
                <wp:wrapNone/>
                <wp:docPr id="4" name="Frame4"/>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ii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ii</w:t>
                      </w:r>
                    </w:p>
                  </w:txbxContent>
                </v:textbox>
                <w10:wrap type="none"/>
              </v:rect>
            </w:pict>
          </mc:Fallback>
        </mc:AlternateContent>
      </w:r>
    </w:p>
    <w:p>
      <w:pPr>
        <w:pStyle w:val="TextBody"/>
        <w:bidi w:val="0"/>
        <w:spacing w:before="60" w:after="283"/>
        <w:ind w:left="0" w:right="0" w:firstLine="360"/>
        <w:jc w:val="left"/>
        <w:rPr/>
      </w:pPr>
      <w:r>
        <w:rPr/>
      </w:r>
    </w:p>
    <w:p>
      <w:pPr>
        <w:pStyle w:val="TextBody"/>
        <w:bidi w:val="0"/>
        <w:spacing w:lineRule="auto" w:line="288" w:before="60" w:after="283"/>
        <w:ind w:left="0" w:right="0" w:hanging="360"/>
        <w:jc w:val="left"/>
        <w:rPr/>
      </w:pPr>
      <w:r>
        <w:rPr>
          <w:color w:val="000000"/>
        </w:rPr>
        <w:t>•</w:t>
      </w:r>
      <w:r>
        <w:rPr>
          <w:rFonts w:ascii="Times New Roman;serif" w:hAnsi="Times New Roman;serif"/>
          <w:b w:val="false"/>
          <w:color w:val="000000"/>
          <w:sz w:val="20"/>
        </w:rPr>
        <w:t xml:space="preserve">increasing competition in the warehouse automation industry; </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color w:val="000000"/>
          <w:sz w:val="20"/>
        </w:rPr>
        <w:t xml:space="preserve">any delays in the design, production or launch of Symbotic’s systems and products; </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color w:val="000000"/>
          <w:sz w:val="20"/>
        </w:rPr>
        <w:t xml:space="preserve">the failure to meet customers’ requirements under existing or future contracts or customer’s expectations as to price or pricing structure; </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color w:val="000000"/>
          <w:sz w:val="20"/>
        </w:rPr>
        <w:t xml:space="preserve">any defects in new products or enhancements to existing products; </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color w:val="000000"/>
          <w:sz w:val="20"/>
        </w:rPr>
        <w:t xml:space="preserve">the fluctuation of operating results from period to period due to a number of factors, including the pace of customer adoption of Symbotic’s new products and services and any changes in its product mix that shift too far into lower gross margin products; and </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color w:val="000000"/>
          <w:sz w:val="20"/>
        </w:rPr>
        <w:t>any consequences associated with joint ventures and legislative and regulatory actions and reforms.</w:t>
      </w:r>
    </w:p>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Such forward-looking statements involve risks and uncertainties that may cause actual events, results or performance to differ materially from those indicated by such statements. Certain of these risks are identified and discussed in other sections of this Quarterly Report on Form 10-Q and in the Company’s Annual Report on Form 10-K filed with the U.S. Securities and Exchange Commission (“SEC”) on December 4, 2024. These risk factors will be important to consider in determining future results and should be reviewed in their entirety. These forward-looking statements are expressed in good faith, and the Company believes there is a reasonable basis for them. However, there can be no assurance that the events, results or trends identified in these forward-looking statements will occur or be achieved. Forward-looking statements are provided for the purposes of assisting the reader in understanding the Company’s financial performance, financial position and cash flows as of and for periods ended on certain dates and to present information about management’s current expectations and plans relating to the future, and the reader is cautioned not to place undue reliance on these forward-looking statements because of their inherent uncertainty and to appreciate the limited purposes for which they are being used by management. While the Company believes that the assumptions and expectations reflected in the forward-looking statements are reasonable based on information currently available to management, there is no assurance that such assumptions and expectations will prove to have been correct. </w:t>
      </w:r>
    </w:p>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forward-looking statements made in this Quarterly Report on Form 10-Q relate only to events as of the date on which the statements are made and are based on the beliefs, estimates, expectations and opinions of management on that date. The Company is not under any obligation, and expressly disclaims any obligation, to update, alter or otherwise revise any forward-looking statements made in this Quarterly Report on Form 10-Q, whether as a result of new information, future events or otherwise, except as required by law. </w:t>
      </w:r>
    </w:p>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addition to factors previously disclosed in the Company’s Annual Report on Form 10-K filed with the SEC on December 4, 2024, and those identified elsewhere in this Quarterly Report on Form 10-Q, the following factors, among others, could cause actual results to differ materially from forward-looking statements or historical performance: failure to realize the benefits expected from adding to Symbotic’s base of outsourcing partners and the effects of pending and future legislation.</w:t>
      </w:r>
    </w:p>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Annualized and estimated numbers are not forecasts and may not reflect actual results.</w:t>
      </w:r>
    </w:p>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In this Quarterly Report on Form 10-Q, the terms “Symbotic,” “we,” “us,” and “our” refer to Symbotic Inc. and its subsidiaries, unless the context indicates otherwise. </w:t>
      </w:r>
    </w:p>
    <w:p>
      <w:pPr>
        <w:pStyle w:val="TextBody"/>
        <w:bidi w:val="0"/>
        <w:spacing w:before="60" w:after="283"/>
        <w:ind w:left="0" w:right="0" w:firstLine="360"/>
        <w:jc w:val="left"/>
        <w:rPr/>
      </w:pPr>
      <w:r>
        <w:rPr/>
      </w:r>
    </w:p>
    <w:p>
      <w:pPr>
        <w:pStyle w:val="TextBody"/>
        <w:bidi w:val="0"/>
        <w:spacing w:before="60" w:after="283"/>
        <w:ind w:left="0" w:right="0" w:firstLine="360"/>
        <w:jc w:val="left"/>
        <w:rPr/>
      </w:pPr>
      <w:r>
        <w:rPr/>
      </w:r>
    </w:p>
    <w:p>
      <w:pPr>
        <w:pStyle w:val="TextBody"/>
        <w:bidi w:val="0"/>
        <w:spacing w:before="60" w:after="283"/>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84785"/>
                <wp:effectExtent l="0" t="0" r="0" b="0"/>
                <wp:wrapNone/>
                <wp:docPr id="5" name="Frame5"/>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iii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iii</w:t>
                      </w:r>
                    </w:p>
                  </w:txbxContent>
                </v:textbox>
                <w10:wrap type="none"/>
              </v:rect>
            </w:pict>
          </mc:Fallback>
        </mc:AlternateContent>
      </w:r>
    </w:p>
    <w:p>
      <w:pPr>
        <w:pStyle w:val="TextBody"/>
        <w:bidi w:val="0"/>
        <w:spacing w:lineRule="auto" w:line="288" w:before="60" w:after="283"/>
        <w:ind w:left="0" w:right="0" w:firstLine="360"/>
        <w:jc w:val="left"/>
        <w:rPr/>
      </w:pPr>
      <w:hyperlink w:anchor="i123540df82f04e0eb97811cc101df5ff_7">
        <w:r>
          <w:rPr>
            <w:rStyle w:val="InternetLink"/>
            <w:rFonts w:ascii="Times New Roman;serif" w:hAnsi="Times New Roman;serif"/>
            <w:b w:val="false"/>
            <w:color w:val="0000FF"/>
            <w:sz w:val="20"/>
            <w:u w:val="single"/>
          </w:rPr>
          <w:t>Table of Contents</w:t>
        </w:r>
      </w:hyperlink>
    </w:p>
    <w:p>
      <w:pPr>
        <w:pStyle w:val="TextBody"/>
        <w:bidi w:val="0"/>
        <w:spacing w:before="60" w:after="283"/>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60" w:after="283"/>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60" w:after="283"/>
        <w:ind w:left="0" w:right="0" w:firstLine="360"/>
        <w:jc w:val="center"/>
        <w:rPr>
          <w:rFonts w:ascii="Times New Roman;serif" w:hAnsi="Times New Roman;serif"/>
          <w:b/>
          <w:color w:val="000000"/>
          <w:sz w:val="20"/>
        </w:rPr>
      </w:pPr>
      <w:r>
        <w:rPr>
          <w:rFonts w:ascii="Times New Roman;serif" w:hAnsi="Times New Roman;serif"/>
          <w:b/>
          <w:color w:val="000000"/>
          <w:sz w:val="20"/>
        </w:rPr>
        <w:t>PART I - FINANCIAL INFORMATION</w:t>
      </w:r>
    </w:p>
    <w:p>
      <w:pPr>
        <w:pStyle w:val="TextBody"/>
        <w:bidi w:val="0"/>
        <w:spacing w:lineRule="auto" w:line="288" w:before="60" w:after="120"/>
        <w:jc w:val="both"/>
        <w:rPr>
          <w:rFonts w:ascii="Times New Roman;serif" w:hAnsi="Times New Roman;serif"/>
          <w:b/>
          <w:color w:val="000000"/>
          <w:sz w:val="20"/>
        </w:rPr>
      </w:pPr>
      <w:r>
        <w:rPr>
          <w:rFonts w:ascii="Times New Roman;serif" w:hAnsi="Times New Roman;serif"/>
          <w:b/>
          <w:color w:val="000000"/>
          <w:sz w:val="20"/>
        </w:rPr>
        <w:t>Item 1. Unaudited Condensed Consolidated Financial Statements</w:t>
      </w:r>
    </w:p>
    <w:p>
      <w:pPr>
        <w:pStyle w:val="TextBody"/>
        <w:bidi w:val="0"/>
        <w:spacing w:before="60" w:after="283"/>
        <w:ind w:left="0" w:right="0" w:firstLine="360"/>
        <w:jc w:val="left"/>
        <w:rPr/>
      </w:pPr>
      <w:r>
        <w:rPr/>
      </w:r>
    </w:p>
    <w:p>
      <w:pPr>
        <w:pStyle w:val="TextBody"/>
        <w:bidi w:val="0"/>
        <w:spacing w:lineRule="auto" w:line="288" w:before="60" w:after="283"/>
        <w:ind w:left="0" w:right="0" w:firstLine="360"/>
        <w:jc w:val="center"/>
        <w:rPr>
          <w:rFonts w:ascii="Times New Roman;serif" w:hAnsi="Times New Roman;serif"/>
          <w:b/>
          <w:color w:val="000000"/>
          <w:sz w:val="20"/>
        </w:rPr>
      </w:pPr>
      <w:r>
        <w:rPr>
          <w:rFonts w:ascii="Times New Roman;serif" w:hAnsi="Times New Roman;serif"/>
          <w:b/>
          <w:color w:val="000000"/>
          <w:sz w:val="20"/>
        </w:rPr>
        <w:t xml:space="preserve">Symbotic Inc. </w:t>
      </w:r>
    </w:p>
    <w:p>
      <w:pPr>
        <w:pStyle w:val="TextBody"/>
        <w:bidi w:val="0"/>
        <w:spacing w:lineRule="auto" w:line="288" w:before="60" w:after="283"/>
        <w:ind w:left="0" w:right="0" w:firstLine="360"/>
        <w:jc w:val="center"/>
        <w:rPr>
          <w:rFonts w:ascii="Times New Roman;serif" w:hAnsi="Times New Roman;serif"/>
          <w:b/>
          <w:color w:val="000000"/>
          <w:sz w:val="20"/>
        </w:rPr>
      </w:pPr>
      <w:r>
        <w:rPr>
          <w:rFonts w:ascii="Times New Roman;serif" w:hAnsi="Times New Roman;serif"/>
          <w:b/>
          <w:color w:val="000000"/>
          <w:sz w:val="20"/>
        </w:rPr>
        <w:t>Unaudited Condensed Consolidated Balance Sheets</w:t>
      </w:r>
    </w:p>
    <w:p>
      <w:pPr>
        <w:pStyle w:val="TextBody"/>
        <w:bidi w:val="0"/>
        <w:spacing w:lineRule="auto" w:line="288" w:before="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(in thousands, except share data)</w:t>
      </w:r>
    </w:p>
    <w:tbl>
      <w:tblPr>
        <w:tblW w:w="10205" w:type="dxa"/>
        <w:jc w:val="left"/>
        <w:tblInd w:w="0" w:type="dxa"/>
        <w:tblLayout w:type="fixed"/>
        <w:tblCellMar>
          <w:top w:w="28" w:type="dxa"/>
          <w:left w:w="28" w:type="dxa"/>
          <w:bottom w:w="28" w:type="dxa"/>
          <w:right w:w="28" w:type="dxa"/>
        </w:tblCellMar>
      </w:tblPr>
      <w:tblGrid>
        <w:gridCol w:w="2686"/>
        <w:gridCol w:w="2234"/>
        <w:gridCol w:w="2181"/>
        <w:gridCol w:w="211"/>
        <w:gridCol w:w="976"/>
        <w:gridCol w:w="109"/>
        <w:gridCol w:w="109"/>
        <w:gridCol w:w="109"/>
        <w:gridCol w:w="109"/>
        <w:gridCol w:w="232"/>
        <w:gridCol w:w="1077"/>
        <w:gridCol w:w="172"/>
      </w:tblGrid>
      <w:tr>
        <w:trPr/>
        <w:tc>
          <w:tcPr>
            <w:tcW w:w="2686" w:type="dxa"/>
            <w:tcBorders/>
            <w:vAlign w:val="center"/>
          </w:tcPr>
          <w:p>
            <w:pPr>
              <w:pStyle w:val="TableContents"/>
              <w:bidi w:val="0"/>
              <w:spacing w:before="0" w:after="283"/>
              <w:jc w:val="left"/>
              <w:rPr>
                <w:sz w:val="4"/>
                <w:szCs w:val="4"/>
              </w:rPr>
            </w:pPr>
            <w:r>
              <w:rPr>
                <w:sz w:val="4"/>
                <w:szCs w:val="4"/>
              </w:rPr>
            </w:r>
          </w:p>
        </w:tc>
        <w:tc>
          <w:tcPr>
            <w:tcW w:w="2234" w:type="dxa"/>
            <w:tcBorders/>
            <w:vAlign w:val="center"/>
          </w:tcPr>
          <w:p>
            <w:pPr>
              <w:pStyle w:val="TableContents"/>
              <w:bidi w:val="0"/>
              <w:spacing w:before="0" w:after="283"/>
              <w:jc w:val="left"/>
              <w:rPr>
                <w:sz w:val="4"/>
                <w:szCs w:val="4"/>
              </w:rPr>
            </w:pPr>
            <w:r>
              <w:rPr>
                <w:sz w:val="4"/>
                <w:szCs w:val="4"/>
              </w:rPr>
            </w:r>
          </w:p>
        </w:tc>
        <w:tc>
          <w:tcPr>
            <w:tcW w:w="21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077"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71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300" w:before="0" w:after="283"/>
              <w:jc w:val="center"/>
              <w:rPr>
                <w:rFonts w:ascii="Times New Roman;serif" w:hAnsi="Times New Roman;serif"/>
                <w:b/>
                <w:color w:val="000000"/>
                <w:sz w:val="18"/>
              </w:rPr>
            </w:pPr>
            <w:r>
              <w:rPr>
                <w:rFonts w:ascii="Times New Roman;serif" w:hAnsi="Times New Roman;serif"/>
                <w:b/>
                <w:color w:val="000000"/>
                <w:sz w:val="18"/>
              </w:rPr>
              <w:t>June 28,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300" w:before="0" w:after="283"/>
              <w:jc w:val="center"/>
              <w:rPr>
                <w:rFonts w:ascii="Times New Roman;serif" w:hAnsi="Times New Roman;serif"/>
                <w:b/>
                <w:color w:val="000000"/>
                <w:sz w:val="18"/>
              </w:rPr>
            </w:pPr>
            <w:r>
              <w:rPr>
                <w:rFonts w:ascii="Times New Roman;serif" w:hAnsi="Times New Roman;serif"/>
                <w:b/>
                <w:color w:val="000000"/>
                <w:sz w:val="18"/>
              </w:rPr>
              <w:t>September 28, 2024</w:t>
            </w:r>
          </w:p>
        </w:tc>
      </w:tr>
      <w:tr>
        <w:trPr/>
        <w:tc>
          <w:tcPr>
            <w:tcW w:w="10205" w:type="dxa"/>
            <w:gridSpan w:val="12"/>
            <w:tcBorders/>
            <w:tcMar>
              <w:top w:w="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20"/>
              </w:rPr>
            </w:pPr>
            <w:r>
              <w:rPr>
                <w:rFonts w:ascii="Times New Roman;serif" w:hAnsi="Times New Roman;serif"/>
                <w:b/>
                <w:color w:val="000000"/>
                <w:sz w:val="20"/>
              </w:rPr>
              <w:t>ASSETS</w:t>
            </w:r>
          </w:p>
        </w:tc>
      </w:tr>
      <w:tr>
        <w:trPr/>
        <w:tc>
          <w:tcPr>
            <w:tcW w:w="7101"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1"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777,576 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7"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727,310 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1"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136,237 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201,548 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1"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Unbilled accounts receivable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236,433 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218,233 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1"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138,901 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106,136 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1"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expenses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35,545 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1,058 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1"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101,516 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101,252 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1"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1,426,208 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1,355,537 </w:t>
            </w:r>
          </w:p>
        </w:tc>
        <w:tc>
          <w:tcPr>
            <w:tcW w:w="17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1"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73,013 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97,109 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1"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 net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82,921 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3,664 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1"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60,534 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1"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Equity method investment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105,551 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81,289 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1"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79,184 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40,953 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1"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1,827,411 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1,578,552 </w:t>
            </w:r>
          </w:p>
        </w:tc>
        <w:tc>
          <w:tcPr>
            <w:tcW w:w="1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2"/>
            <w:tcBorders/>
            <w:shd w:fill="CCEEFF" w:val="clear"/>
            <w:tcMar>
              <w:top w:w="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20"/>
              </w:rPr>
            </w:pPr>
            <w:r>
              <w:rPr>
                <w:rFonts w:ascii="Times New Roman;serif" w:hAnsi="Times New Roman;serif"/>
                <w:b/>
                <w:color w:val="000000"/>
                <w:sz w:val="20"/>
              </w:rPr>
              <w:t>LIABILITIES AND EQUITY</w:t>
            </w:r>
          </w:p>
        </w:tc>
      </w:tr>
      <w:tr>
        <w:trPr/>
        <w:tc>
          <w:tcPr>
            <w:tcW w:w="7101"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1"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211"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215,624 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7"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175,188 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1"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 and other current liabilities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183,690 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165,644 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1"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918,097 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676,314 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1"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1,317,411 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1,017,146 </w:t>
            </w:r>
          </w:p>
        </w:tc>
        <w:tc>
          <w:tcPr>
            <w:tcW w:w="17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1"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5,044 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129,233 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1"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61,544 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42,043 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1"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1,383,999 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1,188,422 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1"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Commitments and contingencies (Note 15)</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1"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Equity:</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1"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Class A Common Stock, 3,000,000,000 shares authorized, 110,252,933 and 104,689,377 shares issued and outstanding at June 28, 2025 and September 28, 2024, respectively</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1"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Class V-1 Common Stock, 1,000,000,000 shares authorized, 76,015,171 and 76,965,386 shares issued and outstanding at June 28, 2025 and September 28, 2024, respectively</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84785"/>
                <wp:effectExtent l="0" t="0" r="0" b="0"/>
                <wp:wrapNone/>
                <wp:docPr id="6" name="Frame6"/>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88" w:before="60" w:after="283"/>
        <w:ind w:left="0" w:right="0" w:firstLine="360"/>
        <w:jc w:val="left"/>
        <w:rPr/>
      </w:pPr>
      <w:hyperlink w:anchor="i123540df82f04e0eb97811cc101df5ff_7">
        <w:r>
          <w:rPr>
            <w:rStyle w:val="InternetLink"/>
            <w:rFonts w:ascii="Times New Roman;serif" w:hAnsi="Times New Roman;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2702"/>
        <w:gridCol w:w="2266"/>
        <w:gridCol w:w="2272"/>
        <w:gridCol w:w="211"/>
        <w:gridCol w:w="976"/>
        <w:gridCol w:w="109"/>
        <w:gridCol w:w="109"/>
        <w:gridCol w:w="109"/>
        <w:gridCol w:w="109"/>
        <w:gridCol w:w="211"/>
        <w:gridCol w:w="976"/>
        <w:gridCol w:w="155"/>
      </w:tblGrid>
      <w:tr>
        <w:trPr/>
        <w:tc>
          <w:tcPr>
            <w:tcW w:w="2702" w:type="dxa"/>
            <w:tcBorders/>
            <w:vAlign w:val="center"/>
          </w:tcPr>
          <w:p>
            <w:pPr>
              <w:pStyle w:val="TableContents"/>
              <w:bidi w:val="0"/>
              <w:spacing w:before="0" w:after="283"/>
              <w:jc w:val="left"/>
              <w:rPr>
                <w:sz w:val="4"/>
                <w:szCs w:val="4"/>
              </w:rPr>
            </w:pPr>
            <w:r>
              <w:rPr>
                <w:sz w:val="4"/>
                <w:szCs w:val="4"/>
              </w:rPr>
            </w:r>
          </w:p>
        </w:tc>
        <w:tc>
          <w:tcPr>
            <w:tcW w:w="2266" w:type="dxa"/>
            <w:tcBorders/>
            <w:vAlign w:val="center"/>
          </w:tcPr>
          <w:p>
            <w:pPr>
              <w:pStyle w:val="TableContents"/>
              <w:bidi w:val="0"/>
              <w:spacing w:before="0" w:after="283"/>
              <w:jc w:val="left"/>
              <w:rPr>
                <w:sz w:val="4"/>
                <w:szCs w:val="4"/>
              </w:rPr>
            </w:pPr>
            <w:r>
              <w:rPr>
                <w:sz w:val="4"/>
                <w:szCs w:val="4"/>
              </w:rPr>
            </w:r>
          </w:p>
        </w:tc>
        <w:tc>
          <w:tcPr>
            <w:tcW w:w="227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Class V-3 Common Stock, 450,000,000 shares authorized, 403,559,196 and 404,309,196 shares issued and outstanding at June 28, 2025 and September 28, 2024, respectively</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1,550,610 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1,523,692 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deficit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(1,337,239)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(1,323,925)</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loss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(2,678)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(2,594)</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stockholders’ equity</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210,753 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197,233 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Noncontrolling interest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232,659 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192,897 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Total equity</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443,412 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390,130 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and equity</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1,827,411 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1,578,552 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60" w:after="283"/>
        <w:ind w:left="0" w:right="0" w:firstLine="360"/>
        <w:jc w:val="center"/>
        <w:rPr/>
      </w:pPr>
      <w:r>
        <w:rPr>
          <w:rFonts w:ascii="Times New Roman;serif" w:hAnsi="Times New Roman;serif"/>
          <w:b w:val="false"/>
          <w:color w:val="000000"/>
          <w:sz w:val="20"/>
        </w:rPr>
        <w:t>The accompanying notes are an integral part of these unaudited condensed consolidated financial statements.</w:t>
      </w:r>
      <w:r>
        <w:rPr>
          <w:color w:val="000000"/>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84785"/>
                <wp:effectExtent l="0" t="0" r="0" b="0"/>
                <wp:wrapNone/>
                <wp:docPr id="7" name="Frame7"/>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60" w:after="283"/>
        <w:ind w:left="0" w:right="0" w:firstLine="360"/>
        <w:jc w:val="left"/>
        <w:rPr/>
      </w:pPr>
      <w:hyperlink w:anchor="i123540df82f04e0eb97811cc101df5ff_7">
        <w:r>
          <w:rPr>
            <w:rStyle w:val="InternetLink"/>
            <w:rFonts w:ascii="Times New Roman;serif" w:hAnsi="Times New Roman;serif"/>
            <w:b w:val="false"/>
            <w:color w:val="0000FF"/>
            <w:sz w:val="20"/>
            <w:u w:val="single"/>
          </w:rPr>
          <w:t>Table of Contents</w:t>
        </w:r>
      </w:hyperlink>
    </w:p>
    <w:p>
      <w:pPr>
        <w:pStyle w:val="TextBody"/>
        <w:bidi w:val="0"/>
        <w:spacing w:lineRule="auto" w:line="288" w:before="60" w:after="283"/>
        <w:ind w:left="0" w:right="0" w:firstLine="360"/>
        <w:jc w:val="center"/>
        <w:rPr>
          <w:rFonts w:ascii="Times New Roman;serif" w:hAnsi="Times New Roman;serif"/>
          <w:b/>
          <w:color w:val="000000"/>
          <w:sz w:val="20"/>
        </w:rPr>
      </w:pPr>
      <w:r>
        <w:rPr>
          <w:rFonts w:ascii="Times New Roman;serif" w:hAnsi="Times New Roman;serif"/>
          <w:b/>
          <w:color w:val="000000"/>
          <w:sz w:val="20"/>
        </w:rPr>
        <w:t>Symbotic Inc.</w:t>
      </w:r>
    </w:p>
    <w:p>
      <w:pPr>
        <w:pStyle w:val="TextBody"/>
        <w:bidi w:val="0"/>
        <w:spacing w:lineRule="auto" w:line="288" w:before="60" w:after="283"/>
        <w:ind w:left="0" w:right="0" w:firstLine="360"/>
        <w:jc w:val="center"/>
        <w:rPr>
          <w:rFonts w:ascii="Times New Roman;serif" w:hAnsi="Times New Roman;serif"/>
          <w:b/>
          <w:color w:val="000000"/>
          <w:sz w:val="20"/>
        </w:rPr>
      </w:pPr>
      <w:r>
        <w:rPr>
          <w:rFonts w:ascii="Times New Roman;serif" w:hAnsi="Times New Roman;serif"/>
          <w:b/>
          <w:color w:val="000000"/>
          <w:sz w:val="20"/>
        </w:rPr>
        <w:t>Unaudited Condensed Consolidated Statements of Operations</w:t>
      </w:r>
    </w:p>
    <w:p>
      <w:pPr>
        <w:pStyle w:val="TextBody"/>
        <w:bidi w:val="0"/>
        <w:spacing w:lineRule="auto" w:line="288" w:before="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(in thousands, except share and per share information)</w:t>
      </w:r>
    </w:p>
    <w:p>
      <w:pPr>
        <w:pStyle w:val="TextBody"/>
        <w:bidi w:val="0"/>
        <w:spacing w:before="60" w:after="283"/>
        <w:ind w:left="0" w:right="0" w:firstLine="360"/>
        <w:jc w:val="center"/>
        <w:rPr/>
      </w:pPr>
      <w:r>
        <w:rPr/>
      </w:r>
    </w:p>
    <w:p>
      <w:pPr>
        <w:pStyle w:val="TextBody"/>
        <w:bidi w:val="0"/>
        <w:spacing w:before="60" w:after="283"/>
        <w:ind w:left="0" w:right="0" w:firstLine="360"/>
        <w:jc w:val="left"/>
        <w:rPr/>
      </w:pPr>
      <w:r>
        <w:rPr/>
      </w:r>
    </w:p>
    <w:tbl>
      <w:tblPr>
        <w:tblW w:w="10205" w:type="dxa"/>
        <w:jc w:val="left"/>
        <w:tblInd w:w="0" w:type="dxa"/>
        <w:tblLayout w:type="fixed"/>
        <w:tblCellMar>
          <w:top w:w="28" w:type="dxa"/>
          <w:left w:w="28" w:type="dxa"/>
          <w:bottom w:w="28" w:type="dxa"/>
          <w:right w:w="28" w:type="dxa"/>
        </w:tblCellMar>
      </w:tblPr>
      <w:tblGrid>
        <w:gridCol w:w="1555"/>
        <w:gridCol w:w="1216"/>
        <w:gridCol w:w="1225"/>
        <w:gridCol w:w="241"/>
        <w:gridCol w:w="945"/>
        <w:gridCol w:w="109"/>
        <w:gridCol w:w="109"/>
        <w:gridCol w:w="109"/>
        <w:gridCol w:w="109"/>
        <w:gridCol w:w="241"/>
        <w:gridCol w:w="945"/>
        <w:gridCol w:w="109"/>
        <w:gridCol w:w="109"/>
        <w:gridCol w:w="109"/>
        <w:gridCol w:w="109"/>
        <w:gridCol w:w="211"/>
        <w:gridCol w:w="976"/>
        <w:gridCol w:w="109"/>
        <w:gridCol w:w="109"/>
        <w:gridCol w:w="109"/>
        <w:gridCol w:w="109"/>
        <w:gridCol w:w="211"/>
        <w:gridCol w:w="976"/>
        <w:gridCol w:w="155"/>
      </w:tblGrid>
      <w:tr>
        <w:trPr/>
        <w:tc>
          <w:tcPr>
            <w:tcW w:w="1555"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225"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7" w:type="dxa"/>
            <w:gridSpan w:val="9"/>
            <w:tcBorders/>
            <w:shd w:fill="FFFFFF" w:val="clear"/>
            <w:tcMar>
              <w:top w:w="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8"/>
              </w:rPr>
            </w:pPr>
            <w:r>
              <w:rPr>
                <w:rFonts w:ascii="Times New Roman;serif" w:hAnsi="Times New Roman;serif"/>
                <w:b/>
                <w:color w:val="000000"/>
                <w:sz w:val="18"/>
              </w:rPr>
              <w:t>For the 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5" w:type="dxa"/>
            <w:gridSpan w:val="9"/>
            <w:tcBorders/>
            <w:tcMar>
              <w:top w:w="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8"/>
              </w:rPr>
            </w:pPr>
            <w:r>
              <w:rPr>
                <w:rFonts w:ascii="Times New Roman;serif" w:hAnsi="Times New Roman;serif"/>
                <w:b/>
                <w:color w:val="000000"/>
                <w:sz w:val="18"/>
              </w:rPr>
              <w:t>For the Nine Months Ended</w:t>
            </w:r>
          </w:p>
        </w:tc>
      </w:tr>
      <w:tr>
        <w:trPr/>
        <w:tc>
          <w:tcPr>
            <w:tcW w:w="3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8"/>
              </w:rPr>
            </w:pPr>
            <w:r>
              <w:rPr>
                <w:rFonts w:ascii="Times New Roman;serif" w:hAnsi="Times New Roman;serif"/>
                <w:b/>
                <w:color w:val="000000"/>
                <w:sz w:val="18"/>
              </w:rPr>
              <w:t>June 28, 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8"/>
              </w:rPr>
            </w:pPr>
            <w:r>
              <w:rPr>
                <w:rFonts w:ascii="Times New Roman;serif" w:hAnsi="Times New Roman;serif"/>
                <w:b/>
                <w:color w:val="000000"/>
                <w:sz w:val="18"/>
              </w:rPr>
              <w:t>June 29,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8"/>
              </w:rPr>
            </w:pPr>
            <w:r>
              <w:rPr>
                <w:rFonts w:ascii="Times New Roman;serif" w:hAnsi="Times New Roman;serif"/>
                <w:b/>
                <w:color w:val="000000"/>
                <w:sz w:val="18"/>
              </w:rPr>
              <w:t>June 28,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8"/>
              </w:rPr>
            </w:pPr>
            <w:r>
              <w:rPr>
                <w:rFonts w:ascii="Times New Roman;serif" w:hAnsi="Times New Roman;serif"/>
                <w:b/>
                <w:color w:val="000000"/>
                <w:sz w:val="18"/>
              </w:rPr>
              <w:t>June 29, 2024</w:t>
            </w:r>
          </w:p>
        </w:tc>
      </w:tr>
      <w:tr>
        <w:trPr/>
        <w:tc>
          <w:tcPr>
            <w:tcW w:w="3996"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i/>
                <w:color w:val="000000"/>
                <w:sz w:val="20"/>
              </w:rPr>
            </w:pPr>
            <w:r>
              <w:rPr>
                <w:rFonts w:ascii="Times New Roman;serif" w:hAnsi="Times New Roman;serif"/>
                <w:b w:val="false"/>
                <w:i/>
                <w:color w:val="000000"/>
                <w:sz w:val="20"/>
              </w:rPr>
              <w:t>Revenue:</w:t>
            </w:r>
          </w:p>
        </w:tc>
        <w:tc>
          <w:tcPr>
            <w:tcW w:w="12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6"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Systems</w:t>
            </w:r>
          </w:p>
        </w:tc>
        <w:tc>
          <w:tcPr>
            <w:tcW w:w="241"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559,108 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450,595 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1,536,539 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1,168,993 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6"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Software maintenance and support</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8,121 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3,545 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20,331 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8,280 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6"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Operation services</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24,892 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16,198 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71,595 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46,340 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6"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592,121 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470,338 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1,628,465 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1,223,613 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6"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i/>
                <w:color w:val="000000"/>
                <w:sz w:val="20"/>
              </w:rPr>
            </w:pPr>
            <w:r>
              <w:rPr>
                <w:rFonts w:ascii="Times New Roman;serif" w:hAnsi="Times New Roman;serif"/>
                <w:b w:val="false"/>
                <w:i/>
                <w:color w:val="000000"/>
                <w:sz w:val="20"/>
              </w:rPr>
              <w:t>Cost of revenue:</w:t>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6"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Systems</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457,911 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398,761 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1,254,289 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1,024,832 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6"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Software maintenance and support</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1,756 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2,539 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5,735 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6,201 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6"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Operation services</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24,832 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14,065 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72,952 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43,331 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6"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cost of revenue</w:t>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484,499 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415,365 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1,332,976 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1,074,364 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6"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107,622 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54,973 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295,489 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149,249 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6"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i/>
                <w:color w:val="000000"/>
                <w:sz w:val="20"/>
              </w:rPr>
            </w:pPr>
            <w:r>
              <w:rPr>
                <w:rFonts w:ascii="Times New Roman;serif" w:hAnsi="Times New Roman;serif"/>
                <w:b w:val="false"/>
                <w:i/>
                <w:color w:val="000000"/>
                <w:sz w:val="20"/>
              </w:rPr>
              <w:t>Operating expenses:</w:t>
            </w:r>
          </w:p>
        </w:tc>
        <w:tc>
          <w:tcPr>
            <w:tcW w:w="129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6"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 expenses</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52,147 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44,722 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157,279 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133,327 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6"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75,670 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47,871 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215,092 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143,535 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6"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charges</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16,361 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16,361 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6"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144,178 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92,593 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388,732 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276,862 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6"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loss</w:t>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(36,556)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(37,620)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(93,243)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(127,613)</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6"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8,451 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11,615 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27,987 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27,626 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6"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Loss before income tax and equity method investment</w:t>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(28,105)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(26,005)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(65,256)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(99,987)</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6"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benefit (expense)</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(182)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1,204 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(102)</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6"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equity method investment</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(3,776)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(537)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(7,831)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(537)</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6"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(31,925)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(26,724)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(71,883)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(100,626)</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6"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attributable to noncontrolling interests</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(26,012)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(22,043)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(58,569)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(84,300)</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6"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attributable to common stockholders</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(5,913)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(4,681)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(13,314)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(16,326)</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6"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Loss per share of Class A Common Stock:</w:t>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6"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Basic and Diluted</w:t>
            </w:r>
          </w:p>
        </w:tc>
        <w:tc>
          <w:tcPr>
            <w:tcW w:w="241"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(0.05)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(0.05)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(0.12)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(0.18)</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6"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shares of Class A Common Stock outstanding:</w:t>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6"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Basic and Diluted</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109,201,745 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102,414,284 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107,664,864 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92,891,276 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60" w:after="283"/>
        <w:ind w:left="0" w:right="0" w:firstLine="360"/>
        <w:jc w:val="center"/>
        <w:rPr/>
      </w:pPr>
      <w:r>
        <w:rPr>
          <w:rFonts w:ascii="Times New Roman;serif" w:hAnsi="Times New Roman;serif"/>
          <w:b w:val="false"/>
          <w:color w:val="000000"/>
          <w:sz w:val="20"/>
        </w:rPr>
        <w:t>The accompanying notes are an integral part of these unaudited condensed consolidated financial statements.</w:t>
      </w:r>
      <w:r>
        <w:rPr>
          <w:color w:val="000000"/>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84785"/>
                <wp:effectExtent l="0" t="0" r="0" b="0"/>
                <wp:wrapNone/>
                <wp:docPr id="8" name="Frame8"/>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60" w:after="283"/>
        <w:ind w:left="0" w:right="0" w:firstLine="360"/>
        <w:jc w:val="left"/>
        <w:rPr/>
      </w:pPr>
      <w:hyperlink w:anchor="i123540df82f04e0eb97811cc101df5ff_7">
        <w:r>
          <w:rPr>
            <w:rStyle w:val="InternetLink"/>
            <w:rFonts w:ascii="Times New Roman;serif" w:hAnsi="Times New Roman;serif"/>
            <w:b w:val="false"/>
            <w:color w:val="0000FF"/>
            <w:sz w:val="20"/>
            <w:u w:val="single"/>
          </w:rPr>
          <w:t>Table of Contents</w:t>
        </w:r>
      </w:hyperlink>
    </w:p>
    <w:p>
      <w:pPr>
        <w:pStyle w:val="TextBody"/>
        <w:bidi w:val="0"/>
        <w:spacing w:lineRule="auto" w:line="288" w:before="60" w:after="283"/>
        <w:ind w:left="0" w:right="0" w:firstLine="360"/>
        <w:jc w:val="center"/>
        <w:rPr>
          <w:rFonts w:ascii="Times New Roman;serif" w:hAnsi="Times New Roman;serif"/>
          <w:b/>
          <w:color w:val="000000"/>
          <w:sz w:val="20"/>
        </w:rPr>
      </w:pPr>
      <w:r>
        <w:rPr>
          <w:rFonts w:ascii="Times New Roman;serif" w:hAnsi="Times New Roman;serif"/>
          <w:b/>
          <w:color w:val="000000"/>
          <w:sz w:val="20"/>
        </w:rPr>
        <w:t>Symbotic Inc.</w:t>
      </w:r>
    </w:p>
    <w:p>
      <w:pPr>
        <w:pStyle w:val="TextBody"/>
        <w:bidi w:val="0"/>
        <w:spacing w:lineRule="auto" w:line="288" w:before="60" w:after="283"/>
        <w:ind w:left="0" w:right="0" w:firstLine="360"/>
        <w:jc w:val="center"/>
        <w:rPr>
          <w:rFonts w:ascii="Times New Roman;serif" w:hAnsi="Times New Roman;serif"/>
          <w:b/>
          <w:color w:val="000000"/>
          <w:sz w:val="20"/>
        </w:rPr>
      </w:pPr>
      <w:r>
        <w:rPr>
          <w:rFonts w:ascii="Times New Roman;serif" w:hAnsi="Times New Roman;serif"/>
          <w:b/>
          <w:color w:val="000000"/>
          <w:sz w:val="20"/>
        </w:rPr>
        <w:t>Unaudited Condensed Consolidated Statements of Comprehensive Loss</w:t>
      </w:r>
    </w:p>
    <w:p>
      <w:pPr>
        <w:pStyle w:val="TextBody"/>
        <w:bidi w:val="0"/>
        <w:spacing w:lineRule="auto" w:line="288" w:before="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(in thousands)</w:t>
      </w:r>
    </w:p>
    <w:p>
      <w:pPr>
        <w:pStyle w:val="TextBody"/>
        <w:bidi w:val="0"/>
        <w:spacing w:before="60" w:after="283"/>
        <w:ind w:left="0" w:right="0" w:firstLine="360"/>
        <w:jc w:val="left"/>
        <w:rPr/>
      </w:pPr>
      <w:r>
        <w:rPr/>
      </w:r>
    </w:p>
    <w:tbl>
      <w:tblPr>
        <w:tblW w:w="10205" w:type="dxa"/>
        <w:jc w:val="left"/>
        <w:tblInd w:w="0" w:type="dxa"/>
        <w:tblLayout w:type="fixed"/>
        <w:tblCellMar>
          <w:top w:w="28" w:type="dxa"/>
          <w:left w:w="28" w:type="dxa"/>
          <w:bottom w:w="28" w:type="dxa"/>
          <w:right w:w="28" w:type="dxa"/>
        </w:tblCellMar>
      </w:tblPr>
      <w:tblGrid>
        <w:gridCol w:w="1732"/>
        <w:gridCol w:w="1486"/>
        <w:gridCol w:w="1514"/>
        <w:gridCol w:w="213"/>
        <w:gridCol w:w="765"/>
        <w:gridCol w:w="109"/>
        <w:gridCol w:w="109"/>
        <w:gridCol w:w="109"/>
        <w:gridCol w:w="109"/>
        <w:gridCol w:w="213"/>
        <w:gridCol w:w="765"/>
        <w:gridCol w:w="109"/>
        <w:gridCol w:w="109"/>
        <w:gridCol w:w="109"/>
        <w:gridCol w:w="109"/>
        <w:gridCol w:w="213"/>
        <w:gridCol w:w="765"/>
        <w:gridCol w:w="109"/>
        <w:gridCol w:w="109"/>
        <w:gridCol w:w="109"/>
        <w:gridCol w:w="109"/>
        <w:gridCol w:w="211"/>
        <w:gridCol w:w="860"/>
        <w:gridCol w:w="160"/>
      </w:tblGrid>
      <w:tr>
        <w:trPr/>
        <w:tc>
          <w:tcPr>
            <w:tcW w:w="1732"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c>
          <w:tcPr>
            <w:tcW w:w="1514"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7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1" w:type="dxa"/>
            <w:gridSpan w:val="9"/>
            <w:tcBorders/>
            <w:shd w:fill="FFFFFF" w:val="clear"/>
            <w:tcMar>
              <w:top w:w="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8"/>
              </w:rPr>
            </w:pPr>
            <w:r>
              <w:rPr>
                <w:rFonts w:ascii="Times New Roman;serif" w:hAnsi="Times New Roman;serif"/>
                <w:b/>
                <w:color w:val="000000"/>
                <w:sz w:val="18"/>
              </w:rPr>
              <w:t>For the 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5" w:type="dxa"/>
            <w:gridSpan w:val="9"/>
            <w:tcBorders/>
            <w:tcMar>
              <w:top w:w="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8"/>
              </w:rPr>
            </w:pPr>
            <w:r>
              <w:rPr>
                <w:rFonts w:ascii="Times New Roman;serif" w:hAnsi="Times New Roman;serif"/>
                <w:b/>
                <w:color w:val="000000"/>
                <w:sz w:val="18"/>
              </w:rPr>
              <w:t>For the Nine Months Ended</w:t>
            </w:r>
          </w:p>
        </w:tc>
      </w:tr>
      <w:tr>
        <w:trPr/>
        <w:tc>
          <w:tcPr>
            <w:tcW w:w="47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8"/>
              </w:rPr>
            </w:pPr>
            <w:r>
              <w:rPr>
                <w:rFonts w:ascii="Times New Roman;serif" w:hAnsi="Times New Roman;serif"/>
                <w:b/>
                <w:color w:val="000000"/>
                <w:sz w:val="18"/>
              </w:rPr>
              <w:t>June 28, 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8"/>
              </w:rPr>
            </w:pPr>
            <w:r>
              <w:rPr>
                <w:rFonts w:ascii="Times New Roman;serif" w:hAnsi="Times New Roman;serif"/>
                <w:b/>
                <w:color w:val="000000"/>
                <w:sz w:val="18"/>
              </w:rPr>
              <w:t>June 29,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8"/>
              </w:rPr>
            </w:pPr>
            <w:r>
              <w:rPr>
                <w:rFonts w:ascii="Times New Roman;serif" w:hAnsi="Times New Roman;serif"/>
                <w:b/>
                <w:color w:val="000000"/>
                <w:sz w:val="18"/>
              </w:rPr>
              <w:t>June 28,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8"/>
              </w:rPr>
            </w:pPr>
            <w:r>
              <w:rPr>
                <w:rFonts w:ascii="Times New Roman;serif" w:hAnsi="Times New Roman;serif"/>
                <w:b/>
                <w:color w:val="000000"/>
                <w:sz w:val="18"/>
              </w:rPr>
              <w:t>June 29, 2024</w:t>
            </w:r>
          </w:p>
        </w:tc>
      </w:tr>
      <w:tr>
        <w:trPr/>
        <w:tc>
          <w:tcPr>
            <w:tcW w:w="4732"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(31,925)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(26,724)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(71,883)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(100,626)</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2"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Less: Net loss attributable to noncontrolling interests</w:t>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(26,012)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(22,043)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(58,569)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(84,300)</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2"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attributable to common stockholders</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(5,913)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(4,681)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(13,314)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(16,326)</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2"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loss:</w:t>
            </w:r>
          </w:p>
        </w:tc>
        <w:tc>
          <w:tcPr>
            <w:tcW w:w="108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2"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adjustments</w:t>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109 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(161)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(467)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(302)</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2"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Changes in unrealized gain on investments, net of income taxes of $— for the three and nine months ended June 28, 2025 and June 28, 2024</w:t>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(1,318)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(5,481)</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2"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comprehensive loss</w:t>
            </w:r>
          </w:p>
        </w:tc>
        <w:tc>
          <w:tcPr>
            <w:tcW w:w="9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109 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(1,479)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(467)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(5,783)</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2"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Less: other comprehensive loss attributable to noncontrolling interests</w:t>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(1,220)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(383)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(4,838)</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2"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loss attributable to common stockholders</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(259)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(84)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(945)</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2"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loss</w:t>
            </w:r>
          </w:p>
        </w:tc>
        <w:tc>
          <w:tcPr>
            <w:tcW w:w="97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(31,816)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(28,203)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(72,350)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(106,409)</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2"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Less: Comprehensive loss attributable to noncontrolling interests</w:t>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(25,923)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(23,263)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(58,952)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(89,138)</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2"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comprehensive loss attributable to common stockholders</w:t>
            </w:r>
          </w:p>
        </w:tc>
        <w:tc>
          <w:tcPr>
            <w:tcW w:w="2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(5,893)</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(4,940)</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(13,398)</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(17,271)</w:t>
            </w:r>
          </w:p>
        </w:tc>
        <w:tc>
          <w:tcPr>
            <w:tcW w:w="1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60" w:after="283"/>
        <w:ind w:left="0" w:right="0" w:firstLine="360"/>
        <w:jc w:val="center"/>
        <w:rPr/>
      </w:pPr>
      <w:r>
        <w:rPr>
          <w:rFonts w:ascii="Times New Roman;serif" w:hAnsi="Times New Roman;serif"/>
          <w:b w:val="false"/>
          <w:color w:val="000000"/>
          <w:sz w:val="20"/>
        </w:rPr>
        <w:t>The accompanying notes are an integral part of these unaudited condensed consolidated financial statements.</w:t>
      </w:r>
      <w:r>
        <w:rPr>
          <w:color w:val="000000"/>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84785"/>
                <wp:effectExtent l="0" t="0" r="0" b="0"/>
                <wp:wrapNone/>
                <wp:docPr id="9" name="Frame9"/>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60" w:after="283"/>
        <w:ind w:left="0" w:right="0" w:firstLine="360"/>
        <w:jc w:val="left"/>
        <w:rPr/>
      </w:pPr>
      <w:hyperlink w:anchor="i123540df82f04e0eb97811cc101df5ff_7">
        <w:r>
          <w:rPr>
            <w:rStyle w:val="InternetLink"/>
            <w:rFonts w:ascii="Times New Roman;serif" w:hAnsi="Times New Roman;serif"/>
            <w:b w:val="false"/>
            <w:color w:val="0000FF"/>
            <w:sz w:val="20"/>
            <w:u w:val="single"/>
          </w:rPr>
          <w:t>Table of Contents</w:t>
        </w:r>
      </w:hyperlink>
    </w:p>
    <w:p>
      <w:pPr>
        <w:pStyle w:val="TextBody"/>
        <w:bidi w:val="0"/>
        <w:spacing w:lineRule="auto" w:line="288" w:before="60" w:after="283"/>
        <w:ind w:left="0" w:right="0" w:firstLine="360"/>
        <w:jc w:val="center"/>
        <w:rPr>
          <w:rFonts w:ascii="Times New Roman;serif" w:hAnsi="Times New Roman;serif"/>
          <w:b/>
          <w:color w:val="000000"/>
          <w:sz w:val="20"/>
        </w:rPr>
      </w:pPr>
      <w:r>
        <w:rPr>
          <w:rFonts w:ascii="Times New Roman;serif" w:hAnsi="Times New Roman;serif"/>
          <w:b/>
          <w:color w:val="000000"/>
          <w:sz w:val="20"/>
        </w:rPr>
        <w:t>Symbotic Inc.</w:t>
      </w:r>
    </w:p>
    <w:p>
      <w:pPr>
        <w:pStyle w:val="TextBody"/>
        <w:bidi w:val="0"/>
        <w:spacing w:lineRule="auto" w:line="288" w:before="60" w:after="283"/>
        <w:ind w:left="0" w:right="0" w:firstLine="360"/>
        <w:jc w:val="center"/>
        <w:rPr>
          <w:rFonts w:ascii="Times New Roman;serif" w:hAnsi="Times New Roman;serif"/>
          <w:b/>
          <w:color w:val="000000"/>
          <w:sz w:val="20"/>
        </w:rPr>
      </w:pPr>
      <w:r>
        <w:rPr>
          <w:rFonts w:ascii="Times New Roman;serif" w:hAnsi="Times New Roman;serif"/>
          <w:b/>
          <w:color w:val="000000"/>
          <w:sz w:val="20"/>
        </w:rPr>
        <w:t>Unaudited Condensed Consolidated Statements of Changes in Equity (Deficit)</w:t>
      </w:r>
    </w:p>
    <w:p>
      <w:pPr>
        <w:pStyle w:val="TextBody"/>
        <w:bidi w:val="0"/>
        <w:spacing w:lineRule="auto" w:line="288" w:before="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(in thousands, except share information)</w:t>
      </w:r>
    </w:p>
    <w:p>
      <w:pPr>
        <w:pStyle w:val="TextBody"/>
        <w:bidi w:val="0"/>
        <w:spacing w:before="60" w:after="283"/>
        <w:ind w:left="0" w:right="0" w:firstLine="360"/>
        <w:jc w:val="center"/>
        <w:rPr/>
      </w:pPr>
      <w:r>
        <w:rPr/>
      </w:r>
    </w:p>
    <w:tbl>
      <w:tblPr>
        <w:tblW w:w="15657" w:type="dxa"/>
        <w:jc w:val="left"/>
        <w:tblInd w:w="0" w:type="dxa"/>
        <w:tblLayout w:type="fixed"/>
        <w:tblCellMar>
          <w:top w:w="28" w:type="dxa"/>
          <w:left w:w="28" w:type="dxa"/>
          <w:bottom w:w="28" w:type="dxa"/>
          <w:right w:w="28" w:type="dxa"/>
        </w:tblCellMar>
      </w:tblPr>
      <w:tblGrid>
        <w:gridCol w:w="755"/>
        <w:gridCol w:w="215"/>
        <w:gridCol w:w="216"/>
        <w:gridCol w:w="334"/>
        <w:gridCol w:w="334"/>
        <w:gridCol w:w="338"/>
        <w:gridCol w:w="109"/>
        <w:gridCol w:w="109"/>
        <w:gridCol w:w="109"/>
        <w:gridCol w:w="296"/>
        <w:gridCol w:w="346"/>
        <w:gridCol w:w="109"/>
        <w:gridCol w:w="109"/>
        <w:gridCol w:w="109"/>
        <w:gridCol w:w="109"/>
        <w:gridCol w:w="304"/>
        <w:gridCol w:w="304"/>
        <w:gridCol w:w="308"/>
        <w:gridCol w:w="109"/>
        <w:gridCol w:w="109"/>
        <w:gridCol w:w="109"/>
        <w:gridCol w:w="343"/>
        <w:gridCol w:w="299"/>
        <w:gridCol w:w="109"/>
        <w:gridCol w:w="109"/>
        <w:gridCol w:w="109"/>
        <w:gridCol w:w="109"/>
        <w:gridCol w:w="334"/>
        <w:gridCol w:w="334"/>
        <w:gridCol w:w="338"/>
        <w:gridCol w:w="109"/>
        <w:gridCol w:w="109"/>
        <w:gridCol w:w="109"/>
        <w:gridCol w:w="311"/>
        <w:gridCol w:w="331"/>
        <w:gridCol w:w="109"/>
        <w:gridCol w:w="109"/>
        <w:gridCol w:w="109"/>
        <w:gridCol w:w="109"/>
        <w:gridCol w:w="196"/>
        <w:gridCol w:w="871"/>
        <w:gridCol w:w="109"/>
        <w:gridCol w:w="109"/>
        <w:gridCol w:w="109"/>
        <w:gridCol w:w="109"/>
        <w:gridCol w:w="292"/>
        <w:gridCol w:w="851"/>
        <w:gridCol w:w="163"/>
        <w:gridCol w:w="109"/>
        <w:gridCol w:w="109"/>
        <w:gridCol w:w="109"/>
        <w:gridCol w:w="196"/>
        <w:gridCol w:w="886"/>
        <w:gridCol w:w="109"/>
        <w:gridCol w:w="109"/>
        <w:gridCol w:w="109"/>
        <w:gridCol w:w="109"/>
        <w:gridCol w:w="237"/>
        <w:gridCol w:w="891"/>
        <w:gridCol w:w="133"/>
        <w:gridCol w:w="109"/>
        <w:gridCol w:w="109"/>
        <w:gridCol w:w="109"/>
        <w:gridCol w:w="196"/>
        <w:gridCol w:w="736"/>
        <w:gridCol w:w="154"/>
      </w:tblGrid>
      <w:tr>
        <w:trPr/>
        <w:tc>
          <w:tcPr>
            <w:tcW w:w="75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1" w:type="dxa"/>
            <w:gridSpan w:val="63"/>
            <w:tcBorders/>
            <w:tcMar>
              <w:top w:w="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8"/>
              </w:rPr>
            </w:pPr>
            <w:r>
              <w:rPr>
                <w:rFonts w:ascii="Times New Roman;serif" w:hAnsi="Times New Roman;serif"/>
                <w:b/>
                <w:color w:val="000000"/>
                <w:sz w:val="18"/>
              </w:rPr>
              <w:t>Three Months Ended June 28, 2025</w:t>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8"/>
              </w:rPr>
            </w:pPr>
            <w:r>
              <w:rPr>
                <w:rFonts w:ascii="Times New Roman;serif" w:hAnsi="Times New Roman;serif"/>
                <w:b/>
                <w:color w:val="000000"/>
                <w:sz w:val="18"/>
              </w:rPr>
              <w:t>Class A Common Stock</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4"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8"/>
              </w:rPr>
            </w:pPr>
            <w:r>
              <w:rPr>
                <w:rFonts w:ascii="Times New Roman;serif" w:hAnsi="Times New Roman;serif"/>
                <w:b/>
                <w:color w:val="000000"/>
                <w:sz w:val="18"/>
              </w:rPr>
              <w:t>Class V-1 Common Stock</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8"/>
              </w:rPr>
            </w:pPr>
            <w:r>
              <w:rPr>
                <w:rFonts w:ascii="Times New Roman;serif" w:hAnsi="Times New Roman;serif"/>
                <w:b/>
                <w:color w:val="000000"/>
                <w:sz w:val="18"/>
              </w:rPr>
              <w:t>Class V-3 Common Stock</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restart"/>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8"/>
              </w:rPr>
            </w:pPr>
            <w:r>
              <w:rPr>
                <w:rFonts w:ascii="Times New Roman;serif" w:hAnsi="Times New Roman;serif"/>
                <w:b/>
                <w:color w:val="000000"/>
                <w:sz w:val="18"/>
              </w:rPr>
              <w:t>Additional Paid-in Capital</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vMerge w:val="restart"/>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8"/>
              </w:rPr>
            </w:pPr>
            <w:r>
              <w:rPr>
                <w:rFonts w:ascii="Times New Roman;serif" w:hAnsi="Times New Roman;serif"/>
                <w:b/>
                <w:color w:val="000000"/>
                <w:sz w:val="18"/>
              </w:rPr>
              <w:t>Accumulated Other Comprehensive Loss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restart"/>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8"/>
              </w:rPr>
            </w:pPr>
            <w:r>
              <w:rPr>
                <w:rFonts w:ascii="Times New Roman;serif" w:hAnsi="Times New Roman;serif"/>
                <w:b/>
                <w:color w:val="000000"/>
                <w:sz w:val="18"/>
              </w:rPr>
              <w:t>Accumulated Deficit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8"/>
              </w:rPr>
            </w:pPr>
            <w:r>
              <w:rPr>
                <w:rFonts w:ascii="Times New Roman;serif" w:hAnsi="Times New Roman;serif"/>
                <w:b/>
                <w:color w:val="000000"/>
                <w:sz w:val="18"/>
              </w:rPr>
              <w:t>Noncontrolling Interest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8"/>
              </w:rPr>
            </w:pPr>
            <w:r>
              <w:rPr>
                <w:rFonts w:ascii="Times New Roman;serif" w:hAnsi="Times New Roman;serif"/>
                <w:b/>
                <w:color w:val="000000"/>
                <w:sz w:val="18"/>
              </w:rPr>
              <w:t>Total Equity (Deficit)</w:t>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8"/>
              </w:rPr>
            </w:pPr>
            <w:r>
              <w:rPr>
                <w:rFonts w:ascii="Times New Roman;serif" w:hAnsi="Times New Roman;serif"/>
                <w:b/>
                <w:color w:val="000000"/>
                <w:sz w:val="18"/>
              </w:rPr>
              <w:t>Shares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8"/>
              </w:rPr>
            </w:pPr>
            <w:r>
              <w:rPr>
                <w:rFonts w:ascii="Times New Roman;serif" w:hAnsi="Times New Roman;serif"/>
                <w:b/>
                <w:color w:val="000000"/>
                <w:sz w:val="18"/>
              </w:rPr>
              <w:t>Shares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8"/>
              </w:rPr>
            </w:pPr>
            <w:r>
              <w:rPr>
                <w:rFonts w:ascii="Times New Roman;serif" w:hAnsi="Times New Roman;serif"/>
                <w:b/>
                <w:color w:val="000000"/>
                <w:sz w:val="18"/>
              </w:rPr>
              <w:t>Shares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continue"/>
            <w:tcBorders>
              <w:top w:val="single" w:sz="8" w:space="0" w:color="000000"/>
            </w:tcBorders>
            <w:shd w:fill="FFFFFF" w:val="clear"/>
            <w:tcMar>
              <w:top w:w="3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vMerge w:val="continue"/>
            <w:tcBorders>
              <w:top w:val="single" w:sz="8" w:space="0" w:color="000000"/>
            </w:tcBorders>
            <w:shd w:fill="FFFFFF" w:val="clear"/>
            <w:tcMar>
              <w:top w:w="3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continue"/>
            <w:tcBorders>
              <w:top w:val="single" w:sz="8" w:space="0" w:color="000000"/>
            </w:tcBorders>
            <w:shd w:fill="FFFFFF" w:val="clear"/>
            <w:tcMar>
              <w:top w:w="3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at March 29, 2025</w:t>
            </w:r>
          </w:p>
        </w:tc>
        <w:tc>
          <w:tcPr>
            <w:tcW w:w="100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108,380,772</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76,223,325</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2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404,309,196</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1,539,378 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(2,698)</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(1,331,326)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216,160 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421,574 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(5,913)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(26,012)</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(31,925)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common stock under stock plans, net of shares withheld for employee taxes</w:t>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914,007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Exchange of Class V-1 common stock</w:t>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958,154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(208,154)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(750,000)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1,218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(1,218)</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Distribution to Symbotic Holdings LLC partners</w:t>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56 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w:t>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10,020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43,584 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53,604 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loss</w:t>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20 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89 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109 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at June 28, 2025</w:t>
            </w:r>
          </w:p>
        </w:tc>
        <w:tc>
          <w:tcPr>
            <w:tcW w:w="1006"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110,252,933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76,015,171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2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403,559,196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40 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1,550,610 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(2,678)</w:t>
            </w:r>
          </w:p>
        </w:tc>
        <w:tc>
          <w:tcPr>
            <w:tcW w:w="1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(1,337,239)</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232,659 </w:t>
            </w:r>
          </w:p>
        </w:tc>
        <w:tc>
          <w:tcPr>
            <w:tcW w:w="1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443,412 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5657" w:type="dxa"/>
        <w:jc w:val="left"/>
        <w:tblInd w:w="0" w:type="dxa"/>
        <w:tblLayout w:type="fixed"/>
        <w:tblCellMar>
          <w:top w:w="28" w:type="dxa"/>
          <w:left w:w="28" w:type="dxa"/>
          <w:bottom w:w="28" w:type="dxa"/>
          <w:right w:w="28" w:type="dxa"/>
        </w:tblCellMar>
      </w:tblPr>
      <w:tblGrid>
        <w:gridCol w:w="630"/>
        <w:gridCol w:w="277"/>
        <w:gridCol w:w="279"/>
        <w:gridCol w:w="334"/>
        <w:gridCol w:w="334"/>
        <w:gridCol w:w="338"/>
        <w:gridCol w:w="109"/>
        <w:gridCol w:w="109"/>
        <w:gridCol w:w="109"/>
        <w:gridCol w:w="296"/>
        <w:gridCol w:w="346"/>
        <w:gridCol w:w="109"/>
        <w:gridCol w:w="109"/>
        <w:gridCol w:w="109"/>
        <w:gridCol w:w="109"/>
        <w:gridCol w:w="304"/>
        <w:gridCol w:w="304"/>
        <w:gridCol w:w="308"/>
        <w:gridCol w:w="109"/>
        <w:gridCol w:w="109"/>
        <w:gridCol w:w="109"/>
        <w:gridCol w:w="343"/>
        <w:gridCol w:w="299"/>
        <w:gridCol w:w="109"/>
        <w:gridCol w:w="109"/>
        <w:gridCol w:w="109"/>
        <w:gridCol w:w="109"/>
        <w:gridCol w:w="334"/>
        <w:gridCol w:w="334"/>
        <w:gridCol w:w="338"/>
        <w:gridCol w:w="109"/>
        <w:gridCol w:w="109"/>
        <w:gridCol w:w="109"/>
        <w:gridCol w:w="311"/>
        <w:gridCol w:w="331"/>
        <w:gridCol w:w="109"/>
        <w:gridCol w:w="109"/>
        <w:gridCol w:w="109"/>
        <w:gridCol w:w="109"/>
        <w:gridCol w:w="196"/>
        <w:gridCol w:w="871"/>
        <w:gridCol w:w="109"/>
        <w:gridCol w:w="109"/>
        <w:gridCol w:w="109"/>
        <w:gridCol w:w="109"/>
        <w:gridCol w:w="292"/>
        <w:gridCol w:w="851"/>
        <w:gridCol w:w="163"/>
        <w:gridCol w:w="109"/>
        <w:gridCol w:w="109"/>
        <w:gridCol w:w="109"/>
        <w:gridCol w:w="196"/>
        <w:gridCol w:w="886"/>
        <w:gridCol w:w="109"/>
        <w:gridCol w:w="109"/>
        <w:gridCol w:w="109"/>
        <w:gridCol w:w="109"/>
        <w:gridCol w:w="237"/>
        <w:gridCol w:w="891"/>
        <w:gridCol w:w="133"/>
        <w:gridCol w:w="109"/>
        <w:gridCol w:w="109"/>
        <w:gridCol w:w="109"/>
        <w:gridCol w:w="196"/>
        <w:gridCol w:w="736"/>
        <w:gridCol w:w="154"/>
      </w:tblGrid>
      <w:tr>
        <w:trPr/>
        <w:tc>
          <w:tcPr>
            <w:tcW w:w="630"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1" w:type="dxa"/>
            <w:gridSpan w:val="63"/>
            <w:tcBorders/>
            <w:tcMar>
              <w:top w:w="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8"/>
              </w:rPr>
            </w:pPr>
            <w:r>
              <w:rPr>
                <w:rFonts w:ascii="Times New Roman;serif" w:hAnsi="Times New Roman;serif"/>
                <w:b/>
                <w:color w:val="000000"/>
                <w:sz w:val="18"/>
              </w:rPr>
              <w:t>Nine Months Ended June 28, 2025</w:t>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8"/>
              </w:rPr>
            </w:pPr>
            <w:r>
              <w:rPr>
                <w:rFonts w:ascii="Times New Roman;serif" w:hAnsi="Times New Roman;serif"/>
                <w:b/>
                <w:color w:val="000000"/>
                <w:sz w:val="18"/>
              </w:rPr>
              <w:t>Class A Common Stock</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4"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8"/>
              </w:rPr>
            </w:pPr>
            <w:r>
              <w:rPr>
                <w:rFonts w:ascii="Times New Roman;serif" w:hAnsi="Times New Roman;serif"/>
                <w:b/>
                <w:color w:val="000000"/>
                <w:sz w:val="18"/>
              </w:rPr>
              <w:t>Class V-1 Common Stock</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8"/>
              </w:rPr>
            </w:pPr>
            <w:r>
              <w:rPr>
                <w:rFonts w:ascii="Times New Roman;serif" w:hAnsi="Times New Roman;serif"/>
                <w:b/>
                <w:color w:val="000000"/>
                <w:sz w:val="18"/>
              </w:rPr>
              <w:t>Class V-3 Common Stock</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restart"/>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8"/>
              </w:rPr>
            </w:pPr>
            <w:r>
              <w:rPr>
                <w:rFonts w:ascii="Times New Roman;serif" w:hAnsi="Times New Roman;serif"/>
                <w:b/>
                <w:color w:val="000000"/>
                <w:sz w:val="18"/>
              </w:rPr>
              <w:t>Additional Paid-in Capital</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vMerge w:val="restart"/>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8"/>
              </w:rPr>
            </w:pPr>
            <w:r>
              <w:rPr>
                <w:rFonts w:ascii="Times New Roman;serif" w:hAnsi="Times New Roman;serif"/>
                <w:b/>
                <w:color w:val="000000"/>
                <w:sz w:val="18"/>
              </w:rPr>
              <w:t>Accumulated Other Comprehensive Loss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restart"/>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8"/>
              </w:rPr>
            </w:pPr>
            <w:r>
              <w:rPr>
                <w:rFonts w:ascii="Times New Roman;serif" w:hAnsi="Times New Roman;serif"/>
                <w:b/>
                <w:color w:val="000000"/>
                <w:sz w:val="18"/>
              </w:rPr>
              <w:t>Accumulated Deficit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vMerge w:val="restart"/>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8"/>
              </w:rPr>
            </w:pPr>
            <w:r>
              <w:rPr>
                <w:rFonts w:ascii="Times New Roman;serif" w:hAnsi="Times New Roman;serif"/>
                <w:b/>
                <w:color w:val="000000"/>
                <w:sz w:val="18"/>
              </w:rPr>
              <w:t>Noncontrolling Interest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vMerge w:val="restart"/>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8"/>
              </w:rPr>
            </w:pPr>
            <w:r>
              <w:rPr>
                <w:rFonts w:ascii="Times New Roman;serif" w:hAnsi="Times New Roman;serif"/>
                <w:b/>
                <w:color w:val="000000"/>
                <w:sz w:val="18"/>
              </w:rPr>
              <w:t>Total Equity (Deficit)</w:t>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8"/>
              </w:rPr>
            </w:pPr>
            <w:r>
              <w:rPr>
                <w:rFonts w:ascii="Times New Roman;serif" w:hAnsi="Times New Roman;serif"/>
                <w:b/>
                <w:color w:val="000000"/>
                <w:sz w:val="18"/>
              </w:rPr>
              <w:t>Shares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8"/>
              </w:rPr>
            </w:pPr>
            <w:r>
              <w:rPr>
                <w:rFonts w:ascii="Times New Roman;serif" w:hAnsi="Times New Roman;serif"/>
                <w:b/>
                <w:color w:val="000000"/>
                <w:sz w:val="18"/>
              </w:rPr>
              <w:t>Shares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8"/>
              </w:rPr>
            </w:pPr>
            <w:r>
              <w:rPr>
                <w:rFonts w:ascii="Times New Roman;serif" w:hAnsi="Times New Roman;serif"/>
                <w:b/>
                <w:color w:val="000000"/>
                <w:sz w:val="18"/>
              </w:rPr>
              <w:t>Shares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continue"/>
            <w:tcBorders>
              <w:top w:val="single" w:sz="8" w:space="0" w:color="000000"/>
            </w:tcBorders>
            <w:shd w:fill="FFFFFF" w:val="clear"/>
            <w:tcMar>
              <w:top w:w="3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vMerge w:val="continue"/>
            <w:tcBorders>
              <w:top w:val="single" w:sz="8" w:space="0" w:color="000000"/>
            </w:tcBorders>
            <w:shd w:fill="FFFFFF" w:val="clear"/>
            <w:tcMar>
              <w:top w:w="3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continue"/>
            <w:tcBorders>
              <w:top w:val="single" w:sz="8" w:space="0" w:color="000000"/>
            </w:tcBorders>
            <w:shd w:fill="FFFFFF" w:val="clear"/>
            <w:tcMar>
              <w:top w:w="3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vMerge w:val="continue"/>
            <w:tcBorders>
              <w:top w:val="single" w:sz="8" w:space="0" w:color="000000"/>
            </w:tcBorders>
            <w:shd w:fill="FFFFFF" w:val="clear"/>
            <w:tcMar>
              <w:top w:w="3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vMerge w:val="continue"/>
            <w:tcBorders>
              <w:top w:val="single" w:sz="8" w:space="0" w:color="000000"/>
            </w:tcBorders>
            <w:shd w:fill="FFFFFF" w:val="clear"/>
            <w:tcMar>
              <w:top w:w="30" w:type="dxa"/>
              <w:left w:w="0" w:type="dxa"/>
              <w:bottom w:w="0" w:type="dxa"/>
              <w:right w:w="0" w:type="dxa"/>
            </w:tcMar>
            <w:vAlign w:val="center"/>
          </w:tcPr>
          <w:p>
            <w:pPr>
              <w:pStyle w:val="Normal"/>
              <w:bidi w:val="0"/>
              <w:jc w:val="left"/>
              <w:rPr/>
            </w:pPr>
            <w:r>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at September 28, 2024</w:t>
            </w:r>
          </w:p>
        </w:tc>
        <w:tc>
          <w:tcPr>
            <w:tcW w:w="100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104,689,377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76,965,386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2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404,309,196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1,523,692 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(2,594)</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(1,323,925)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192,897 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390,130 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(13,314)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(58,569)</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(71,883)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common stock under stock plans, net of shares withheld for employee taxes</w:t>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3,853,578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(3,012)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(3,012)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common stock under employee stock purchase plan, net of shares withheld for employee taxes</w:t>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206,664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3,231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3,231 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Exchange of Class V-1 common stock</w:t>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1,503,314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(753,314)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(750,000)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3,324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(3,324)</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Cancellation of Class V-1 common stock</w:t>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(196,901)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Distribution to Symbotic Holdings LLC partners</w:t>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(1,176)</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(1,182)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w:t>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23,381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103,214 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126,595 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loss</w:t>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(84)</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(383)</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(467)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at June 28, 2025</w:t>
            </w:r>
          </w:p>
        </w:tc>
        <w:tc>
          <w:tcPr>
            <w:tcW w:w="1006"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110,252,933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76,015,171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2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403,559,196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40 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1,550,610 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(2,678)</w:t>
            </w:r>
          </w:p>
        </w:tc>
        <w:tc>
          <w:tcPr>
            <w:tcW w:w="1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(1,337,239)</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232,659 </w:t>
            </w:r>
          </w:p>
        </w:tc>
        <w:tc>
          <w:tcPr>
            <w:tcW w:w="1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443,412 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84785"/>
                <wp:effectExtent l="0" t="0" r="0" b="0"/>
                <wp:wrapNone/>
                <wp:docPr id="10" name="Frame10"/>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60" w:after="283"/>
        <w:ind w:left="0" w:right="0" w:firstLine="360"/>
        <w:jc w:val="left"/>
        <w:rPr/>
      </w:pPr>
      <w:hyperlink w:anchor="i123540df82f04e0eb97811cc101df5ff_7">
        <w:r>
          <w:rPr>
            <w:rStyle w:val="InternetLink"/>
            <w:rFonts w:ascii="Times New Roman;serif" w:hAnsi="Times New Roman;serif"/>
            <w:b w:val="false"/>
            <w:color w:val="0000FF"/>
            <w:sz w:val="20"/>
            <w:u w:val="single"/>
          </w:rPr>
          <w:t>Table of Contents</w:t>
        </w:r>
      </w:hyperlink>
    </w:p>
    <w:p>
      <w:pPr>
        <w:pStyle w:val="TextBody"/>
        <w:bidi w:val="0"/>
        <w:spacing w:before="60" w:after="283"/>
        <w:ind w:left="0" w:right="0" w:firstLine="360"/>
        <w:jc w:val="center"/>
        <w:rPr/>
      </w:pPr>
      <w:r>
        <w:rPr/>
      </w:r>
    </w:p>
    <w:tbl>
      <w:tblPr>
        <w:tblW w:w="15657" w:type="dxa"/>
        <w:jc w:val="left"/>
        <w:tblInd w:w="0" w:type="dxa"/>
        <w:tblLayout w:type="fixed"/>
        <w:tblCellMar>
          <w:top w:w="28" w:type="dxa"/>
          <w:left w:w="28" w:type="dxa"/>
          <w:bottom w:w="28" w:type="dxa"/>
          <w:right w:w="28" w:type="dxa"/>
        </w:tblCellMar>
      </w:tblPr>
      <w:tblGrid>
        <w:gridCol w:w="755"/>
        <w:gridCol w:w="215"/>
        <w:gridCol w:w="216"/>
        <w:gridCol w:w="334"/>
        <w:gridCol w:w="334"/>
        <w:gridCol w:w="338"/>
        <w:gridCol w:w="109"/>
        <w:gridCol w:w="109"/>
        <w:gridCol w:w="109"/>
        <w:gridCol w:w="296"/>
        <w:gridCol w:w="346"/>
        <w:gridCol w:w="109"/>
        <w:gridCol w:w="109"/>
        <w:gridCol w:w="109"/>
        <w:gridCol w:w="109"/>
        <w:gridCol w:w="304"/>
        <w:gridCol w:w="304"/>
        <w:gridCol w:w="308"/>
        <w:gridCol w:w="109"/>
        <w:gridCol w:w="109"/>
        <w:gridCol w:w="109"/>
        <w:gridCol w:w="343"/>
        <w:gridCol w:w="299"/>
        <w:gridCol w:w="109"/>
        <w:gridCol w:w="109"/>
        <w:gridCol w:w="109"/>
        <w:gridCol w:w="109"/>
        <w:gridCol w:w="334"/>
        <w:gridCol w:w="334"/>
        <w:gridCol w:w="338"/>
        <w:gridCol w:w="109"/>
        <w:gridCol w:w="109"/>
        <w:gridCol w:w="109"/>
        <w:gridCol w:w="311"/>
        <w:gridCol w:w="331"/>
        <w:gridCol w:w="109"/>
        <w:gridCol w:w="109"/>
        <w:gridCol w:w="109"/>
        <w:gridCol w:w="109"/>
        <w:gridCol w:w="196"/>
        <w:gridCol w:w="871"/>
        <w:gridCol w:w="109"/>
        <w:gridCol w:w="109"/>
        <w:gridCol w:w="109"/>
        <w:gridCol w:w="109"/>
        <w:gridCol w:w="292"/>
        <w:gridCol w:w="851"/>
        <w:gridCol w:w="163"/>
        <w:gridCol w:w="109"/>
        <w:gridCol w:w="109"/>
        <w:gridCol w:w="109"/>
        <w:gridCol w:w="196"/>
        <w:gridCol w:w="886"/>
        <w:gridCol w:w="109"/>
        <w:gridCol w:w="109"/>
        <w:gridCol w:w="109"/>
        <w:gridCol w:w="109"/>
        <w:gridCol w:w="237"/>
        <w:gridCol w:w="891"/>
        <w:gridCol w:w="133"/>
        <w:gridCol w:w="109"/>
        <w:gridCol w:w="109"/>
        <w:gridCol w:w="109"/>
        <w:gridCol w:w="196"/>
        <w:gridCol w:w="736"/>
        <w:gridCol w:w="154"/>
      </w:tblGrid>
      <w:tr>
        <w:trPr/>
        <w:tc>
          <w:tcPr>
            <w:tcW w:w="75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1" w:type="dxa"/>
            <w:gridSpan w:val="63"/>
            <w:tcBorders/>
            <w:tcMar>
              <w:top w:w="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8"/>
              </w:rPr>
            </w:pPr>
            <w:r>
              <w:rPr>
                <w:rFonts w:ascii="Times New Roman;serif" w:hAnsi="Times New Roman;serif"/>
                <w:b/>
                <w:color w:val="000000"/>
                <w:sz w:val="18"/>
              </w:rPr>
              <w:t>Three Months Ended June 29, 2024</w:t>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8"/>
              </w:rPr>
            </w:pPr>
            <w:r>
              <w:rPr>
                <w:rFonts w:ascii="Times New Roman;serif" w:hAnsi="Times New Roman;serif"/>
                <w:b/>
                <w:color w:val="000000"/>
                <w:sz w:val="18"/>
              </w:rPr>
              <w:t>Class A Common Stock</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4"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8"/>
              </w:rPr>
            </w:pPr>
            <w:r>
              <w:rPr>
                <w:rFonts w:ascii="Times New Roman;serif" w:hAnsi="Times New Roman;serif"/>
                <w:b/>
                <w:color w:val="000000"/>
                <w:sz w:val="18"/>
              </w:rPr>
              <w:t>Class V-1 Common Stock</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8"/>
              </w:rPr>
            </w:pPr>
            <w:r>
              <w:rPr>
                <w:rFonts w:ascii="Times New Roman;serif" w:hAnsi="Times New Roman;serif"/>
                <w:b/>
                <w:color w:val="000000"/>
                <w:sz w:val="18"/>
              </w:rPr>
              <w:t>Class V-3 Common Stock</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restart"/>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8"/>
              </w:rPr>
            </w:pPr>
            <w:r>
              <w:rPr>
                <w:rFonts w:ascii="Times New Roman;serif" w:hAnsi="Times New Roman;serif"/>
                <w:b/>
                <w:color w:val="000000"/>
                <w:sz w:val="18"/>
              </w:rPr>
              <w:t>Additional Paid-in Capital</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vMerge w:val="restart"/>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8"/>
              </w:rPr>
            </w:pPr>
            <w:r>
              <w:rPr>
                <w:rFonts w:ascii="Times New Roman;serif" w:hAnsi="Times New Roman;serif"/>
                <w:b/>
                <w:color w:val="000000"/>
                <w:sz w:val="18"/>
              </w:rPr>
              <w:t>Accumulated Other Comprehensive Loss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restart"/>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8"/>
              </w:rPr>
            </w:pPr>
            <w:r>
              <w:rPr>
                <w:rFonts w:ascii="Times New Roman;serif" w:hAnsi="Times New Roman;serif"/>
                <w:b/>
                <w:color w:val="000000"/>
                <w:sz w:val="18"/>
              </w:rPr>
              <w:t>Accumulated Deficit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vMerge w:val="restart"/>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8"/>
              </w:rPr>
            </w:pPr>
            <w:r>
              <w:rPr>
                <w:rFonts w:ascii="Times New Roman;serif" w:hAnsi="Times New Roman;serif"/>
                <w:b/>
                <w:color w:val="000000"/>
                <w:sz w:val="18"/>
              </w:rPr>
              <w:t>Noncontrolling Interest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vMerge w:val="restart"/>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8"/>
              </w:rPr>
            </w:pPr>
            <w:r>
              <w:rPr>
                <w:rFonts w:ascii="Times New Roman;serif" w:hAnsi="Times New Roman;serif"/>
                <w:b/>
                <w:color w:val="000000"/>
                <w:sz w:val="18"/>
              </w:rPr>
              <w:t>Total Equity (Deficit)</w:t>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8"/>
              </w:rPr>
            </w:pPr>
            <w:r>
              <w:rPr>
                <w:rFonts w:ascii="Times New Roman;serif" w:hAnsi="Times New Roman;serif"/>
                <w:b/>
                <w:color w:val="000000"/>
                <w:sz w:val="18"/>
              </w:rPr>
              <w:t>Shares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8"/>
              </w:rPr>
            </w:pPr>
            <w:r>
              <w:rPr>
                <w:rFonts w:ascii="Times New Roman;serif" w:hAnsi="Times New Roman;serif"/>
                <w:b/>
                <w:color w:val="000000"/>
                <w:sz w:val="18"/>
              </w:rPr>
              <w:t>Shares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8"/>
              </w:rPr>
            </w:pPr>
            <w:r>
              <w:rPr>
                <w:rFonts w:ascii="Times New Roman;serif" w:hAnsi="Times New Roman;serif"/>
                <w:b/>
                <w:color w:val="000000"/>
                <w:sz w:val="18"/>
              </w:rPr>
              <w:t>Shares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continue"/>
            <w:tcBorders>
              <w:top w:val="single" w:sz="8" w:space="0" w:color="000000"/>
            </w:tcBorders>
            <w:shd w:fill="FFFFFF" w:val="clear"/>
            <w:tcMar>
              <w:top w:w="3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vMerge w:val="continue"/>
            <w:tcBorders>
              <w:top w:val="single" w:sz="8" w:space="0" w:color="000000"/>
            </w:tcBorders>
            <w:shd w:fill="FFFFFF" w:val="clear"/>
            <w:tcMar>
              <w:top w:w="3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continue"/>
            <w:tcBorders>
              <w:top w:val="single" w:sz="8" w:space="0" w:color="000000"/>
            </w:tcBorders>
            <w:shd w:fill="FFFFFF" w:val="clear"/>
            <w:tcMar>
              <w:top w:w="3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vMerge w:val="continue"/>
            <w:tcBorders>
              <w:top w:val="single" w:sz="8" w:space="0" w:color="000000"/>
            </w:tcBorders>
            <w:shd w:fill="FFFFFF" w:val="clear"/>
            <w:tcMar>
              <w:top w:w="3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vMerge w:val="continue"/>
            <w:tcBorders>
              <w:top w:val="single" w:sz="8" w:space="0" w:color="000000"/>
            </w:tcBorders>
            <w:shd w:fill="FFFFFF" w:val="clear"/>
            <w:tcMar>
              <w:top w:w="30" w:type="dxa"/>
              <w:left w:w="0" w:type="dxa"/>
              <w:bottom w:w="0" w:type="dxa"/>
              <w:right w:w="0" w:type="dxa"/>
            </w:tcMar>
            <w:vAlign w:val="center"/>
          </w:tcPr>
          <w:p>
            <w:pPr>
              <w:pStyle w:val="Normal"/>
              <w:bidi w:val="0"/>
              <w:jc w:val="left"/>
              <w:rPr/>
            </w:pPr>
            <w:r>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at March 30, 2024</w:t>
            </w:r>
          </w:p>
        </w:tc>
        <w:tc>
          <w:tcPr>
            <w:tcW w:w="100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101,195,288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78,432,388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2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404,334,196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1,521,489 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(2,373)</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(1,322,080)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196,547 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393,643 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(4,681)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(22,043)</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(26,724)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common stock under stock plans, net of shares withheld for employee taxes</w:t>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933,829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Exchange of Class V-1 and V-3 common stock</w:t>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967,002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(942,002)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(25,000)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(910)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910 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Distributions to Symbotic Holdings LLC partners</w:t>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(48,100)</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(48,100)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w:t>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5,290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24,161 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29,451 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loss</w:t>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(259)</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(1,220)</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(1,479)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at June 29, 2024</w:t>
            </w:r>
          </w:p>
        </w:tc>
        <w:tc>
          <w:tcPr>
            <w:tcW w:w="1006"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103,096,119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77,490,386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2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404,309,196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41 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1,525,869 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(2,632)</w:t>
            </w:r>
          </w:p>
        </w:tc>
        <w:tc>
          <w:tcPr>
            <w:tcW w:w="1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(1,326,761)</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150,255 </w:t>
            </w:r>
          </w:p>
        </w:tc>
        <w:tc>
          <w:tcPr>
            <w:tcW w:w="1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346,792 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6945" w:type="dxa"/>
        <w:jc w:val="left"/>
        <w:tblInd w:w="0" w:type="dxa"/>
        <w:tblLayout w:type="fixed"/>
        <w:tblCellMar>
          <w:top w:w="28" w:type="dxa"/>
          <w:left w:w="28" w:type="dxa"/>
          <w:bottom w:w="28" w:type="dxa"/>
          <w:right w:w="28" w:type="dxa"/>
        </w:tblCellMar>
      </w:tblPr>
      <w:tblGrid>
        <w:gridCol w:w="630"/>
        <w:gridCol w:w="277"/>
        <w:gridCol w:w="279"/>
        <w:gridCol w:w="333"/>
        <w:gridCol w:w="333"/>
        <w:gridCol w:w="340"/>
        <w:gridCol w:w="109"/>
        <w:gridCol w:w="109"/>
        <w:gridCol w:w="109"/>
        <w:gridCol w:w="296"/>
        <w:gridCol w:w="346"/>
        <w:gridCol w:w="109"/>
        <w:gridCol w:w="109"/>
        <w:gridCol w:w="109"/>
        <w:gridCol w:w="109"/>
        <w:gridCol w:w="304"/>
        <w:gridCol w:w="304"/>
        <w:gridCol w:w="308"/>
        <w:gridCol w:w="109"/>
        <w:gridCol w:w="109"/>
        <w:gridCol w:w="109"/>
        <w:gridCol w:w="343"/>
        <w:gridCol w:w="299"/>
        <w:gridCol w:w="109"/>
        <w:gridCol w:w="109"/>
        <w:gridCol w:w="109"/>
        <w:gridCol w:w="109"/>
        <w:gridCol w:w="334"/>
        <w:gridCol w:w="334"/>
        <w:gridCol w:w="338"/>
        <w:gridCol w:w="109"/>
        <w:gridCol w:w="109"/>
        <w:gridCol w:w="109"/>
        <w:gridCol w:w="311"/>
        <w:gridCol w:w="331"/>
        <w:gridCol w:w="109"/>
        <w:gridCol w:w="109"/>
        <w:gridCol w:w="109"/>
        <w:gridCol w:w="109"/>
        <w:gridCol w:w="198"/>
        <w:gridCol w:w="652"/>
        <w:gridCol w:w="111"/>
        <w:gridCol w:w="109"/>
        <w:gridCol w:w="109"/>
        <w:gridCol w:w="109"/>
        <w:gridCol w:w="196"/>
        <w:gridCol w:w="871"/>
        <w:gridCol w:w="109"/>
        <w:gridCol w:w="109"/>
        <w:gridCol w:w="109"/>
        <w:gridCol w:w="109"/>
        <w:gridCol w:w="292"/>
        <w:gridCol w:w="851"/>
        <w:gridCol w:w="163"/>
        <w:gridCol w:w="109"/>
        <w:gridCol w:w="109"/>
        <w:gridCol w:w="109"/>
        <w:gridCol w:w="196"/>
        <w:gridCol w:w="886"/>
        <w:gridCol w:w="109"/>
        <w:gridCol w:w="109"/>
        <w:gridCol w:w="109"/>
        <w:gridCol w:w="109"/>
        <w:gridCol w:w="237"/>
        <w:gridCol w:w="891"/>
        <w:gridCol w:w="133"/>
        <w:gridCol w:w="327"/>
        <w:gridCol w:w="196"/>
        <w:gridCol w:w="736"/>
        <w:gridCol w:w="154"/>
      </w:tblGrid>
      <w:tr>
        <w:trPr/>
        <w:tc>
          <w:tcPr>
            <w:tcW w:w="630"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9" w:type="dxa"/>
            <w:gridSpan w:val="69"/>
            <w:tcBorders/>
            <w:tcMar>
              <w:top w:w="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8"/>
              </w:rPr>
            </w:pPr>
            <w:r>
              <w:rPr>
                <w:rFonts w:ascii="Times New Roman;serif" w:hAnsi="Times New Roman;serif"/>
                <w:b/>
                <w:color w:val="000000"/>
                <w:sz w:val="18"/>
              </w:rPr>
              <w:t>Nine Months Ended June 29, 2024</w:t>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8"/>
              </w:rPr>
            </w:pPr>
            <w:r>
              <w:rPr>
                <w:rFonts w:ascii="Times New Roman;serif" w:hAnsi="Times New Roman;serif"/>
                <w:b/>
                <w:color w:val="000000"/>
                <w:sz w:val="18"/>
              </w:rPr>
              <w:t>Class A Common Stock</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4"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8"/>
              </w:rPr>
            </w:pPr>
            <w:r>
              <w:rPr>
                <w:rFonts w:ascii="Times New Roman;serif" w:hAnsi="Times New Roman;serif"/>
                <w:b/>
                <w:color w:val="000000"/>
                <w:sz w:val="18"/>
              </w:rPr>
              <w:t>Class V-1 Common Stock</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8"/>
              </w:rPr>
            </w:pPr>
            <w:r>
              <w:rPr>
                <w:rFonts w:ascii="Times New Roman;serif" w:hAnsi="Times New Roman;serif"/>
                <w:b/>
                <w:color w:val="000000"/>
                <w:sz w:val="18"/>
              </w:rPr>
              <w:t>Class V-3 Common Stock</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vMerge w:val="restart"/>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8"/>
              </w:rPr>
            </w:pPr>
            <w:r>
              <w:rPr>
                <w:rFonts w:ascii="Times New Roman;serif" w:hAnsi="Times New Roman;serif"/>
                <w:b/>
                <w:color w:val="000000"/>
                <w:sz w:val="18"/>
              </w:rPr>
              <w:t>Additional Paid-in Capital - Warrants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restart"/>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8"/>
              </w:rPr>
            </w:pPr>
            <w:r>
              <w:rPr>
                <w:rFonts w:ascii="Times New Roman;serif" w:hAnsi="Times New Roman;serif"/>
                <w:b/>
                <w:color w:val="000000"/>
                <w:sz w:val="18"/>
              </w:rPr>
              <w:t>Additional Paid-in Capital</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vMerge w:val="restart"/>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8"/>
              </w:rPr>
            </w:pPr>
            <w:r>
              <w:rPr>
                <w:rFonts w:ascii="Times New Roman;serif" w:hAnsi="Times New Roman;serif"/>
                <w:b/>
                <w:color w:val="000000"/>
                <w:sz w:val="18"/>
              </w:rPr>
              <w:t>Accumulated Other Comprehensive Loss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restart"/>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8"/>
              </w:rPr>
            </w:pPr>
            <w:r>
              <w:rPr>
                <w:rFonts w:ascii="Times New Roman;serif" w:hAnsi="Times New Roman;serif"/>
                <w:b/>
                <w:color w:val="000000"/>
                <w:sz w:val="18"/>
              </w:rPr>
              <w:t>Accumulated Deficit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vMerge w:val="restart"/>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8"/>
              </w:rPr>
            </w:pPr>
            <w:r>
              <w:rPr>
                <w:rFonts w:ascii="Times New Roman;serif" w:hAnsi="Times New Roman;serif"/>
                <w:b/>
                <w:color w:val="000000"/>
                <w:sz w:val="18"/>
              </w:rPr>
              <w:t>Noncontrolling Interest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vMerge w:val="restart"/>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8"/>
              </w:rPr>
            </w:pPr>
            <w:r>
              <w:rPr>
                <w:rFonts w:ascii="Times New Roman;serif" w:hAnsi="Times New Roman;serif"/>
                <w:b/>
                <w:color w:val="000000"/>
                <w:sz w:val="18"/>
              </w:rPr>
              <w:t>Total Equity (Deficit)</w:t>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8"/>
              </w:rPr>
            </w:pPr>
            <w:r>
              <w:rPr>
                <w:rFonts w:ascii="Times New Roman;serif" w:hAnsi="Times New Roman;serif"/>
                <w:b/>
                <w:color w:val="000000"/>
                <w:sz w:val="18"/>
              </w:rPr>
              <w:t>Shares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8"/>
              </w:rPr>
            </w:pPr>
            <w:r>
              <w:rPr>
                <w:rFonts w:ascii="Times New Roman;serif" w:hAnsi="Times New Roman;serif"/>
                <w:b/>
                <w:color w:val="000000"/>
                <w:sz w:val="18"/>
              </w:rPr>
              <w:t>Shares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8"/>
              </w:rPr>
            </w:pPr>
            <w:r>
              <w:rPr>
                <w:rFonts w:ascii="Times New Roman;serif" w:hAnsi="Times New Roman;serif"/>
                <w:b/>
                <w:color w:val="000000"/>
                <w:sz w:val="18"/>
              </w:rPr>
              <w:t>Shares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vMerge w:val="continue"/>
            <w:tcBorders>
              <w:top w:val="single" w:sz="8" w:space="0" w:color="000000"/>
            </w:tcBorders>
            <w:shd w:fill="FFFFFF" w:val="clear"/>
            <w:tcMar>
              <w:top w:w="3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continue"/>
            <w:tcBorders>
              <w:top w:val="single" w:sz="8" w:space="0" w:color="000000"/>
            </w:tcBorders>
            <w:shd w:fill="FFFFFF" w:val="clear"/>
            <w:tcMar>
              <w:top w:w="3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vMerge w:val="continue"/>
            <w:tcBorders>
              <w:top w:val="single" w:sz="8" w:space="0" w:color="000000"/>
            </w:tcBorders>
            <w:shd w:fill="FFFFFF" w:val="clear"/>
            <w:tcMar>
              <w:top w:w="3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continue"/>
            <w:tcBorders>
              <w:top w:val="single" w:sz="8" w:space="0" w:color="000000"/>
            </w:tcBorders>
            <w:shd w:fill="FFFFFF" w:val="clear"/>
            <w:tcMar>
              <w:top w:w="3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vMerge w:val="continue"/>
            <w:tcBorders>
              <w:top w:val="single" w:sz="8" w:space="0" w:color="000000"/>
            </w:tcBorders>
            <w:shd w:fill="FFFFFF" w:val="clear"/>
            <w:tcMar>
              <w:top w:w="3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vMerge w:val="continue"/>
            <w:tcBorders>
              <w:top w:val="single" w:sz="8" w:space="0" w:color="000000"/>
            </w:tcBorders>
            <w:shd w:fill="FFFFFF" w:val="clear"/>
            <w:tcMar>
              <w:top w:w="30" w:type="dxa"/>
              <w:left w:w="0" w:type="dxa"/>
              <w:bottom w:w="0" w:type="dxa"/>
              <w:right w:w="0" w:type="dxa"/>
            </w:tcMar>
            <w:vAlign w:val="center"/>
          </w:tcPr>
          <w:p>
            <w:pPr>
              <w:pStyle w:val="Normal"/>
              <w:bidi w:val="0"/>
              <w:jc w:val="left"/>
              <w:rPr/>
            </w:pPr>
            <w:r>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at September 30, 2023</w:t>
            </w:r>
          </w:p>
        </w:tc>
        <w:tc>
          <w:tcPr>
            <w:tcW w:w="100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82,112,881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66,931,097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2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407,528,941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58,126 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1,254,022 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(1,687)</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(1,310,435)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(2,798)</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(2,716)</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(16,326)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(84,300)</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(100,626)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common stock under stock plans, net of shares withheld for employee taxes</w:t>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5,849,738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(3,103)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(50)</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(3,152)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common stock under employee stock purchase plan, net of shares withheld for employee taxes</w:t>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102,633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3,501 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3,501 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Exchange of Class V-1 and V-3 common stock</w:t>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8,530,867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(5,311,122)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(3,219,745)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(1,064)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1,064 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common stock in connection with equity offering</w:t>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6,500,000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257,985 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257,986 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Exercise of warrants</w:t>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15,870,411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(58,126)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216,828 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158,705 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Distributions to Symbotic Holdings LLC partners</w:t>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(48,100)</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(48,100)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w:t>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14,528 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72,449 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86,977 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loss</w:t>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(945)</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(4,838)</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(5,783)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at June 29, 2024</w:t>
            </w:r>
          </w:p>
        </w:tc>
        <w:tc>
          <w:tcPr>
            <w:tcW w:w="1006"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103,096,119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77,490,386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2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404,309,196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41 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color w:val="000000"/>
              </w:rPr>
            </w:pPr>
            <w:r>
              <w:rPr>
                <w:color w:val="000000"/>
              </w:rPr>
              <w:t>— </w:t>
            </w:r>
          </w:p>
        </w:tc>
        <w:tc>
          <w:tcPr>
            <w:tcW w:w="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1,525,869 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(2,632)</w:t>
            </w:r>
          </w:p>
        </w:tc>
        <w:tc>
          <w:tcPr>
            <w:tcW w:w="1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(1,326,761)</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150,255 </w:t>
            </w:r>
          </w:p>
        </w:tc>
        <w:tc>
          <w:tcPr>
            <w:tcW w:w="1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346,792 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60" w:after="283"/>
        <w:jc w:val="center"/>
        <w:rPr/>
      </w:pPr>
      <w:r>
        <w:rPr/>
      </w:r>
    </w:p>
    <w:p>
      <w:pPr>
        <w:pStyle w:val="TextBody"/>
        <w:bidi w:val="0"/>
        <w:spacing w:lineRule="auto" w:line="268" w:before="6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84785"/>
                <wp:effectExtent l="0" t="0" r="0" b="0"/>
                <wp:wrapNone/>
                <wp:docPr id="11" name="Frame11"/>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60" w:after="283"/>
        <w:ind w:left="0" w:right="0" w:firstLine="360"/>
        <w:jc w:val="left"/>
        <w:rPr/>
      </w:pPr>
      <w:hyperlink w:anchor="i123540df82f04e0eb97811cc101df5ff_7">
        <w:r>
          <w:rPr>
            <w:rStyle w:val="InternetLink"/>
            <w:rFonts w:ascii="Times New Roman;serif" w:hAnsi="Times New Roman;serif"/>
            <w:b w:val="false"/>
            <w:color w:val="0000FF"/>
            <w:sz w:val="20"/>
            <w:u w:val="single"/>
          </w:rPr>
          <w:t>Table of Contents</w:t>
        </w:r>
      </w:hyperlink>
    </w:p>
    <w:p>
      <w:pPr>
        <w:pStyle w:val="TextBody"/>
        <w:bidi w:val="0"/>
        <w:spacing w:lineRule="auto" w:line="288" w:before="60" w:after="283"/>
        <w:ind w:left="0" w:right="0" w:firstLine="360"/>
        <w:jc w:val="center"/>
        <w:rPr>
          <w:rFonts w:ascii="Times New Roman;serif" w:hAnsi="Times New Roman;serif"/>
          <w:b/>
          <w:color w:val="000000"/>
          <w:sz w:val="20"/>
        </w:rPr>
      </w:pPr>
      <w:r>
        <w:rPr>
          <w:rFonts w:ascii="Times New Roman;serif" w:hAnsi="Times New Roman;serif"/>
          <w:b/>
          <w:color w:val="000000"/>
          <w:sz w:val="20"/>
        </w:rPr>
        <w:t>Symbotic Inc.</w:t>
      </w:r>
    </w:p>
    <w:p>
      <w:pPr>
        <w:pStyle w:val="TextBody"/>
        <w:bidi w:val="0"/>
        <w:spacing w:lineRule="auto" w:line="288" w:before="60" w:after="283"/>
        <w:ind w:left="0" w:right="0" w:firstLine="360"/>
        <w:jc w:val="center"/>
        <w:rPr>
          <w:rFonts w:ascii="Times New Roman;serif" w:hAnsi="Times New Roman;serif"/>
          <w:b/>
          <w:color w:val="000000"/>
          <w:sz w:val="20"/>
        </w:rPr>
      </w:pPr>
      <w:r>
        <w:rPr>
          <w:rFonts w:ascii="Times New Roman;serif" w:hAnsi="Times New Roman;serif"/>
          <w:b/>
          <w:color w:val="000000"/>
          <w:sz w:val="20"/>
        </w:rPr>
        <w:t>Unaudited Condensed Consolidated Statements of Cash Flows</w:t>
      </w:r>
    </w:p>
    <w:p>
      <w:pPr>
        <w:pStyle w:val="TextBody"/>
        <w:bidi w:val="0"/>
        <w:spacing w:lineRule="auto" w:line="288" w:before="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(in thousands)</w:t>
      </w:r>
    </w:p>
    <w:p>
      <w:pPr>
        <w:pStyle w:val="TextBody"/>
        <w:bidi w:val="0"/>
        <w:spacing w:before="60" w:after="283"/>
        <w:ind w:left="0" w:right="0" w:firstLine="360"/>
        <w:jc w:val="left"/>
        <w:rPr/>
      </w:pPr>
      <w:r>
        <w:rPr/>
      </w:r>
    </w:p>
    <w:tbl>
      <w:tblPr>
        <w:tblW w:w="10205" w:type="dxa"/>
        <w:jc w:val="center"/>
        <w:tblInd w:w="0" w:type="dxa"/>
        <w:tblLayout w:type="fixed"/>
        <w:tblCellMar>
          <w:top w:w="28" w:type="dxa"/>
          <w:left w:w="28" w:type="dxa"/>
          <w:bottom w:w="28" w:type="dxa"/>
          <w:right w:w="28" w:type="dxa"/>
        </w:tblCellMar>
      </w:tblPr>
      <w:tblGrid>
        <w:gridCol w:w="2725"/>
        <w:gridCol w:w="2369"/>
        <w:gridCol w:w="2377"/>
        <w:gridCol w:w="217"/>
        <w:gridCol w:w="815"/>
        <w:gridCol w:w="111"/>
        <w:gridCol w:w="109"/>
        <w:gridCol w:w="109"/>
        <w:gridCol w:w="109"/>
        <w:gridCol w:w="211"/>
        <w:gridCol w:w="895"/>
        <w:gridCol w:w="158"/>
      </w:tblGrid>
      <w:tr>
        <w:trPr/>
        <w:tc>
          <w:tcPr>
            <w:tcW w:w="2725" w:type="dxa"/>
            <w:tcBorders/>
            <w:vAlign w:val="center"/>
          </w:tcPr>
          <w:p>
            <w:pPr>
              <w:pStyle w:val="TableContents"/>
              <w:bidi w:val="0"/>
              <w:spacing w:before="0" w:after="283"/>
              <w:jc w:val="left"/>
              <w:rPr>
                <w:sz w:val="4"/>
                <w:szCs w:val="4"/>
              </w:rPr>
            </w:pPr>
            <w:r>
              <w:rPr>
                <w:sz w:val="4"/>
                <w:szCs w:val="4"/>
              </w:rPr>
            </w:r>
          </w:p>
        </w:tc>
        <w:tc>
          <w:tcPr>
            <w:tcW w:w="2369" w:type="dxa"/>
            <w:tcBorders/>
            <w:vAlign w:val="center"/>
          </w:tcPr>
          <w:p>
            <w:pPr>
              <w:pStyle w:val="TableContents"/>
              <w:bidi w:val="0"/>
              <w:spacing w:before="0" w:after="283"/>
              <w:jc w:val="left"/>
              <w:rPr>
                <w:sz w:val="4"/>
                <w:szCs w:val="4"/>
              </w:rPr>
            </w:pPr>
            <w:r>
              <w:rPr>
                <w:sz w:val="4"/>
                <w:szCs w:val="4"/>
              </w:rPr>
            </w:r>
          </w:p>
        </w:tc>
        <w:tc>
          <w:tcPr>
            <w:tcW w:w="237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4" w:type="dxa"/>
            <w:gridSpan w:val="9"/>
            <w:tcBorders/>
            <w:tcMar>
              <w:top w:w="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8"/>
              </w:rPr>
            </w:pPr>
            <w:r>
              <w:rPr>
                <w:rFonts w:ascii="Times New Roman;serif" w:hAnsi="Times New Roman;serif"/>
                <w:b/>
                <w:color w:val="000000"/>
                <w:sz w:val="18"/>
              </w:rPr>
              <w:t>For the Nine Months Ended</w:t>
            </w:r>
          </w:p>
        </w:tc>
      </w:tr>
      <w:tr>
        <w:trPr/>
        <w:tc>
          <w:tcPr>
            <w:tcW w:w="7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8"/>
              </w:rPr>
            </w:pPr>
            <w:r>
              <w:rPr>
                <w:rFonts w:ascii="Times New Roman;serif" w:hAnsi="Times New Roman;serif"/>
                <w:b/>
                <w:color w:val="000000"/>
                <w:sz w:val="18"/>
              </w:rPr>
              <w:t>June 28,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8"/>
              </w:rPr>
            </w:pPr>
            <w:r>
              <w:rPr>
                <w:rFonts w:ascii="Times New Roman;serif" w:hAnsi="Times New Roman;serif"/>
                <w:b/>
                <w:color w:val="000000"/>
                <w:sz w:val="18"/>
              </w:rPr>
              <w:t>June 29, 2024</w:t>
            </w:r>
          </w:p>
        </w:tc>
      </w:tr>
      <w:tr>
        <w:trPr/>
        <w:tc>
          <w:tcPr>
            <w:tcW w:w="7471"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Cash flows from operating activities:</w:t>
            </w:r>
          </w:p>
        </w:tc>
        <w:tc>
          <w:tcPr>
            <w:tcW w:w="11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1"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17"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5"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(71,883)</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5"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(100,626)</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1"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reconcile net loss to net cash provided by operating activities:</w:t>
            </w:r>
          </w:p>
        </w:tc>
        <w:tc>
          <w:tcPr>
            <w:tcW w:w="11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1"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34,126 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17,048 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1"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equity method investment</w:t>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7,831 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537 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1"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gains</w:t>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(73)</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1"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investments</w:t>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(10,084)</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1"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excess and obsolete inventory</w:t>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4,901 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34,105 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1"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disposal of assets</w:t>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201 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1"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119,568 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86,858 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1"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Gain from strategic investment fair value adjustment</w:t>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(4,481)</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1"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operating assets and liabilities:</w:t>
            </w:r>
          </w:p>
        </w:tc>
        <w:tc>
          <w:tcPr>
            <w:tcW w:w="11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1"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w:t>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65,570 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(31,295)</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1"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Inventories</w:t>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(30,187)</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(30,099)</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1"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62,701 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2,839 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1"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expenses</w:t>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23,582 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(10,626)</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1"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(16,928)</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(4,952)</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1"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40,544 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17,871 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1"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 and other current liabilities</w:t>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(7,613)</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48,593 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1"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w:t>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117,288 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12,009 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1"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w:t>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(8,888)</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9,136 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1"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10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336,259 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41,306 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1"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Cash flows from investing activities:</w:t>
            </w:r>
          </w:p>
        </w:tc>
        <w:tc>
          <w:tcPr>
            <w:tcW w:w="11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1"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property and equipment and capitalization of internal use software development costs</w:t>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(42,784)</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(23,007)</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1"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maturities of marketable securities</w:t>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340,000 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1"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marketable securities</w:t>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(48,660)</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1"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Acquisitions of strategic investments</w:t>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(42,225)</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(66,489)</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1"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business acquisitions</w:t>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(200,000)</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1"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(used in) investing activities</w:t>
            </w:r>
          </w:p>
        </w:tc>
        <w:tc>
          <w:tcPr>
            <w:tcW w:w="10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(285,009)</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201,844 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1"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Cash flows from financing activities:</w:t>
            </w:r>
          </w:p>
        </w:tc>
        <w:tc>
          <w:tcPr>
            <w:tcW w:w="114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1"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Payment for taxes related to net share settlement of stock-based compensation awards</w:t>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(3,012)</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(3,181)</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1"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Net proceeds from issuance of common stock under employee stock purchase plan</w:t>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3,233 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3,435 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1"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issuance of Class A Common Stock</w:t>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257,985 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1"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exercise of warrants</w:t>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158,704 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1"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Distributions to or on behalf of Symbotic Holdings LLC partners</w:t>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(1,175)</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(47,654)</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1"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(used in) financing activities</w:t>
            </w:r>
          </w:p>
        </w:tc>
        <w:tc>
          <w:tcPr>
            <w:tcW w:w="10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(954)</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369,289 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1"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exchange rate changes on cash, cash equivalents, and restricted cash</w:t>
            </w:r>
          </w:p>
        </w:tc>
        <w:tc>
          <w:tcPr>
            <w:tcW w:w="10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1"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Net increase in cash, cash equivalents, and restricted cash</w:t>
            </w:r>
          </w:p>
        </w:tc>
        <w:tc>
          <w:tcPr>
            <w:tcW w:w="10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50,286 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612,414 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84785"/>
                <wp:effectExtent l="0" t="0" r="0" b="0"/>
                <wp:wrapNone/>
                <wp:docPr id="12" name="Frame12"/>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60" w:after="283"/>
        <w:ind w:left="0" w:right="0" w:firstLine="360"/>
        <w:jc w:val="left"/>
        <w:rPr/>
      </w:pPr>
      <w:hyperlink w:anchor="i123540df82f04e0eb97811cc101df5ff_7">
        <w:r>
          <w:rPr>
            <w:rStyle w:val="InternetLink"/>
            <w:rFonts w:ascii="Times New Roman;serif" w:hAnsi="Times New Roman;serif"/>
            <w:b w:val="false"/>
            <w:color w:val="0000FF"/>
            <w:sz w:val="20"/>
            <w:u w:val="single"/>
          </w:rPr>
          <w:t>Table of Contents</w:t>
        </w:r>
      </w:hyperlink>
    </w:p>
    <w:tbl>
      <w:tblPr>
        <w:tblW w:w="9714" w:type="dxa"/>
        <w:jc w:val="center"/>
        <w:tblInd w:w="0" w:type="dxa"/>
        <w:tblLayout w:type="fixed"/>
        <w:tblCellMar>
          <w:top w:w="28" w:type="dxa"/>
          <w:left w:w="28" w:type="dxa"/>
          <w:bottom w:w="28" w:type="dxa"/>
          <w:right w:w="28" w:type="dxa"/>
        </w:tblCellMar>
      </w:tblPr>
      <w:tblGrid>
        <w:gridCol w:w="2553"/>
        <w:gridCol w:w="2242"/>
        <w:gridCol w:w="2255"/>
        <w:gridCol w:w="211"/>
        <w:gridCol w:w="826"/>
        <w:gridCol w:w="109"/>
        <w:gridCol w:w="109"/>
        <w:gridCol w:w="109"/>
        <w:gridCol w:w="109"/>
        <w:gridCol w:w="211"/>
        <w:gridCol w:w="826"/>
        <w:gridCol w:w="154"/>
      </w:tblGrid>
      <w:tr>
        <w:trPr/>
        <w:tc>
          <w:tcPr>
            <w:tcW w:w="2553" w:type="dxa"/>
            <w:tcBorders/>
            <w:vAlign w:val="center"/>
          </w:tcPr>
          <w:p>
            <w:pPr>
              <w:pStyle w:val="TableContents"/>
              <w:bidi w:val="0"/>
              <w:spacing w:before="0" w:after="283"/>
              <w:jc w:val="left"/>
              <w:rPr>
                <w:sz w:val="4"/>
                <w:szCs w:val="4"/>
              </w:rPr>
            </w:pPr>
            <w:r>
              <w:rPr>
                <w:sz w:val="4"/>
                <w:szCs w:val="4"/>
              </w:rPr>
            </w:r>
          </w:p>
        </w:tc>
        <w:tc>
          <w:tcPr>
            <w:tcW w:w="2242" w:type="dxa"/>
            <w:tcBorders/>
            <w:vAlign w:val="center"/>
          </w:tcPr>
          <w:p>
            <w:pPr>
              <w:pStyle w:val="TableContents"/>
              <w:bidi w:val="0"/>
              <w:spacing w:before="0" w:after="283"/>
              <w:jc w:val="left"/>
              <w:rPr>
                <w:sz w:val="4"/>
                <w:szCs w:val="4"/>
              </w:rPr>
            </w:pPr>
            <w:r>
              <w:rPr>
                <w:sz w:val="4"/>
                <w:szCs w:val="4"/>
              </w:rPr>
            </w:r>
          </w:p>
        </w:tc>
        <w:tc>
          <w:tcPr>
            <w:tcW w:w="225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5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Cash, cash equivalents, and restricted cash — beginning of period</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730,354 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260,918 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Cash, cash equivalents, and restricted cash — end of period</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780,640 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873,332 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activities: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assets obtained in exchange for operating lease liabilities</w:t>
            </w:r>
          </w:p>
        </w:tc>
        <w:tc>
          <w:tcPr>
            <w:tcW w:w="211"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7,988 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5,818 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Transfer of inventories to property and equipment</w:t>
            </w:r>
          </w:p>
        </w:tc>
        <w:tc>
          <w:tcPr>
            <w:tcW w:w="211"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7,982 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38,454 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Transfer of equipment from property and equipment to deferred expenses</w:t>
            </w:r>
          </w:p>
        </w:tc>
        <w:tc>
          <w:tcPr>
            <w:tcW w:w="211"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58,070 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Warrant associated with supplier agreement</w:t>
            </w:r>
          </w:p>
        </w:tc>
        <w:tc>
          <w:tcPr>
            <w:tcW w:w="211"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12,308 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contribution to unconsolidated entity</w:t>
            </w:r>
          </w:p>
        </w:tc>
        <w:tc>
          <w:tcPr>
            <w:tcW w:w="211"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6,942 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center"/>
        <w:rPr/>
      </w:pPr>
      <w:r>
        <w:rPr>
          <w:rFonts w:ascii="Times New Roman;serif" w:hAnsi="Times New Roman;serif"/>
          <w:b w:val="false"/>
          <w:color w:val="000000"/>
          <w:sz w:val="20"/>
        </w:rPr>
        <w:t>The accompanying notes are an integral part of these unaudited condensed consolidated financial statements.</w:t>
      </w:r>
      <w:r>
        <w:rPr>
          <w:color w:val="000000"/>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84785"/>
                <wp:effectExtent l="0" t="0" r="0" b="0"/>
                <wp:wrapNone/>
                <wp:docPr id="13" name="Frame13"/>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60" w:after="283"/>
        <w:ind w:left="0" w:right="0" w:firstLine="360"/>
        <w:jc w:val="left"/>
        <w:rPr/>
      </w:pPr>
      <w:hyperlink w:anchor="i123540df82f04e0eb97811cc101df5ff_7">
        <w:r>
          <w:rPr>
            <w:rStyle w:val="InternetLink"/>
            <w:rFonts w:ascii="Times New Roman;serif" w:hAnsi="Times New Roman;serif"/>
            <w:b w:val="false"/>
            <w:color w:val="0000FF"/>
            <w:sz w:val="20"/>
            <w:u w:val="single"/>
          </w:rPr>
          <w:t>Table of Contents</w:t>
        </w:r>
      </w:hyperlink>
    </w:p>
    <w:p>
      <w:pPr>
        <w:pStyle w:val="TextBody"/>
        <w:bidi w:val="0"/>
        <w:spacing w:lineRule="auto" w:line="240" w:before="240" w:after="2"/>
        <w:jc w:val="center"/>
        <w:rPr>
          <w:rFonts w:ascii="Times New Roman;serif" w:hAnsi="Times New Roman;serif"/>
          <w:b/>
          <w:color w:val="000000"/>
          <w:sz w:val="20"/>
        </w:rPr>
      </w:pPr>
      <w:r>
        <w:rPr>
          <w:rFonts w:ascii="Times New Roman;serif" w:hAnsi="Times New Roman;serif"/>
          <w:b/>
          <w:color w:val="000000"/>
          <w:sz w:val="20"/>
        </w:rPr>
        <w:t>Symbotic Inc.</w:t>
      </w:r>
    </w:p>
    <w:p>
      <w:pPr>
        <w:pStyle w:val="TextBody"/>
        <w:bidi w:val="0"/>
        <w:spacing w:lineRule="auto" w:line="240" w:before="2" w:after="2"/>
        <w:jc w:val="center"/>
        <w:rPr>
          <w:rFonts w:ascii="Times New Roman;serif" w:hAnsi="Times New Roman;serif"/>
          <w:b/>
          <w:color w:val="000000"/>
          <w:sz w:val="18"/>
        </w:rPr>
      </w:pPr>
      <w:r>
        <w:rPr>
          <w:rFonts w:ascii="Times New Roman;serif" w:hAnsi="Times New Roman;serif"/>
          <w:b/>
          <w:color w:val="000000"/>
          <w:sz w:val="18"/>
        </w:rPr>
        <w:t>Notes to Unaudited Condensed Consolidated Financial Statements</w:t>
      </w:r>
    </w:p>
    <w:p>
      <w:pPr>
        <w:pStyle w:val="TextBody"/>
        <w:bidi w:val="0"/>
        <w:spacing w:before="60" w:after="283"/>
        <w:ind w:left="0" w:right="0" w:firstLine="36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
        <w:jc w:val="both"/>
        <w:rPr>
          <w:rFonts w:ascii="Times New Roman;serif" w:hAnsi="Times New Roman;serif"/>
          <w:b/>
          <w:color w:val="000000"/>
          <w:sz w:val="20"/>
        </w:rPr>
      </w:pPr>
      <w:r>
        <w:rPr>
          <w:rFonts w:ascii="Times New Roman;serif" w:hAnsi="Times New Roman;serif"/>
          <w:b/>
          <w:color w:val="000000"/>
          <w:sz w:val="20"/>
        </w:rPr>
        <w:t>1. Organization and Operations</w:t>
      </w:r>
    </w:p>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SVF Investment Corp. 3, formerly known as SVF Investment III Corp., (“SVF 3” and, after the transactions described below, “Symbotic” or the “Company”) was a blank check company incorporated as a Cayman Islands exempted company on December 11, 2020. Warehouse Technologies LLC (“Legacy Warehouse”) was formed in December 2006 to make investments in companies that develop new technologies to improve operating efficiencies in modern warehouses. Symbotic LLC, a technology company that develops and commercializes innovative technologies for use within warehouse operations, and Symbotic Group Holdings, ULC were wholly owned subsidiaries of Legacy Warehouse. On December 12, 2021, (i) SVF 3 entered into an Agreement and Plan of Merger (the “Merger Agreement”) with Legacy Warehouse, Symbotic Holdings LLC (“Symbotic Holdings”), and Saturn Acquisition (DE) Corp., a wholly owned subsidiary of SVF 3 (“Merger Sub”), and (ii) Legacy Warehouse entered into an Agreement and Plan of Merger (the “Company Merger Agreement”) with Symbotic Holdings.</w:t>
      </w:r>
    </w:p>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On June 7, 2022, as contemplated by the Company Merger Agreement, Legacy Warehouse merged with and into Symbotic Holdings (the “Company Reorganization”), with Symbotic Holdings surviving the merger (“Interim Symbotic”). Immediately following such merger, on June 7, 2022, as contemplated by the Merger Agreement, SVF 3 transferred by way of continuation from the Cayman Islands and domesticated as a Delaware corporation, changing its name to “Symbotic Inc.”. Immediately following the domestication of SVF 3, on June 7, 2022, as contemplated by the Merger Agreement, Merger Sub merged with and into Interim Symbotic (the “Merger” and, together with the Company Reorganization, the “Business Combination”), with Interim Symbotic surviving the merger as a subsidiary of Symbotic (“New Symbotic Holdings”). </w:t>
      </w:r>
    </w:p>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Symbotic is an automation technology company established to develop technologies to improve operating efficiencies in modern warehouses. The Company’s vision is to make the supply chain work better for everyone. The Company does this by developing innovative, comprehensive technology solutions that dramatically improve supply chain operations. The Company currently automates the processing of pallets, cases, and eaches in large warehouses for some of the largest retail companies in the world. Its systems enhance operations at the front end of the supply chain, and therefore benefit all supply partners further down the chain, irrespective of fulfillment strategy. </w:t>
      </w:r>
    </w:p>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Company’s headquarters are located in Wilmington, Massachusetts, and its Canadian headquarters are located in Montreal, Quebec.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
        <w:jc w:val="both"/>
        <w:rPr>
          <w:rFonts w:ascii="Times New Roman;serif" w:hAnsi="Times New Roman;serif"/>
          <w:b/>
          <w:color w:val="000000"/>
          <w:sz w:val="20"/>
        </w:rPr>
      </w:pPr>
      <w:r>
        <w:rPr>
          <w:rFonts w:ascii="Times New Roman;serif" w:hAnsi="Times New Roman;serif"/>
          <w:b/>
          <w:color w:val="000000"/>
          <w:sz w:val="20"/>
        </w:rPr>
        <w:t>2. Summary of Significant Accounting Policies</w:t>
      </w:r>
    </w:p>
    <w:p>
      <w:pPr>
        <w:pStyle w:val="TextBody"/>
        <w:bidi w:val="0"/>
        <w:spacing w:lineRule="auto" w:line="288" w:before="120" w:after="60"/>
        <w:jc w:val="left"/>
        <w:rPr>
          <w:rFonts w:ascii="Times New Roman;serif" w:hAnsi="Times New Roman;serif"/>
          <w:b w:val="false"/>
          <w:i/>
          <w:color w:val="000000"/>
          <w:sz w:val="20"/>
        </w:rPr>
      </w:pPr>
      <w:r>
        <w:rPr>
          <w:rFonts w:ascii="Times New Roman;serif" w:hAnsi="Times New Roman;serif"/>
          <w:b w:val="false"/>
          <w:i/>
          <w:color w:val="000000"/>
          <w:sz w:val="20"/>
        </w:rPr>
        <w:t>Basis of Presentation and Consolidation</w:t>
      </w:r>
    </w:p>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accompanying unaudited condensed consolidated financial statements have been prepared in U.S. dollars, in accordance with accounting principles generally accepted in the United States of America (“GAAP”). Certain information and note disclosures normally included in the Company’s annual audited consolidated financial statements and accompanying notes prepared in accordance with GAAP have been condensed in, or omitted from, these interim financial statements. Accordingly, these unaudited condensed consolidated financial statements included herein should be read in conjunction with the audited consolidated financial statements and accompanying notes thereto as of and for the year ended September 28, 2024, which are included within the Company’s Annual Report on Form 10-K filed with the SEC on December 4, 2024. The September 28, 2024 condensed consolidated balance sheet included herein is derived from the Company’s audited consolidated financial statements. </w:t>
      </w:r>
    </w:p>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Amounts reported are computed based on thousands, except percentages, per share amounts, or as otherwise noted. As a result, certain totals may not sum due to rounding.</w:t>
      </w:r>
    </w:p>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accompanying unaudited condensed consolidated financial statements include the accounts of the Company and its wholly owned subsidiaries and majority-owned subsidiaries and reflect all adjustments (consisting solely of normal, recurring adjustments) which are, in the opinion of management, necessary for a fair statement of results for the interim periods presented. All intercompany balances and transactions have been eliminated in consolidation. The consolidated financial statements include 100% of the accounts of wholly owned and majority-owned subsidiaries and the ownership interest of the minority investor is recorded as a non-controlling interest in a subsidiary. The results of operations for the interim periods presented are not necessarily indicative of the results to be expected for any future period or the entire fiscal year.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84785"/>
                <wp:effectExtent l="0" t="0" r="0" b="0"/>
                <wp:wrapNone/>
                <wp:docPr id="14" name="Frame14"/>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60" w:after="283"/>
        <w:ind w:left="0" w:right="0" w:firstLine="360"/>
        <w:jc w:val="left"/>
        <w:rPr/>
      </w:pPr>
      <w:hyperlink w:anchor="i123540df82f04e0eb97811cc101df5ff_7">
        <w:r>
          <w:rPr>
            <w:rStyle w:val="InternetLink"/>
            <w:rFonts w:ascii="Times New Roman;serif" w:hAnsi="Times New Roman;serif"/>
            <w:b w:val="false"/>
            <w:color w:val="0000FF"/>
            <w:sz w:val="20"/>
            <w:u w:val="single"/>
          </w:rPr>
          <w:t>Table of Contents</w:t>
        </w:r>
      </w:hyperlink>
    </w:p>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 operates and reports using a 52-53 week fiscal year ending on the last Saturday of September of each calendar year. Each of the Company’s fiscal quarters end on the last Saturday of the third month of each quarter.</w:t>
      </w:r>
    </w:p>
    <w:p>
      <w:pPr>
        <w:pStyle w:val="TextBody"/>
        <w:bidi w:val="0"/>
        <w:spacing w:lineRule="auto" w:line="288" w:before="120" w:after="60"/>
        <w:jc w:val="left"/>
        <w:rPr>
          <w:rFonts w:ascii="Times New Roman;serif" w:hAnsi="Times New Roman;serif"/>
          <w:b w:val="false"/>
          <w:i/>
          <w:color w:val="000000"/>
          <w:sz w:val="20"/>
        </w:rPr>
      </w:pPr>
      <w:r>
        <w:rPr>
          <w:rFonts w:ascii="Times New Roman;serif" w:hAnsi="Times New Roman;serif"/>
          <w:b w:val="false"/>
          <w:i/>
          <w:color w:val="000000"/>
          <w:sz w:val="20"/>
        </w:rPr>
        <w:t>Use of Estimates</w:t>
      </w:r>
    </w:p>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preparation of unaudited condensed consolidated financial statements in conformity with GAAP requires management to make estimates, judgments, and assumptions that affect the reported amounts of assets, liabilities, revenue, and expenses, and the amounts disclosed in the related notes to the consolidated financial statements. Actual results and outcomes may differ materially from management’s estimates, judgments, and assumptions. Significant estimates, judgments, and assumptions used in these financial statements include, but are not limited to, those related to revenue, useful lives and realizability of long-lived assets, accounting for income taxes and related valuation allowances, and stock-based compensation. Estimates are periodically reviewed in light of changes in circumstances, facts, and experience. </w:t>
      </w:r>
    </w:p>
    <w:p>
      <w:pPr>
        <w:pStyle w:val="TextBody"/>
        <w:bidi w:val="0"/>
        <w:spacing w:lineRule="auto" w:line="288" w:before="120" w:after="60"/>
        <w:jc w:val="left"/>
        <w:rPr>
          <w:rFonts w:ascii="Times New Roman;serif" w:hAnsi="Times New Roman;serif"/>
          <w:b w:val="false"/>
          <w:i/>
          <w:color w:val="000000"/>
          <w:sz w:val="20"/>
        </w:rPr>
      </w:pPr>
      <w:r>
        <w:rPr>
          <w:rFonts w:ascii="Times New Roman;serif" w:hAnsi="Times New Roman;serif"/>
          <w:b w:val="false"/>
          <w:i/>
          <w:color w:val="000000"/>
          <w:sz w:val="20"/>
        </w:rPr>
        <w:t>Significant Accounting Policies</w:t>
      </w:r>
    </w:p>
    <w:p>
      <w:pPr>
        <w:pStyle w:val="TextBody"/>
        <w:bidi w:val="0"/>
        <w:spacing w:lineRule="auto" w:line="288" w:before="60" w:after="283"/>
        <w:ind w:left="0" w:right="0" w:firstLine="360"/>
        <w:jc w:val="left"/>
        <w:rPr/>
      </w:pPr>
      <w:r>
        <w:rPr>
          <w:rFonts w:ascii="Times New Roman;serif" w:hAnsi="Times New Roman;serif"/>
          <w:b w:val="false"/>
          <w:color w:val="000000"/>
          <w:sz w:val="20"/>
        </w:rPr>
        <w:t xml:space="preserve">The Company’s significant accounting policies are described in Note 2, </w:t>
      </w:r>
      <w:r>
        <w:rPr>
          <w:rFonts w:ascii="Times New Roman;serif" w:hAnsi="Times New Roman;serif"/>
          <w:b w:val="false"/>
          <w:i/>
          <w:color w:val="000000"/>
          <w:sz w:val="20"/>
        </w:rPr>
        <w:t>Summary of Significant Accounting Policies</w:t>
      </w:r>
      <w:r>
        <w:rPr>
          <w:rFonts w:ascii="Times New Roman;serif" w:hAnsi="Times New Roman;serif"/>
          <w:b w:val="false"/>
          <w:color w:val="000000"/>
          <w:sz w:val="20"/>
        </w:rPr>
        <w:t>, to the audited consolidated financial statements and related notes thereto as of and for the year ended September 28, 2024. Except as noted below, there have been no material changes to the significant accounting policies during the three month period ended June 28, 2025.</w:t>
      </w:r>
    </w:p>
    <w:p>
      <w:pPr>
        <w:pStyle w:val="TextBody"/>
        <w:bidi w:val="0"/>
        <w:spacing w:lineRule="auto" w:line="288" w:before="120" w:after="60"/>
        <w:jc w:val="left"/>
        <w:rPr>
          <w:rFonts w:ascii="Times New Roman;serif" w:hAnsi="Times New Roman;serif"/>
          <w:b w:val="false"/>
          <w:i/>
          <w:color w:val="000000"/>
          <w:sz w:val="20"/>
        </w:rPr>
      </w:pPr>
      <w:r>
        <w:rPr>
          <w:rFonts w:ascii="Times New Roman;serif" w:hAnsi="Times New Roman;serif"/>
          <w:b w:val="false"/>
          <w:i/>
          <w:color w:val="000000"/>
          <w:sz w:val="20"/>
        </w:rPr>
        <w:t>Business Acquisitions</w:t>
      </w:r>
    </w:p>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 allocates the fair value of purchase consideration to the tangible assets acquired, liabilities assumed, and intangible assets acquired based on their estimated fair values. The excess of the fair value of purchase consideration over the fair value of these identifiable assets and liabilities is recorded as goodwill. During the measurement period, which may be up to one year from the acquisition date, the Company may record adjustments to the fair value of these assets acquired and liabilities assumed with the corresponding offset to goodwill. Upon the conclusion of the final determination of the fair value of assets acquired or liabilities assumed, any subsequent adjustments are recorded to the condensed consolidated statements of operations. Determining the fair value of the tangible assets acquired, liabilities assumed, and intangible assets requires management to make significant estimates and assumptions, especially with respect to intangible assets. Significant estimates in valuing certain intangible assets include, but are not limited to, cash flows that an asset is expected to generate in the future, technology migration curves, discount rates, and useful lives. While the Company uses its best estimates and judgements, the estimates are inherently uncertain and subject to refinement. Acquisition-related transaction costs are expensed as incurred.</w:t>
      </w:r>
    </w:p>
    <w:p>
      <w:pPr>
        <w:pStyle w:val="TextBody"/>
        <w:bidi w:val="0"/>
        <w:spacing w:lineRule="auto" w:line="288" w:before="120" w:after="60"/>
        <w:jc w:val="left"/>
        <w:rPr>
          <w:rFonts w:ascii="Times New Roman;serif" w:hAnsi="Times New Roman;serif"/>
          <w:b w:val="false"/>
          <w:i/>
          <w:color w:val="000000"/>
          <w:sz w:val="20"/>
        </w:rPr>
      </w:pPr>
      <w:r>
        <w:rPr>
          <w:rFonts w:ascii="Times New Roman;serif" w:hAnsi="Times New Roman;serif"/>
          <w:b w:val="false"/>
          <w:i/>
          <w:color w:val="000000"/>
          <w:sz w:val="20"/>
        </w:rPr>
        <w:t>Goodwill</w:t>
      </w:r>
    </w:p>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Goodwill represents the excess of cost over the fair value of the net tangible and identifiable intangible assets acquired in a business combination. Goodwill is not subject to amortization but is monitored annually for impairment or more frequently if there are indicators of impairment. The Company considers the following potential indicators of impairment: significant underperformance relative to historical or projected future operating results, significant changes in the Company’s use of acquired assets or the strategy of the Company’s overall business, significant negative industry or economic trends and a significant decline in the Company’s stock price for a sustained period. The Company performs its annual impairment test on the first day of its fourth fiscal quarter. The Company’s goodwill is evaluated at the consolidated level as it has been determined there is one operating segment comprised of one reporting unit. The Company performs a quantitative or qualitative assessment, which compares the fair value of the reporting unit with its carrying value. If the carrying amount of the reporting unit exceeds its fair value, an impairment loss is recognized. The Company will perform this assessment on the first day of the fourth fiscal quarter, or June 29, 2025.</w:t>
      </w:r>
    </w:p>
    <w:p>
      <w:pPr>
        <w:pStyle w:val="TextBody"/>
        <w:bidi w:val="0"/>
        <w:spacing w:lineRule="auto" w:line="288" w:before="120" w:after="60"/>
        <w:jc w:val="left"/>
        <w:rPr>
          <w:rFonts w:ascii="Times New Roman;serif" w:hAnsi="Times New Roman;serif"/>
          <w:b w:val="false"/>
          <w:i/>
          <w:color w:val="000000"/>
          <w:sz w:val="20"/>
        </w:rPr>
      </w:pPr>
      <w:r>
        <w:rPr>
          <w:rFonts w:ascii="Times New Roman;serif" w:hAnsi="Times New Roman;serif"/>
          <w:b w:val="false"/>
          <w:i/>
          <w:color w:val="000000"/>
          <w:sz w:val="20"/>
        </w:rPr>
        <w:t>Presentation of Restricted Cash</w:t>
      </w:r>
    </w:p>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Restricted cash primarily consists of collateral required for a credit card processing program and a U.S. customs bond. The short-term or long-term classification is determined in accordance with the required amount of time the cash is to be held as collateral, which is short-term for less than 12 months, and long-term for greater than 12 months from the balance sheet date.</w:t>
      </w:r>
    </w:p>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end-of-period cash and cash equivalents from the Company’s consolidated balance sheets and the total cash, cash equivalents, and restricted cash as presented on the accompanying consolidated statements of cash flows (in thousands):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84785"/>
                <wp:effectExtent l="0" t="0" r="0" b="0"/>
                <wp:wrapNone/>
                <wp:docPr id="15" name="Frame15"/>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60" w:after="283"/>
        <w:ind w:left="0" w:right="0" w:firstLine="360"/>
        <w:jc w:val="left"/>
        <w:rPr/>
      </w:pPr>
      <w:hyperlink w:anchor="i123540df82f04e0eb97811cc101df5ff_7">
        <w:r>
          <w:rPr>
            <w:rStyle w:val="InternetLink"/>
            <w:rFonts w:ascii="Times New Roman;serif" w:hAnsi="Times New Roman;serif"/>
            <w:b w:val="false"/>
            <w:color w:val="0000FF"/>
            <w:sz w:val="20"/>
            <w:u w:val="single"/>
          </w:rPr>
          <w:t>Table of Contents</w:t>
        </w:r>
      </w:hyperlink>
    </w:p>
    <w:tbl>
      <w:tblPr>
        <w:tblW w:w="9310" w:type="dxa"/>
        <w:jc w:val="left"/>
        <w:tblInd w:w="0" w:type="dxa"/>
        <w:tblLayout w:type="fixed"/>
        <w:tblCellMar>
          <w:top w:w="28" w:type="dxa"/>
          <w:left w:w="28" w:type="dxa"/>
          <w:bottom w:w="28" w:type="dxa"/>
          <w:right w:w="28" w:type="dxa"/>
        </w:tblCellMar>
      </w:tblPr>
      <w:tblGrid>
        <w:gridCol w:w="2401"/>
        <w:gridCol w:w="2107"/>
        <w:gridCol w:w="2122"/>
        <w:gridCol w:w="212"/>
        <w:gridCol w:w="833"/>
        <w:gridCol w:w="109"/>
        <w:gridCol w:w="109"/>
        <w:gridCol w:w="109"/>
        <w:gridCol w:w="109"/>
        <w:gridCol w:w="212"/>
        <w:gridCol w:w="832"/>
        <w:gridCol w:w="155"/>
      </w:tblGrid>
      <w:tr>
        <w:trPr/>
        <w:tc>
          <w:tcPr>
            <w:tcW w:w="2401" w:type="dxa"/>
            <w:tcBorders/>
            <w:vAlign w:val="center"/>
          </w:tcPr>
          <w:p>
            <w:pPr>
              <w:pStyle w:val="TableContents"/>
              <w:bidi w:val="0"/>
              <w:spacing w:before="0" w:after="283"/>
              <w:jc w:val="left"/>
              <w:rPr>
                <w:sz w:val="4"/>
                <w:szCs w:val="4"/>
              </w:rPr>
            </w:pPr>
            <w:r>
              <w:rPr>
                <w:sz w:val="4"/>
                <w:szCs w:val="4"/>
              </w:rPr>
            </w:r>
          </w:p>
        </w:tc>
        <w:tc>
          <w:tcPr>
            <w:tcW w:w="2107" w:type="dxa"/>
            <w:tcBorders/>
            <w:vAlign w:val="center"/>
          </w:tcPr>
          <w:p>
            <w:pPr>
              <w:pStyle w:val="TableContents"/>
              <w:bidi w:val="0"/>
              <w:spacing w:before="0" w:after="283"/>
              <w:jc w:val="left"/>
              <w:rPr>
                <w:sz w:val="4"/>
                <w:szCs w:val="4"/>
              </w:rPr>
            </w:pPr>
            <w:r>
              <w:rPr>
                <w:sz w:val="4"/>
                <w:szCs w:val="4"/>
              </w:rPr>
            </w:r>
          </w:p>
        </w:tc>
        <w:tc>
          <w:tcPr>
            <w:tcW w:w="2122"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0" w:type="dxa"/>
            <w:gridSpan w:val="9"/>
            <w:tcBorders/>
            <w:tcMar>
              <w:top w:w="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8"/>
              </w:rPr>
            </w:pPr>
            <w:r>
              <w:rPr>
                <w:rFonts w:ascii="Times New Roman;serif" w:hAnsi="Times New Roman;serif"/>
                <w:b/>
                <w:color w:val="000000"/>
                <w:sz w:val="18"/>
              </w:rPr>
              <w:t>Nine Months Ended</w:t>
            </w:r>
          </w:p>
        </w:tc>
      </w:tr>
      <w:tr>
        <w:trPr/>
        <w:tc>
          <w:tcPr>
            <w:tcW w:w="6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8"/>
              </w:rPr>
            </w:pPr>
            <w:r>
              <w:rPr>
                <w:rFonts w:ascii="Times New Roman;serif" w:hAnsi="Times New Roman;serif"/>
                <w:b/>
                <w:color w:val="000000"/>
                <w:sz w:val="18"/>
              </w:rPr>
              <w:t>June 28,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8"/>
              </w:rPr>
            </w:pPr>
            <w:r>
              <w:rPr>
                <w:rFonts w:ascii="Times New Roman;serif" w:hAnsi="Times New Roman;serif"/>
                <w:b/>
                <w:color w:val="000000"/>
                <w:sz w:val="18"/>
              </w:rPr>
              <w:t>June 29, 2024</w:t>
            </w:r>
          </w:p>
        </w:tc>
      </w:tr>
      <w:tr>
        <w:trPr/>
        <w:tc>
          <w:tcPr>
            <w:tcW w:w="663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Cash and cash equivalents </w:t>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777,576 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870,469 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 classified in:</w:t>
            </w:r>
          </w:p>
        </w:tc>
        <w:tc>
          <w:tcPr>
            <w:tcW w:w="11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870 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Other long-term assets</w:t>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2,194 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2,863 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Cash, cash equivalents, and restricted cash shown in the statements of cash flows</w:t>
            </w:r>
          </w:p>
        </w:tc>
        <w:tc>
          <w:tcPr>
            <w:tcW w:w="2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780,640 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873,332 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60"/>
        <w:jc w:val="left"/>
        <w:rPr>
          <w:rFonts w:ascii="Times New Roman;serif" w:hAnsi="Times New Roman;serif"/>
          <w:b w:val="false"/>
          <w:i/>
          <w:color w:val="000000"/>
          <w:sz w:val="20"/>
        </w:rPr>
      </w:pPr>
      <w:r>
        <w:rPr>
          <w:rFonts w:ascii="Times New Roman;serif" w:hAnsi="Times New Roman;serif"/>
          <w:b w:val="false"/>
          <w:i/>
          <w:color w:val="000000"/>
          <w:sz w:val="20"/>
        </w:rPr>
        <w:t>Volume of Business</w:t>
      </w:r>
    </w:p>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 has concentration in the volume of purchases it conducts with its suppliers. For the three months ended June 28, 2025, there were two suppliers that accounted for greater than 10% of total purchases, and the aggregate purchases from these suppliers amounted to $96.1 million. For the nine months ended June 28, 2025, there was one supplier that accounted for greater than 10% of total purchases, and the aggregate purchases from that supplier amounted to $151.8 million. For the three months ended June 29, 2024, there was one supplier that accounted for greater than 10% of total purchases, and the aggregate purchases from that supplier amounted to $66.8 million. For the nine months ended June 29, 2024, there were two suppliers that accounted for greater than 10% of total purchases, and the aggregate purchases from these suppliers amounted to $244.5 million.</w:t>
      </w:r>
    </w:p>
    <w:p>
      <w:pPr>
        <w:pStyle w:val="TextBody"/>
        <w:bidi w:val="0"/>
        <w:spacing w:lineRule="auto" w:line="288" w:before="120" w:after="60"/>
        <w:jc w:val="left"/>
        <w:rPr>
          <w:rFonts w:ascii="Times New Roman;serif" w:hAnsi="Times New Roman;serif"/>
          <w:b w:val="false"/>
          <w:i/>
          <w:color w:val="000000"/>
          <w:sz w:val="20"/>
        </w:rPr>
      </w:pPr>
      <w:r>
        <w:rPr>
          <w:rFonts w:ascii="Times New Roman;serif" w:hAnsi="Times New Roman;serif"/>
          <w:b w:val="false"/>
          <w:i/>
          <w:color w:val="000000"/>
          <w:sz w:val="20"/>
        </w:rPr>
        <w:t>Recent Accounting Pronouncements</w:t>
      </w:r>
    </w:p>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November 2023, the Financial Accounting Standards Board (“FASB”) issued Accounting Standards Update (“ASU”) 2023-07, “Segment Reporting (Topic 280): Improvements to Reportable Segment Disclosures” (“ASU 2023-07”). ASU 2023-07 enhances segment reporting under Topic 280 by expanding the breadth and frequency of segment disclosures. ASU 2023-07 requires disclosure of significant expenses that are regularly provided to an entity’s chief operating decision maker (“CODM”) and included in the reported measure(s) of a segment’s profit or loss. When applying this disclosure requirement, an entity identifies the segment expenses that are regularly provided to the CODM or easily computable from information that is regularly provided to the CODM. Entities are also required to disclose other segment items, i.e., the difference between reported segment revenue less the significant segment expenses and the reported measure(s) of a segment’s profit or loss. ASU 2023-07 also clarifies that single reportable segment entities are subject to Topic 280 in its entirety. ASU 2023-07 is effective for public entities for fiscal years beginning after December 15, 2023, and interim periods in fiscal years beginning after December 15, 2024. The amendments in ASU 2023-07 should be adopted retrospectively unless impracticable. Early adoption is permitted. The disclosures required by ASU 2023-07 are not expected to have a material effect on the Company’s consolidated financial statements.</w:t>
      </w:r>
    </w:p>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December 2023, the FASB issued ASU 2023-09, “Income Taxes (Topic 740): Improvements to Income Tax Disclosures” (“ASU 2023-09”). ASU 2023-09 requires public entities, on an annual basis, to provide: a tabular rate reconciliation (using both percentages and reporting currency amounts) of (1) the reported income tax expense (or benefit) from continuing operations, to (2) the product of the income (or loss) from continuing operations before income taxes and the applicable statutory federal (national) income tax rate of the jurisdiction (country) of domicile using specific categories, and separate disclosure for any reconciling items within certain categories that are equal to or greater than a specified quantitative threshold. For each annual period presented, ASU 2023-09 also requires all reporting entities to disclose the year-to-date amount of income taxes paid (net of refunds received) disaggregated by federal (national), state, and foreign. It also requires additional disaggregated information on income taxes paid (net of refunds received) to an individual jurisdiction equal to or greater than 5% of total income taxes paid (net of refunds received). ASU 2023-09 is effective for public entities for fiscal years beginning after December 15, 2024. ASU 2023-09 is to be applied on a prospective basis with the option to apply the standard retrospectively. Early adoption is permitted. The Company is currently evaluating the impact that ASU 2023-09 will have on its consolidated financial statements.</w:t>
      </w:r>
    </w:p>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November 2024, the FASB issued ASU 2024-03, “Income Statement-Reporting Comprehensive Income-Expense Disaggregation Disclosures (Subtopic 220-40) - Disaggregation of Income Statement Expenses” (“ASU 2024-03”), which requires additional disclosure about specified categories of expenses included in relevant expense captions presented on the income statement. The amendments are effective for annual periods beginning after December 15, 2026, and for interim periods within fiscal years beginning after December 15, 2027. Early adoption is permitted. The amendments may be applied either prospectively or retrospectively. The Company is currently evaluating the impact that ASU 2024-03 will have on its disclosures.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84785"/>
                <wp:effectExtent l="0" t="0" r="0" b="0"/>
                <wp:wrapNone/>
                <wp:docPr id="16" name="Frame16"/>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60" w:after="283"/>
        <w:ind w:left="0" w:right="0" w:firstLine="360"/>
        <w:jc w:val="left"/>
        <w:rPr/>
      </w:pPr>
      <w:hyperlink w:anchor="i123540df82f04e0eb97811cc101df5ff_7">
        <w:r>
          <w:rPr>
            <w:rStyle w:val="InternetLink"/>
            <w:rFonts w:ascii="Times New Roman;serif" w:hAnsi="Times New Roman;serif"/>
            <w:b w:val="false"/>
            <w:color w:val="0000FF"/>
            <w:sz w:val="20"/>
            <w:u w:val="single"/>
          </w:rPr>
          <w:t>Table of Contents</w:t>
        </w:r>
      </w:hyperlink>
    </w:p>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 considers the applicability and impact of all ASUs issued by the FASB. There are no other accounting pronouncements which have been issued but are not yet effective that would have a material impact on the consolidated financial statements when adopted.</w:t>
      </w:r>
    </w:p>
    <w:p>
      <w:pPr>
        <w:pStyle w:val="TextBody"/>
        <w:bidi w:val="0"/>
        <w:spacing w:lineRule="auto" w:line="288" w:before="120" w:after="60"/>
        <w:jc w:val="left"/>
        <w:rPr>
          <w:rFonts w:ascii="Times New Roman;serif" w:hAnsi="Times New Roman;serif"/>
          <w:b w:val="false"/>
          <w:i/>
          <w:color w:val="000000"/>
          <w:sz w:val="20"/>
        </w:rPr>
      </w:pPr>
      <w:r>
        <w:rPr>
          <w:rFonts w:ascii="Times New Roman;serif" w:hAnsi="Times New Roman;serif"/>
          <w:b w:val="false"/>
          <w:i/>
          <w:color w:val="000000"/>
          <w:sz w:val="20"/>
        </w:rPr>
        <w:t>Recent Legislation</w:t>
      </w:r>
    </w:p>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On July 4, 2025, the One Big Beautiful Bill Act (“OBBBA”) was signed into law in the United States. Key provisions of the OBBBA include permanent extension of once-temporary provisions of the Tax Cuts and Jobs Act of 2017 (TCJA), along with the introduction of other significant changes that may impact the Company. The legislation has multiple effective dates, with certain provisions effective in the Company’s fiscal year 2025 and others implemented through the Company’s fiscal year 2028. The Company is currently evaluating the impact of the OBBBA on its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
        <w:jc w:val="both"/>
        <w:rPr>
          <w:rFonts w:ascii="Times New Roman;serif" w:hAnsi="Times New Roman;serif"/>
          <w:b/>
          <w:color w:val="000000"/>
          <w:sz w:val="20"/>
        </w:rPr>
      </w:pPr>
      <w:r>
        <w:rPr>
          <w:rFonts w:ascii="Times New Roman;serif" w:hAnsi="Times New Roman;serif"/>
          <w:b/>
          <w:color w:val="000000"/>
          <w:sz w:val="20"/>
        </w:rPr>
        <w:t>3. Noncontrolling Interests</w:t>
      </w:r>
    </w:p>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Noncontrolling interests represent the portion of net assets in consolidated entities that are not owned by the Company.</w:t>
      </w:r>
    </w:p>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ownership of the stock of the Company for the three months ended June 28, 2025.</w:t>
      </w:r>
    </w:p>
    <w:tbl>
      <w:tblPr>
        <w:tblW w:w="10205" w:type="dxa"/>
        <w:jc w:val="left"/>
        <w:tblInd w:w="0" w:type="dxa"/>
        <w:tblLayout w:type="fixed"/>
        <w:tblCellMar>
          <w:top w:w="28" w:type="dxa"/>
          <w:left w:w="28" w:type="dxa"/>
          <w:bottom w:w="28" w:type="dxa"/>
          <w:right w:w="28" w:type="dxa"/>
        </w:tblCellMar>
      </w:tblPr>
      <w:tblGrid>
        <w:gridCol w:w="534"/>
        <w:gridCol w:w="287"/>
        <w:gridCol w:w="289"/>
        <w:gridCol w:w="649"/>
        <w:gridCol w:w="546"/>
        <w:gridCol w:w="306"/>
        <w:gridCol w:w="109"/>
        <w:gridCol w:w="109"/>
        <w:gridCol w:w="109"/>
        <w:gridCol w:w="924"/>
        <w:gridCol w:w="339"/>
        <w:gridCol w:w="340"/>
        <w:gridCol w:w="109"/>
        <w:gridCol w:w="109"/>
        <w:gridCol w:w="109"/>
        <w:gridCol w:w="593"/>
        <w:gridCol w:w="593"/>
        <w:gridCol w:w="171"/>
        <w:gridCol w:w="109"/>
        <w:gridCol w:w="109"/>
        <w:gridCol w:w="109"/>
        <w:gridCol w:w="335"/>
        <w:gridCol w:w="204"/>
        <w:gridCol w:w="508"/>
        <w:gridCol w:w="109"/>
        <w:gridCol w:w="109"/>
        <w:gridCol w:w="109"/>
        <w:gridCol w:w="358"/>
        <w:gridCol w:w="227"/>
        <w:gridCol w:w="565"/>
        <w:gridCol w:w="109"/>
        <w:gridCol w:w="109"/>
        <w:gridCol w:w="109"/>
        <w:gridCol w:w="233"/>
        <w:gridCol w:w="233"/>
        <w:gridCol w:w="336"/>
      </w:tblGrid>
      <w:tr>
        <w:trPr/>
        <w:tc>
          <w:tcPr>
            <w:tcW w:w="534"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r>
      <w:tr>
        <w:trPr/>
        <w:tc>
          <w:tcPr>
            <w:tcW w:w="1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8"/>
              </w:rPr>
            </w:pPr>
            <w:r>
              <w:rPr>
                <w:rFonts w:ascii="Times New Roman;serif" w:hAnsi="Times New Roman;serif"/>
                <w:b/>
                <w:color w:val="000000"/>
                <w:sz w:val="18"/>
              </w:rPr>
              <w:t>Class A 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3"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8"/>
              </w:rPr>
            </w:pPr>
            <w:r>
              <w:rPr>
                <w:rFonts w:ascii="Times New Roman;serif" w:hAnsi="Times New Roman;serif"/>
                <w:b/>
                <w:color w:val="000000"/>
                <w:sz w:val="18"/>
              </w:rPr>
              <w:t>Class V-1 and Class V-3 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8"/>
              </w:rPr>
            </w:pPr>
            <w:r>
              <w:rPr>
                <w:rFonts w:ascii="Times New Roman;serif" w:hAnsi="Times New Roman;serif"/>
                <w:b/>
                <w:color w:val="000000"/>
                <w:sz w:val="18"/>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8"/>
              </w:rPr>
            </w:pPr>
            <w:r>
              <w:rPr>
                <w:rFonts w:ascii="Times New Roman;serif" w:hAnsi="Times New Roman;serif"/>
                <w:b/>
                <w:color w:val="000000"/>
                <w:sz w:val="18"/>
              </w:rPr>
              <w:t>Class A 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8"/>
              </w:rPr>
            </w:pPr>
            <w:r>
              <w:rPr>
                <w:rFonts w:ascii="Times New Roman;serif" w:hAnsi="Times New Roman;serif"/>
                <w:b/>
                <w:color w:val="000000"/>
                <w:sz w:val="18"/>
              </w:rPr>
              <w:t>Class V-1 and Class V-3 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111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March 29, 2025</w:t>
            </w:r>
          </w:p>
        </w:tc>
        <w:tc>
          <w:tcPr>
            <w:tcW w:w="11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108,380,772 </w:t>
            </w:r>
          </w:p>
        </w:tc>
        <w:tc>
          <w:tcPr>
            <w:tcW w:w="3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480,532,521 </w:t>
            </w:r>
          </w:p>
        </w:tc>
        <w:tc>
          <w:tcPr>
            <w:tcW w:w="3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588,913,293 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Issuances</w:t>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914,007 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914,007 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Exchanges</w:t>
            </w:r>
          </w:p>
        </w:tc>
        <w:tc>
          <w:tcPr>
            <w:tcW w:w="1195"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958,154 </w:t>
            </w:r>
          </w:p>
        </w:tc>
        <w:tc>
          <w:tcPr>
            <w:tcW w:w="3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(958,154)</w:t>
            </w:r>
          </w:p>
        </w:tc>
        <w:tc>
          <w:tcPr>
            <w:tcW w:w="3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June 28, 2025</w:t>
            </w:r>
          </w:p>
        </w:tc>
        <w:tc>
          <w:tcPr>
            <w:tcW w:w="1195"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110,252,933 </w:t>
            </w:r>
          </w:p>
        </w:tc>
        <w:tc>
          <w:tcPr>
            <w:tcW w:w="3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479,574,367 </w:t>
            </w:r>
          </w:p>
        </w:tc>
        <w:tc>
          <w:tcPr>
            <w:tcW w:w="3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589,827,300 </w:t>
            </w:r>
          </w:p>
        </w:tc>
        <w:tc>
          <w:tcPr>
            <w:tcW w:w="1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18.7 </w:t>
            </w:r>
          </w:p>
        </w:tc>
        <w:tc>
          <w:tcPr>
            <w:tcW w:w="5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81.3 </w:t>
            </w:r>
          </w:p>
        </w:tc>
        <w:tc>
          <w:tcPr>
            <w:tcW w:w="5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3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ownership of the stock of the Company for the nine months ended June 28, 2025.</w:t>
      </w:r>
    </w:p>
    <w:tbl>
      <w:tblPr>
        <w:tblW w:w="10205" w:type="dxa"/>
        <w:jc w:val="left"/>
        <w:tblInd w:w="0" w:type="dxa"/>
        <w:tblLayout w:type="fixed"/>
        <w:tblCellMar>
          <w:top w:w="28" w:type="dxa"/>
          <w:left w:w="28" w:type="dxa"/>
          <w:bottom w:w="28" w:type="dxa"/>
          <w:right w:w="28" w:type="dxa"/>
        </w:tblCellMar>
      </w:tblPr>
      <w:tblGrid>
        <w:gridCol w:w="637"/>
        <w:gridCol w:w="334"/>
        <w:gridCol w:w="335"/>
        <w:gridCol w:w="649"/>
        <w:gridCol w:w="542"/>
        <w:gridCol w:w="292"/>
        <w:gridCol w:w="109"/>
        <w:gridCol w:w="109"/>
        <w:gridCol w:w="109"/>
        <w:gridCol w:w="918"/>
        <w:gridCol w:w="310"/>
        <w:gridCol w:w="312"/>
        <w:gridCol w:w="109"/>
        <w:gridCol w:w="109"/>
        <w:gridCol w:w="109"/>
        <w:gridCol w:w="593"/>
        <w:gridCol w:w="593"/>
        <w:gridCol w:w="171"/>
        <w:gridCol w:w="109"/>
        <w:gridCol w:w="109"/>
        <w:gridCol w:w="109"/>
        <w:gridCol w:w="331"/>
        <w:gridCol w:w="195"/>
        <w:gridCol w:w="485"/>
        <w:gridCol w:w="109"/>
        <w:gridCol w:w="109"/>
        <w:gridCol w:w="109"/>
        <w:gridCol w:w="344"/>
        <w:gridCol w:w="208"/>
        <w:gridCol w:w="517"/>
        <w:gridCol w:w="109"/>
        <w:gridCol w:w="109"/>
        <w:gridCol w:w="109"/>
        <w:gridCol w:w="233"/>
        <w:gridCol w:w="233"/>
        <w:gridCol w:w="338"/>
      </w:tblGrid>
      <w:tr>
        <w:trPr/>
        <w:tc>
          <w:tcPr>
            <w:tcW w:w="637"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r>
      <w:tr>
        <w:trPr/>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8"/>
              </w:rPr>
            </w:pPr>
            <w:r>
              <w:rPr>
                <w:rFonts w:ascii="Times New Roman;serif" w:hAnsi="Times New Roman;serif"/>
                <w:b/>
                <w:color w:val="000000"/>
                <w:sz w:val="18"/>
              </w:rPr>
              <w:t>Class A 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0"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8"/>
              </w:rPr>
            </w:pPr>
            <w:r>
              <w:rPr>
                <w:rFonts w:ascii="Times New Roman;serif" w:hAnsi="Times New Roman;serif"/>
                <w:b/>
                <w:color w:val="000000"/>
                <w:sz w:val="18"/>
              </w:rPr>
              <w:t>Class V-1 and Class V-3 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8"/>
              </w:rPr>
            </w:pPr>
            <w:r>
              <w:rPr>
                <w:rFonts w:ascii="Times New Roman;serif" w:hAnsi="Times New Roman;serif"/>
                <w:b/>
                <w:color w:val="000000"/>
                <w:sz w:val="18"/>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8"/>
              </w:rPr>
            </w:pPr>
            <w:r>
              <w:rPr>
                <w:rFonts w:ascii="Times New Roman;serif" w:hAnsi="Times New Roman;serif"/>
                <w:b/>
                <w:color w:val="000000"/>
                <w:sz w:val="18"/>
              </w:rPr>
              <w:t>Class A 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8"/>
              </w:rPr>
            </w:pPr>
            <w:r>
              <w:rPr>
                <w:rFonts w:ascii="Times New Roman;serif" w:hAnsi="Times New Roman;serif"/>
                <w:b/>
                <w:color w:val="000000"/>
                <w:sz w:val="18"/>
              </w:rPr>
              <w:t>Class V-1 and Class V-3 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September 28, 2024</w:t>
            </w:r>
          </w:p>
        </w:tc>
        <w:tc>
          <w:tcPr>
            <w:tcW w:w="11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104,689,377 </w:t>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481,274,582 </w:t>
            </w:r>
          </w:p>
        </w:tc>
        <w:tc>
          <w:tcPr>
            <w:tcW w:w="3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585,963,959 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Issuances</w:t>
            </w:r>
          </w:p>
        </w:tc>
        <w:tc>
          <w:tcPr>
            <w:tcW w:w="1191"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4,060,242 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4,060,242 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Exchanges</w:t>
            </w:r>
          </w:p>
        </w:tc>
        <w:tc>
          <w:tcPr>
            <w:tcW w:w="1191"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1,503,314 </w:t>
            </w:r>
          </w:p>
        </w:tc>
        <w:tc>
          <w:tcPr>
            <w:tcW w:w="2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(1,503,314)</w:t>
            </w:r>
          </w:p>
        </w:tc>
        <w:tc>
          <w:tcPr>
            <w:tcW w:w="3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Cancellations</w:t>
            </w:r>
          </w:p>
        </w:tc>
        <w:tc>
          <w:tcPr>
            <w:tcW w:w="1191"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(196,901)</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(196,901)</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June 28, 2025</w:t>
            </w:r>
          </w:p>
        </w:tc>
        <w:tc>
          <w:tcPr>
            <w:tcW w:w="119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110,252,933 </w:t>
            </w:r>
          </w:p>
        </w:tc>
        <w:tc>
          <w:tcPr>
            <w:tcW w:w="2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479,574,367 </w:t>
            </w:r>
          </w:p>
        </w:tc>
        <w:tc>
          <w:tcPr>
            <w:tcW w:w="3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589,827,300 </w:t>
            </w:r>
          </w:p>
        </w:tc>
        <w:tc>
          <w:tcPr>
            <w:tcW w:w="1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18.7 </w:t>
            </w:r>
          </w:p>
        </w:tc>
        <w:tc>
          <w:tcPr>
            <w:tcW w:w="4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81.3 </w:t>
            </w:r>
          </w:p>
        </w:tc>
        <w:tc>
          <w:tcPr>
            <w:tcW w:w="5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3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
        <w:jc w:val="both"/>
        <w:rPr>
          <w:rFonts w:ascii="Times New Roman;serif" w:hAnsi="Times New Roman;serif"/>
          <w:b/>
          <w:color w:val="000000"/>
          <w:sz w:val="20"/>
        </w:rPr>
      </w:pPr>
      <w:r>
        <w:rPr>
          <w:rFonts w:ascii="Times New Roman;serif" w:hAnsi="Times New Roman;serif"/>
          <w:b/>
          <w:color w:val="000000"/>
          <w:sz w:val="20"/>
        </w:rPr>
        <w:t>4. Revenue</w:t>
      </w:r>
    </w:p>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generates revenue through its design and installation of supply chain automation systems (the “System”) to automate customers’ depalletizing, storage, selection, and palletization warehousing processes. The System has both a hardware component and an essential software component that enables the System to be programmed to operate within specific customer environments. The Company enters into contracts with customers that can include various combinations of services to design and install the System. These services are generally distinct and accounted for as separate performance obligations. As a result, each customer contract may contain multiple performance obligations. The Company determines whether performance obligations are distinct based on whether the customer can benefit from the good or service on its own or together with other resources that are readily available and whether the Company’s commitment to provide the goods or services to the customer is separately identifiable from other obligations in the contract.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84785"/>
                <wp:effectExtent l="0" t="0" r="0" b="0"/>
                <wp:wrapNone/>
                <wp:docPr id="17" name="Frame17"/>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60" w:after="283"/>
        <w:ind w:left="0" w:right="0" w:firstLine="360"/>
        <w:jc w:val="left"/>
        <w:rPr/>
      </w:pPr>
      <w:hyperlink w:anchor="i123540df82f04e0eb97811cc101df5ff_7">
        <w:r>
          <w:rPr>
            <w:rStyle w:val="InternetLink"/>
            <w:rFonts w:ascii="Times New Roman;serif" w:hAnsi="Times New Roman;serif"/>
            <w:b w:val="false"/>
            <w:color w:val="0000FF"/>
            <w:sz w:val="20"/>
            <w:u w:val="single"/>
          </w:rPr>
          <w:t>Table of Contents</w:t>
        </w:r>
      </w:hyperlink>
    </w:p>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 recognizes revenue upon transfer of control of promised goods or services in a contract with a customer, generally as title and risk of loss pass to the customer, in an amount that reflects the consideration the Company expects to receive in exchange for those goods or services. Revenue is recognized only to the extent that it is probable that a significant reversal of revenue will not occur and when collection is considered probable. In instances where the timing of revenue recognition differs from the timing of invoicing, the Company has determined its contracts do not include a significant financing component. Taxes collected from customers, which are subsequently remitted to governmental authorities, are excluded from revenue. Shipping and handling costs billed to customers are included in revenue and the related costs are included in cost of revenue when incurred. The Company presents amounts collected from customers for sales and other taxes net of the related amounts remitted.</w:t>
      </w:r>
    </w:p>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design, assembly, and installation of a System includes substantive customer-specified acceptance criteria that allow the customer to accept or reject Systems that do not meet the customer’s specifications. When the Company cannot objectively determine that acceptance criteria will be met upon contract inception, revenue relating to Systems is deferred and recognized at a point in time upon final acceptance from the customer. If acceptance can be reasonably certain upon contract inception, revenue is recognized over time based on an input method, using a cost-to-cost measure of progress. Under this method, revenue is recorded based on the ratio of costs incurred over total estimated contract costs. This method provides a faithful depiction of the transfer of the System to the customer because the costs incurred represent the Company’s inputs towards satisfying the performance obligation.</w:t>
      </w:r>
    </w:p>
    <w:p>
      <w:pPr>
        <w:pStyle w:val="TextBody"/>
        <w:bidi w:val="0"/>
        <w:spacing w:lineRule="auto" w:line="288" w:before="120" w:after="60"/>
        <w:jc w:val="left"/>
        <w:rPr>
          <w:rFonts w:ascii="Times New Roman;serif" w:hAnsi="Times New Roman;serif"/>
          <w:b w:val="false"/>
          <w:i/>
          <w:color w:val="000000"/>
          <w:sz w:val="20"/>
        </w:rPr>
      </w:pPr>
      <w:r>
        <w:rPr>
          <w:rFonts w:ascii="Times New Roman;serif" w:hAnsi="Times New Roman;serif"/>
          <w:b w:val="false"/>
          <w:i/>
          <w:color w:val="000000"/>
          <w:sz w:val="20"/>
        </w:rPr>
        <w:t>Disaggregation of Revenue</w:t>
      </w:r>
    </w:p>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provides disaggregation of revenue based on product and service type on the condensed consolidated statements of operations as it believes these categories best depict how the nature, amount, timing, and uncertainty of revenue and cash flows are affected by economic factors. </w:t>
      </w:r>
    </w:p>
    <w:p>
      <w:pPr>
        <w:pStyle w:val="TextBody"/>
        <w:bidi w:val="0"/>
        <w:spacing w:lineRule="auto" w:line="288" w:before="120" w:after="60"/>
        <w:jc w:val="left"/>
        <w:rPr>
          <w:rFonts w:ascii="Times New Roman;serif" w:hAnsi="Times New Roman;serif"/>
          <w:b w:val="false"/>
          <w:i/>
          <w:color w:val="000000"/>
          <w:sz w:val="20"/>
        </w:rPr>
      </w:pPr>
      <w:r>
        <w:rPr>
          <w:rFonts w:ascii="Times New Roman;serif" w:hAnsi="Times New Roman;serif"/>
          <w:b w:val="false"/>
          <w:i/>
          <w:color w:val="000000"/>
          <w:sz w:val="20"/>
        </w:rPr>
        <w:t>Contract Balances</w:t>
      </w:r>
    </w:p>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provides information about accounts receivable, unbilled accounts receivable, and contract liabilities from contracts with customers (in thousands):</w:t>
      </w:r>
    </w:p>
    <w:tbl>
      <w:tblPr>
        <w:tblW w:w="5620" w:type="dxa"/>
        <w:jc w:val="left"/>
        <w:tblInd w:w="0" w:type="dxa"/>
        <w:tblLayout w:type="fixed"/>
        <w:tblCellMar>
          <w:top w:w="28" w:type="dxa"/>
          <w:left w:w="28" w:type="dxa"/>
          <w:bottom w:w="28" w:type="dxa"/>
          <w:right w:w="28" w:type="dxa"/>
        </w:tblCellMar>
      </w:tblPr>
      <w:tblGrid>
        <w:gridCol w:w="902"/>
        <w:gridCol w:w="792"/>
        <w:gridCol w:w="795"/>
        <w:gridCol w:w="212"/>
        <w:gridCol w:w="833"/>
        <w:gridCol w:w="109"/>
        <w:gridCol w:w="109"/>
        <w:gridCol w:w="109"/>
        <w:gridCol w:w="109"/>
        <w:gridCol w:w="292"/>
        <w:gridCol w:w="1145"/>
        <w:gridCol w:w="213"/>
      </w:tblGrid>
      <w:tr>
        <w:trPr/>
        <w:tc>
          <w:tcPr>
            <w:tcW w:w="902"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24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8"/>
              </w:rPr>
            </w:pPr>
            <w:r>
              <w:rPr>
                <w:rFonts w:ascii="Times New Roman;serif" w:hAnsi="Times New Roman;serif"/>
                <w:b/>
                <w:color w:val="000000"/>
                <w:sz w:val="18"/>
              </w:rPr>
              <w:t>June 28,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8"/>
              </w:rPr>
            </w:pPr>
            <w:r>
              <w:rPr>
                <w:rFonts w:ascii="Times New Roman;serif" w:hAnsi="Times New Roman;serif"/>
                <w:b/>
                <w:color w:val="000000"/>
                <w:sz w:val="18"/>
              </w:rPr>
              <w:t>September 28, 2024</w:t>
            </w:r>
          </w:p>
        </w:tc>
      </w:tr>
      <w:tr>
        <w:trPr/>
        <w:tc>
          <w:tcPr>
            <w:tcW w:w="248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w:t>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136,237 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201,548 </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Unbilled accounts receivable</w:t>
            </w:r>
          </w:p>
        </w:tc>
        <w:tc>
          <w:tcPr>
            <w:tcW w:w="212"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3"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236,433 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5"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218,233 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liabilities</w:t>
            </w:r>
          </w:p>
        </w:tc>
        <w:tc>
          <w:tcPr>
            <w:tcW w:w="212"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3"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923,141 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5"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805,547 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change in the opening and closing balances of the Company’s accounts receivable primarily results from the increase in customer System Deployments in the current fiscal year as well as the timing of when customer payments are due. The change in the opening and closing balances of the Company’s contract liabilities primarily results from the timing difference between the Company’s performance and customer payments. The Company’s performance obligations are typically satisfied over time as work is performed. Payment from customers can vary, and is often received in advance of satisfaction of the performance obligations, resulting in a contract liability balance. During the nine months ended June 28, 2025, the Company recognized $567.9 million of the contract liability balance at September 28, 2024, as revenue upon transfer of the products or services to customers. During the nine months ended June 29, 2024, the Company recognized $668.6 million of the contract liability balance at September 30, 2023 as revenue upon transfer of the products or services to customers.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84785"/>
                <wp:effectExtent l="0" t="0" r="0" b="0"/>
                <wp:wrapNone/>
                <wp:docPr id="18" name="Frame18"/>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60" w:after="283"/>
        <w:ind w:left="0" w:right="0" w:firstLine="360"/>
        <w:jc w:val="left"/>
        <w:rPr/>
      </w:pPr>
      <w:hyperlink w:anchor="i123540df82f04e0eb97811cc101df5ff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60"/>
        <w:jc w:val="left"/>
        <w:rPr>
          <w:rFonts w:ascii="Times New Roman;serif" w:hAnsi="Times New Roman;serif"/>
          <w:b w:val="false"/>
          <w:i/>
          <w:color w:val="000000"/>
          <w:sz w:val="20"/>
        </w:rPr>
      </w:pPr>
      <w:r>
        <w:rPr>
          <w:rFonts w:ascii="Times New Roman;serif" w:hAnsi="Times New Roman;serif"/>
          <w:b w:val="false"/>
          <w:i/>
          <w:color w:val="000000"/>
          <w:sz w:val="20"/>
        </w:rPr>
        <w:t>Remaining Performance Obligations</w:t>
      </w:r>
    </w:p>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Remaining performance obligations represent the aggregate amount of the transaction price allocated to performance obligations not delivered, or partially undelivered, at the end of the reporting period. Remaining performance obligations include deferred revenue plus unbilled amounts not yet recorded in deferred revenue. Remaining performance obligation estimates are subject to change and are affected by several factors, including terminations, changes in scope of contracts, periodic revalidation, adjustments for revenue that have not materialized, adjustments for inflation, and adjustments for currency. The definition of remaining performance obligations excludes those contracts that provide the customer with the right to cancel or terminate the contract without incurring a substantial penalty as well as operation services contracts. For contracts with a duration of greater than one year, the transaction price allocated to performance obligations that are unsatisfied as of June 28, 2025 was $22.4 billion, which is primarily comprised of undelivered or partially undelivered Systems under contract, and which a substantial majority relates to undelivered or partially undelivered Systems in connection with the Master Automation Agreement (“MAA”) with Walmart Inc. (“Walmart”) to implement Systems in all of Walmart’s 42 regional distribution centers, and in connection with the Commercial Agreement with GreenBox Systems LLC (“GreenBox”) under which Symbotic will implement its System into GreenBox distribution center locations. As the Company accounts for GreenBox as an equity method investment, the remaining performance obligation includes the Company’s proportionate share of unconsolidated variable interest entity contracts. In the second quarter of fiscal year 2025, Symbotic LLC entered into a Master Automation Agreement (“2025 MAA”), which sets forth the terms and conditions governing the development, manufacture, and installation of accelerated pickup and delivery systems (“APDs”) by Symbotic LLC for Walmart. The 2025 MAA provides for a commitment, subject to the satisfaction of defined system performance metrics of the APDs, from Walmart to purchase 400 APDs, which could increase the Company’s future remaining performance obligation by more than $5.0 billion. The Company expects to recognize approximately 11% of its remaining performance obligations as revenue in the next 12 months, approximately 56% of its remaining performance obligations as revenue within the following 13 to 60 months, and the remaining thereafter, which is dependent on the timing of System installation timelines. The Company does not disclose the value of remaining performance obligations for contracts with an original expected duration of one year or less.</w:t>
      </w:r>
    </w:p>
    <w:p>
      <w:pPr>
        <w:pStyle w:val="TextBody"/>
        <w:bidi w:val="0"/>
        <w:spacing w:lineRule="auto" w:line="288" w:before="120" w:after="60"/>
        <w:jc w:val="left"/>
        <w:rPr>
          <w:rFonts w:ascii="Times New Roman;serif" w:hAnsi="Times New Roman;serif"/>
          <w:b w:val="false"/>
          <w:i/>
          <w:color w:val="000000"/>
          <w:sz w:val="20"/>
        </w:rPr>
      </w:pPr>
      <w:r>
        <w:rPr>
          <w:rFonts w:ascii="Times New Roman;serif" w:hAnsi="Times New Roman;serif"/>
          <w:b w:val="false"/>
          <w:i/>
          <w:color w:val="000000"/>
          <w:sz w:val="20"/>
        </w:rPr>
        <w:t>Significant Customers</w:t>
      </w:r>
    </w:p>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For the three and nine months ended June 28, 2025 and June 29, 2024, there was one customer, including all affiliates, subsidiaries, and consolidated entities, that individually accounted for 10% or more of total revenue. The following table represents this customer’s aggregate percent of total revenue.</w:t>
      </w:r>
    </w:p>
    <w:tbl>
      <w:tblPr>
        <w:tblW w:w="6944" w:type="dxa"/>
        <w:jc w:val="left"/>
        <w:tblInd w:w="0" w:type="dxa"/>
        <w:tblLayout w:type="fixed"/>
        <w:tblCellMar>
          <w:top w:w="28" w:type="dxa"/>
          <w:left w:w="28" w:type="dxa"/>
          <w:bottom w:w="28" w:type="dxa"/>
          <w:right w:w="28" w:type="dxa"/>
        </w:tblCellMar>
      </w:tblPr>
      <w:tblGrid>
        <w:gridCol w:w="391"/>
        <w:gridCol w:w="344"/>
        <w:gridCol w:w="345"/>
        <w:gridCol w:w="257"/>
        <w:gridCol w:w="257"/>
        <w:gridCol w:w="641"/>
        <w:gridCol w:w="146"/>
        <w:gridCol w:w="146"/>
        <w:gridCol w:w="146"/>
        <w:gridCol w:w="257"/>
        <w:gridCol w:w="257"/>
        <w:gridCol w:w="641"/>
        <w:gridCol w:w="109"/>
        <w:gridCol w:w="109"/>
        <w:gridCol w:w="109"/>
        <w:gridCol w:w="257"/>
        <w:gridCol w:w="257"/>
        <w:gridCol w:w="640"/>
        <w:gridCol w:w="138"/>
        <w:gridCol w:w="138"/>
        <w:gridCol w:w="138"/>
        <w:gridCol w:w="255"/>
        <w:gridCol w:w="256"/>
        <w:gridCol w:w="710"/>
      </w:tblGrid>
      <w:tr>
        <w:trPr/>
        <w:tc>
          <w:tcPr>
            <w:tcW w:w="39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r>
      <w:tr>
        <w:trPr/>
        <w:tc>
          <w:tcPr>
            <w:tcW w:w="1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8" w:type="dxa"/>
            <w:gridSpan w:val="9"/>
            <w:tcBorders/>
            <w:tcMar>
              <w:top w:w="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9" w:type="dxa"/>
            <w:gridSpan w:val="9"/>
            <w:tcBorders/>
            <w:tcMar>
              <w:top w:w="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8"/>
              </w:rPr>
            </w:pPr>
            <w:r>
              <w:rPr>
                <w:rFonts w:ascii="Times New Roman;serif" w:hAnsi="Times New Roman;serif"/>
                <w:b/>
                <w:color w:val="000000"/>
                <w:sz w:val="18"/>
              </w:rPr>
              <w:t>Nine Months Ended</w:t>
            </w:r>
          </w:p>
        </w:tc>
      </w:tr>
      <w:tr>
        <w:trPr/>
        <w:tc>
          <w:tcPr>
            <w:tcW w:w="1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8"/>
              </w:rPr>
            </w:pPr>
            <w:r>
              <w:rPr>
                <w:rFonts w:ascii="Times New Roman;serif" w:hAnsi="Times New Roman;serif"/>
                <w:b/>
                <w:color w:val="000000"/>
                <w:sz w:val="18"/>
              </w:rPr>
              <w:t>June 28, 2025</w:t>
            </w:r>
          </w:p>
        </w:tc>
        <w:tc>
          <w:tcPr>
            <w:tcW w:w="43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8"/>
              </w:rPr>
            </w:pPr>
            <w:r>
              <w:rPr>
                <w:rFonts w:ascii="Times New Roman;serif" w:hAnsi="Times New Roman;serif"/>
                <w:b/>
                <w:color w:val="000000"/>
                <w:sz w:val="18"/>
              </w:rPr>
              <w:t>June 29,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8"/>
              </w:rPr>
            </w:pPr>
            <w:r>
              <w:rPr>
                <w:rFonts w:ascii="Times New Roman;serif" w:hAnsi="Times New Roman;serif"/>
                <w:b/>
                <w:color w:val="000000"/>
                <w:sz w:val="18"/>
              </w:rPr>
              <w:t>June 28, 2025</w:t>
            </w:r>
          </w:p>
        </w:tc>
        <w:tc>
          <w:tcPr>
            <w:tcW w:w="4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8"/>
              </w:rPr>
            </w:pPr>
            <w:r>
              <w:rPr>
                <w:rFonts w:ascii="Times New Roman;serif" w:hAnsi="Times New Roman;serif"/>
                <w:b/>
                <w:color w:val="000000"/>
                <w:sz w:val="18"/>
              </w:rPr>
              <w:t>June 29, 2024</w:t>
            </w:r>
          </w:p>
        </w:tc>
      </w:tr>
      <w:tr>
        <w:trPr/>
        <w:tc>
          <w:tcPr>
            <w:tcW w:w="108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A</w:t>
            </w:r>
          </w:p>
        </w:tc>
        <w:tc>
          <w:tcPr>
            <w:tcW w:w="5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83.8 </w:t>
            </w:r>
          </w:p>
        </w:tc>
        <w:tc>
          <w:tcPr>
            <w:tcW w:w="6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89.6 </w:t>
            </w:r>
          </w:p>
        </w:tc>
        <w:tc>
          <w:tcPr>
            <w:tcW w:w="6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85.1 </w:t>
            </w:r>
          </w:p>
        </w:tc>
        <w:tc>
          <w:tcPr>
            <w:tcW w:w="6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86.0 </w:t>
            </w:r>
          </w:p>
        </w:tc>
        <w:tc>
          <w:tcPr>
            <w:tcW w:w="7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60" w:after="283"/>
        <w:jc w:val="left"/>
        <w:rPr/>
      </w:pPr>
      <w:r>
        <w:rPr/>
      </w:r>
    </w:p>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At June 28, 2025, three customers accounted for over 10% of the Company’s accounts receivable balance, and one customer accounted for over 10% of the Company’s accounts receivable balance at September 28, 2024. The following table represents these customers’ aggregate percent of total accounts receivable. The symbol “n/a” indicates that such customer’s accounts receivable balance at the period indicated within the table did not exceed 10% of the Company’s accounts receivable balance. </w:t>
      </w:r>
    </w:p>
    <w:tbl>
      <w:tblPr>
        <w:tblW w:w="7195" w:type="dxa"/>
        <w:jc w:val="left"/>
        <w:tblInd w:w="0" w:type="dxa"/>
        <w:tblLayout w:type="fixed"/>
        <w:tblCellMar>
          <w:top w:w="28" w:type="dxa"/>
          <w:left w:w="28" w:type="dxa"/>
          <w:bottom w:w="28" w:type="dxa"/>
          <w:right w:w="28" w:type="dxa"/>
        </w:tblCellMar>
      </w:tblPr>
      <w:tblGrid>
        <w:gridCol w:w="1472"/>
        <w:gridCol w:w="1295"/>
        <w:gridCol w:w="1298"/>
        <w:gridCol w:w="257"/>
        <w:gridCol w:w="257"/>
        <w:gridCol w:w="640"/>
        <w:gridCol w:w="109"/>
        <w:gridCol w:w="109"/>
        <w:gridCol w:w="109"/>
        <w:gridCol w:w="336"/>
        <w:gridCol w:w="336"/>
        <w:gridCol w:w="977"/>
      </w:tblGrid>
      <w:tr>
        <w:trPr/>
        <w:tc>
          <w:tcPr>
            <w:tcW w:w="1472" w:type="dxa"/>
            <w:tcBorders/>
            <w:vAlign w:val="center"/>
          </w:tcPr>
          <w:p>
            <w:pPr>
              <w:pStyle w:val="TableContents"/>
              <w:bidi w:val="0"/>
              <w:spacing w:before="0" w:after="283"/>
              <w:jc w:val="left"/>
              <w:rPr>
                <w:sz w:val="4"/>
                <w:szCs w:val="4"/>
              </w:rPr>
            </w:pPr>
            <w:r>
              <w:rPr>
                <w:sz w:val="4"/>
                <w:szCs w:val="4"/>
              </w:rPr>
            </w:r>
          </w:p>
        </w:tc>
        <w:tc>
          <w:tcPr>
            <w:tcW w:w="1295" w:type="dxa"/>
            <w:tcBorders/>
            <w:vAlign w:val="center"/>
          </w:tcPr>
          <w:p>
            <w:pPr>
              <w:pStyle w:val="TableContents"/>
              <w:bidi w:val="0"/>
              <w:spacing w:before="0" w:after="283"/>
              <w:jc w:val="left"/>
              <w:rPr>
                <w:sz w:val="4"/>
                <w:szCs w:val="4"/>
              </w:rPr>
            </w:pPr>
            <w:r>
              <w:rPr>
                <w:sz w:val="4"/>
                <w:szCs w:val="4"/>
              </w:rPr>
            </w:r>
          </w:p>
        </w:tc>
        <w:tc>
          <w:tcPr>
            <w:tcW w:w="1298"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r>
      <w:tr>
        <w:trPr/>
        <w:tc>
          <w:tcPr>
            <w:tcW w:w="40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8"/>
              </w:rPr>
            </w:pPr>
            <w:r>
              <w:rPr>
                <w:rFonts w:ascii="Times New Roman;serif" w:hAnsi="Times New Roman;serif"/>
                <w:b/>
                <w:color w:val="000000"/>
                <w:sz w:val="18"/>
              </w:rPr>
              <w:t>June 28,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8"/>
              </w:rPr>
            </w:pPr>
            <w:r>
              <w:rPr>
                <w:rFonts w:ascii="Times New Roman;serif" w:hAnsi="Times New Roman;serif"/>
                <w:b/>
                <w:color w:val="000000"/>
                <w:sz w:val="18"/>
              </w:rPr>
              <w:t>September 28, 2024</w:t>
            </w:r>
          </w:p>
        </w:tc>
      </w:tr>
      <w:tr>
        <w:trPr/>
        <w:tc>
          <w:tcPr>
            <w:tcW w:w="4065"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A</w:t>
            </w:r>
          </w:p>
        </w:tc>
        <w:tc>
          <w:tcPr>
            <w:tcW w:w="5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38.5 </w:t>
            </w:r>
          </w:p>
        </w:tc>
        <w:tc>
          <w:tcPr>
            <w:tcW w:w="6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92.8 </w:t>
            </w:r>
          </w:p>
        </w:tc>
        <w:tc>
          <w:tcPr>
            <w:tcW w:w="9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06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B</w:t>
            </w:r>
          </w:p>
        </w:tc>
        <w:tc>
          <w:tcPr>
            <w:tcW w:w="514"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37.7 </w:t>
            </w:r>
          </w:p>
        </w:tc>
        <w:tc>
          <w:tcPr>
            <w:tcW w:w="640"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r>
      <w:tr>
        <w:trPr/>
        <w:tc>
          <w:tcPr>
            <w:tcW w:w="4065"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C</w:t>
            </w:r>
          </w:p>
        </w:tc>
        <w:tc>
          <w:tcPr>
            <w:tcW w:w="514"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12.7 </w:t>
            </w:r>
          </w:p>
        </w:tc>
        <w:tc>
          <w:tcPr>
            <w:tcW w:w="640"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r>
      <w:tr>
        <w:trPr/>
        <w:tc>
          <w:tcPr>
            <w:tcW w:w="406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Aggregate Percent of Total Accounts Receivable</w:t>
            </w:r>
          </w:p>
        </w:tc>
        <w:tc>
          <w:tcPr>
            <w:tcW w:w="51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88.9 </w:t>
            </w:r>
          </w:p>
        </w:tc>
        <w:tc>
          <w:tcPr>
            <w:tcW w:w="6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92.8 </w:t>
            </w:r>
          </w:p>
        </w:tc>
        <w:tc>
          <w:tcPr>
            <w:tcW w:w="97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concentration in the volume of business transacted with these customers may lead to a material impact on the Company’s results from operations if a total or partial loss of the business relationship were to occur. As of the date of the issuance of these financial statements, the Company is not aware of any specific event or circumstance which would result in a material adverse impact to its results of operations or liquidity and financial condition.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84785"/>
                <wp:effectExtent l="0" t="0" r="0" b="0"/>
                <wp:wrapNone/>
                <wp:docPr id="19" name="Frame19"/>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60" w:after="283"/>
        <w:ind w:left="0" w:right="0" w:firstLine="360"/>
        <w:jc w:val="left"/>
        <w:rPr/>
      </w:pPr>
      <w:hyperlink w:anchor="i123540df82f04e0eb97811cc101df5ff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
        <w:jc w:val="both"/>
        <w:rPr>
          <w:rFonts w:ascii="Times New Roman;serif" w:hAnsi="Times New Roman;serif"/>
          <w:b/>
          <w:color w:val="000000"/>
          <w:sz w:val="20"/>
        </w:rPr>
      </w:pPr>
      <w:r>
        <w:rPr>
          <w:rFonts w:ascii="Times New Roman;serif" w:hAnsi="Times New Roman;serif"/>
          <w:b/>
          <w:color w:val="000000"/>
          <w:sz w:val="20"/>
        </w:rPr>
        <w:t>5. Leases</w:t>
      </w:r>
    </w:p>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 leases office space in Wilmington, MA, Montreal, QC, Plant City, FL, Andover, MA, and Milpitas, CA through operating lease arrangements. The Company has no finance lease agreements. The operating lease arrangements expire at various dates through December 2030.</w:t>
      </w:r>
    </w:p>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the balance sheet location of the Company’s operating leases for each of the periods presented (in thousands):</w:t>
      </w:r>
    </w:p>
    <w:tbl>
      <w:tblPr>
        <w:tblW w:w="7120" w:type="dxa"/>
        <w:jc w:val="left"/>
        <w:tblInd w:w="0" w:type="dxa"/>
        <w:tblLayout w:type="fixed"/>
        <w:tblCellMar>
          <w:top w:w="28" w:type="dxa"/>
          <w:left w:w="28" w:type="dxa"/>
          <w:bottom w:w="28" w:type="dxa"/>
          <w:right w:w="28" w:type="dxa"/>
        </w:tblCellMar>
      </w:tblPr>
      <w:tblGrid>
        <w:gridCol w:w="1385"/>
        <w:gridCol w:w="1212"/>
        <w:gridCol w:w="1227"/>
        <w:gridCol w:w="234"/>
        <w:gridCol w:w="800"/>
        <w:gridCol w:w="121"/>
        <w:gridCol w:w="109"/>
        <w:gridCol w:w="109"/>
        <w:gridCol w:w="109"/>
        <w:gridCol w:w="352"/>
        <w:gridCol w:w="1205"/>
        <w:gridCol w:w="257"/>
      </w:tblGrid>
      <w:tr>
        <w:trPr/>
        <w:tc>
          <w:tcPr>
            <w:tcW w:w="1385" w:type="dxa"/>
            <w:tcBorders/>
            <w:vAlign w:val="center"/>
          </w:tcPr>
          <w:p>
            <w:pPr>
              <w:pStyle w:val="TableContents"/>
              <w:bidi w:val="0"/>
              <w:spacing w:before="0" w:after="283"/>
              <w:jc w:val="left"/>
              <w:rPr>
                <w:sz w:val="4"/>
                <w:szCs w:val="4"/>
              </w:rPr>
            </w:pPr>
            <w:r>
              <w:rPr>
                <w:sz w:val="4"/>
                <w:szCs w:val="4"/>
              </w:rPr>
            </w:r>
          </w:p>
        </w:tc>
        <w:tc>
          <w:tcPr>
            <w:tcW w:w="1212" w:type="dxa"/>
            <w:tcBorders/>
            <w:vAlign w:val="center"/>
          </w:tcPr>
          <w:p>
            <w:pPr>
              <w:pStyle w:val="TableContents"/>
              <w:bidi w:val="0"/>
              <w:spacing w:before="0" w:after="283"/>
              <w:jc w:val="left"/>
              <w:rPr>
                <w:sz w:val="4"/>
                <w:szCs w:val="4"/>
              </w:rPr>
            </w:pPr>
            <w:r>
              <w:rPr>
                <w:sz w:val="4"/>
                <w:szCs w:val="4"/>
              </w:rPr>
            </w:r>
          </w:p>
        </w:tc>
        <w:tc>
          <w:tcPr>
            <w:tcW w:w="1227"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r>
      <w:tr>
        <w:trPr/>
        <w:tc>
          <w:tcPr>
            <w:tcW w:w="3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8"/>
              </w:rPr>
            </w:pPr>
            <w:r>
              <w:rPr>
                <w:rFonts w:ascii="Times New Roman;serif" w:hAnsi="Times New Roman;serif"/>
                <w:b/>
                <w:color w:val="000000"/>
                <w:sz w:val="18"/>
              </w:rPr>
              <w:t>June 28,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20"/>
              </w:rPr>
            </w:pPr>
            <w:r>
              <w:rPr>
                <w:rFonts w:ascii="Times New Roman;serif" w:hAnsi="Times New Roman;serif"/>
                <w:b/>
                <w:color w:val="000000"/>
                <w:sz w:val="20"/>
              </w:rPr>
              <w:t>September 28, 2024</w:t>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ROU assets:</w:t>
            </w:r>
          </w:p>
        </w:tc>
        <w:tc>
          <w:tcPr>
            <w:tcW w:w="11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234"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0"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23,413 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05"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15,257 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Lease Liabilities:</w:t>
            </w:r>
          </w:p>
        </w:tc>
        <w:tc>
          <w:tcPr>
            <w:tcW w:w="11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 and other current liabilities</w:t>
            </w:r>
          </w:p>
        </w:tc>
        <w:tc>
          <w:tcPr>
            <w:tcW w:w="234"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0"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5,063 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05"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1,647 </w:t>
            </w:r>
          </w:p>
        </w:tc>
        <w:tc>
          <w:tcPr>
            <w:tcW w:w="2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w:t>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22,505 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16,076 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Total lease liabilities</w:t>
            </w:r>
          </w:p>
        </w:tc>
        <w:tc>
          <w:tcPr>
            <w:tcW w:w="2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27,568 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17,723 </w:t>
            </w:r>
          </w:p>
        </w:tc>
        <w:tc>
          <w:tcPr>
            <w:tcW w:w="2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firstLine="360"/>
        <w:jc w:val="left"/>
        <w:rPr/>
      </w:pPr>
      <w:r>
        <w:rPr>
          <w:rFonts w:ascii="Times New Roman;serif" w:hAnsi="Times New Roman;serif"/>
          <w:b w:val="false"/>
          <w:color w:val="000000"/>
          <w:sz w:val="20"/>
        </w:rPr>
        <w:t xml:space="preserve">The following table presents maturities of the Company’s operating lease liabilities as of June 28, 2025, presented under Accounting Standards Codification (“ASC”) Topic 842, </w:t>
      </w:r>
      <w:r>
        <w:rPr>
          <w:rFonts w:ascii="Times New Roman;serif" w:hAnsi="Times New Roman;serif"/>
          <w:b w:val="false"/>
          <w:i/>
          <w:color w:val="000000"/>
          <w:sz w:val="20"/>
        </w:rPr>
        <w:t>Leases</w:t>
      </w:r>
      <w:r>
        <w:rPr>
          <w:color w:val="000000"/>
        </w:rPr>
        <w:t xml:space="preserve"> </w:t>
      </w:r>
      <w:r>
        <w:rPr>
          <w:rFonts w:ascii="Times New Roman;serif" w:hAnsi="Times New Roman;serif"/>
          <w:b w:val="false"/>
          <w:color w:val="000000"/>
          <w:sz w:val="20"/>
        </w:rPr>
        <w:t>(in thousands):</w:t>
      </w:r>
    </w:p>
    <w:tbl>
      <w:tblPr>
        <w:tblW w:w="3929" w:type="dxa"/>
        <w:jc w:val="left"/>
        <w:tblInd w:w="0" w:type="dxa"/>
        <w:tblLayout w:type="fixed"/>
        <w:tblCellMar>
          <w:top w:w="28" w:type="dxa"/>
          <w:left w:w="28" w:type="dxa"/>
          <w:bottom w:w="28" w:type="dxa"/>
          <w:right w:w="28" w:type="dxa"/>
        </w:tblCellMar>
      </w:tblPr>
      <w:tblGrid>
        <w:gridCol w:w="989"/>
        <w:gridCol w:w="868"/>
        <w:gridCol w:w="872"/>
        <w:gridCol w:w="233"/>
        <w:gridCol w:w="797"/>
        <w:gridCol w:w="170"/>
      </w:tblGrid>
      <w:tr>
        <w:trPr/>
        <w:tc>
          <w:tcPr>
            <w:tcW w:w="989"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2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8"/>
              </w:rPr>
            </w:pPr>
            <w:r>
              <w:rPr>
                <w:rFonts w:ascii="Times New Roman;serif" w:hAnsi="Times New Roman;serif"/>
                <w:b/>
                <w:color w:val="000000"/>
                <w:sz w:val="18"/>
              </w:rPr>
              <w:t>June 28, 2025</w:t>
            </w:r>
          </w:p>
        </w:tc>
      </w:tr>
      <w:tr>
        <w:trPr/>
        <w:tc>
          <w:tcPr>
            <w:tcW w:w="272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Remaining fiscal year 2025</w:t>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1,416 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Fiscal year 2026</w:t>
            </w:r>
          </w:p>
        </w:tc>
        <w:tc>
          <w:tcPr>
            <w:tcW w:w="1030"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7,166 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Fiscal year 2027</w:t>
            </w:r>
          </w:p>
        </w:tc>
        <w:tc>
          <w:tcPr>
            <w:tcW w:w="1030"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6,876 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Fiscal year 2028</w:t>
            </w:r>
          </w:p>
        </w:tc>
        <w:tc>
          <w:tcPr>
            <w:tcW w:w="1030"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5,299 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Fiscal year 2029 and thereafter</w:t>
            </w:r>
          </w:p>
        </w:tc>
        <w:tc>
          <w:tcPr>
            <w:tcW w:w="1030"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12,572 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Total future minimum payments</w:t>
            </w:r>
          </w:p>
        </w:tc>
        <w:tc>
          <w:tcPr>
            <w:tcW w:w="2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33,329 </w:t>
            </w:r>
          </w:p>
        </w:tc>
        <w:tc>
          <w:tcPr>
            <w:tcW w:w="17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Less: Implied interest</w:t>
            </w:r>
          </w:p>
        </w:tc>
        <w:tc>
          <w:tcPr>
            <w:tcW w:w="1030"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(5,761)</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Total lease liabilities</w:t>
            </w:r>
          </w:p>
        </w:tc>
        <w:tc>
          <w:tcPr>
            <w:tcW w:w="2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27,568 </w:t>
            </w:r>
          </w:p>
        </w:tc>
        <w:tc>
          <w:tcPr>
            <w:tcW w:w="1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uses its estimated incremental borrowing rate, which is derived from information available at the lease commencement date, in determining the present value of operating lease payments. To determine the estimated incremental borrowing rate, the Company uses publicly available credit ratings for peer companies. The Company estimates the incremental borrowing rate using yields for maturities that are in line with the duration of the lease payments. The weighted average discount rate for operating leases as of June 28, 2025 was 7.6%. </w:t>
      </w:r>
    </w:p>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As of June 28, 2025, the weighted-average remaining lease term of the Company’s operating leases was approximately 4.9 years. Operating cash flows for amounts included in the measurement of the Company’s operating lease liabilities were $2.2 million for the nine months ended June 28, 2025.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
        <w:jc w:val="both"/>
        <w:rPr>
          <w:rFonts w:ascii="Times New Roman;serif" w:hAnsi="Times New Roman;serif"/>
          <w:b/>
          <w:color w:val="000000"/>
          <w:sz w:val="20"/>
        </w:rPr>
      </w:pPr>
      <w:r>
        <w:rPr>
          <w:rFonts w:ascii="Times New Roman;serif" w:hAnsi="Times New Roman;serif"/>
          <w:b/>
          <w:color w:val="000000"/>
          <w:sz w:val="20"/>
        </w:rPr>
        <w:t>6. Inventories</w:t>
      </w:r>
    </w:p>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Inventories at June 28, 2025 and September 28, 2024 consist of the following (in thousands):</w:t>
      </w:r>
    </w:p>
    <w:tbl>
      <w:tblPr>
        <w:tblW w:w="5770" w:type="dxa"/>
        <w:jc w:val="center"/>
        <w:tblInd w:w="0" w:type="dxa"/>
        <w:tblLayout w:type="fixed"/>
        <w:tblCellMar>
          <w:top w:w="28" w:type="dxa"/>
          <w:left w:w="28" w:type="dxa"/>
          <w:bottom w:w="28" w:type="dxa"/>
          <w:right w:w="28" w:type="dxa"/>
        </w:tblCellMar>
      </w:tblPr>
      <w:tblGrid>
        <w:gridCol w:w="955"/>
        <w:gridCol w:w="841"/>
        <w:gridCol w:w="843"/>
        <w:gridCol w:w="212"/>
        <w:gridCol w:w="833"/>
        <w:gridCol w:w="109"/>
        <w:gridCol w:w="109"/>
        <w:gridCol w:w="109"/>
        <w:gridCol w:w="109"/>
        <w:gridCol w:w="292"/>
        <w:gridCol w:w="1145"/>
        <w:gridCol w:w="213"/>
      </w:tblGrid>
      <w:tr>
        <w:trPr/>
        <w:tc>
          <w:tcPr>
            <w:tcW w:w="955"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26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8"/>
              </w:rPr>
            </w:pPr>
            <w:r>
              <w:rPr>
                <w:rFonts w:ascii="Times New Roman;serif" w:hAnsi="Times New Roman;serif"/>
                <w:b/>
                <w:color w:val="000000"/>
                <w:sz w:val="18"/>
              </w:rPr>
              <w:t>June 28,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8"/>
              </w:rPr>
            </w:pPr>
            <w:r>
              <w:rPr>
                <w:rFonts w:ascii="Times New Roman;serif" w:hAnsi="Times New Roman;serif"/>
                <w:b/>
                <w:color w:val="000000"/>
                <w:sz w:val="18"/>
              </w:rPr>
              <w:t>September 28, 2024</w:t>
            </w:r>
          </w:p>
        </w:tc>
      </w:tr>
      <w:tr>
        <w:trPr/>
        <w:tc>
          <w:tcPr>
            <w:tcW w:w="263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Raw materials and components</w:t>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123,673 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72,279 </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Work in process</w:t>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4,538 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Finished goods</w:t>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15,228 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29,319 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inventories</w:t>
            </w:r>
          </w:p>
        </w:tc>
        <w:tc>
          <w:tcPr>
            <w:tcW w:w="2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138,901 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106,136 </w:t>
            </w:r>
          </w:p>
        </w:tc>
        <w:tc>
          <w:tcPr>
            <w:tcW w:w="2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84785"/>
                <wp:effectExtent l="0" t="0" r="0" b="0"/>
                <wp:wrapNone/>
                <wp:docPr id="20" name="Frame20"/>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60" w:after="283"/>
        <w:ind w:left="0" w:right="0" w:firstLine="360"/>
        <w:jc w:val="left"/>
        <w:rPr/>
      </w:pPr>
      <w:hyperlink w:anchor="i123540df82f04e0eb97811cc101df5ff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
        <w:jc w:val="both"/>
        <w:rPr>
          <w:rFonts w:ascii="Times New Roman;serif" w:hAnsi="Times New Roman;serif"/>
          <w:b/>
          <w:color w:val="000000"/>
          <w:sz w:val="20"/>
        </w:rPr>
      </w:pPr>
      <w:r>
        <w:rPr>
          <w:rFonts w:ascii="Times New Roman;serif" w:hAnsi="Times New Roman;serif"/>
          <w:b/>
          <w:color w:val="000000"/>
          <w:sz w:val="20"/>
        </w:rPr>
        <w:t>7. Property and Equipment</w:t>
      </w:r>
    </w:p>
    <w:p>
      <w:pPr>
        <w:pStyle w:val="TextBody"/>
        <w:bidi w:val="0"/>
        <w:spacing w:lineRule="auto" w:line="288" w:before="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Property and equipment at June 28, 2025 and September 28, 2024 consists of the following (in thousands):</w:t>
      </w:r>
    </w:p>
    <w:tbl>
      <w:tblPr>
        <w:tblW w:w="10205" w:type="dxa"/>
        <w:jc w:val="left"/>
        <w:tblInd w:w="0" w:type="dxa"/>
        <w:tblLayout w:type="fixed"/>
        <w:tblCellMar>
          <w:top w:w="28" w:type="dxa"/>
          <w:left w:w="28" w:type="dxa"/>
          <w:bottom w:w="28" w:type="dxa"/>
          <w:right w:w="28" w:type="dxa"/>
        </w:tblCellMar>
      </w:tblPr>
      <w:tblGrid>
        <w:gridCol w:w="2592"/>
        <w:gridCol w:w="2260"/>
        <w:gridCol w:w="2267"/>
        <w:gridCol w:w="211"/>
        <w:gridCol w:w="832"/>
        <w:gridCol w:w="109"/>
        <w:gridCol w:w="109"/>
        <w:gridCol w:w="109"/>
        <w:gridCol w:w="109"/>
        <w:gridCol w:w="283"/>
        <w:gridCol w:w="1113"/>
        <w:gridCol w:w="211"/>
      </w:tblGrid>
      <w:tr>
        <w:trPr/>
        <w:tc>
          <w:tcPr>
            <w:tcW w:w="2592" w:type="dxa"/>
            <w:tcBorders/>
            <w:vAlign w:val="center"/>
          </w:tcPr>
          <w:p>
            <w:pPr>
              <w:pStyle w:val="TableContents"/>
              <w:bidi w:val="0"/>
              <w:spacing w:before="0" w:after="283"/>
              <w:jc w:val="left"/>
              <w:rPr>
                <w:sz w:val="4"/>
                <w:szCs w:val="4"/>
              </w:rPr>
            </w:pPr>
            <w:r>
              <w:rPr>
                <w:sz w:val="4"/>
                <w:szCs w:val="4"/>
              </w:rPr>
            </w:r>
          </w:p>
        </w:tc>
        <w:tc>
          <w:tcPr>
            <w:tcW w:w="2260" w:type="dxa"/>
            <w:tcBorders/>
            <w:vAlign w:val="center"/>
          </w:tcPr>
          <w:p>
            <w:pPr>
              <w:pStyle w:val="TableContents"/>
              <w:bidi w:val="0"/>
              <w:spacing w:before="0" w:after="283"/>
              <w:jc w:val="left"/>
              <w:rPr>
                <w:sz w:val="4"/>
                <w:szCs w:val="4"/>
              </w:rPr>
            </w:pPr>
            <w:r>
              <w:rPr>
                <w:sz w:val="4"/>
                <w:szCs w:val="4"/>
              </w:rPr>
            </w:r>
          </w:p>
        </w:tc>
        <w:tc>
          <w:tcPr>
            <w:tcW w:w="226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71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8"/>
              </w:rPr>
            </w:pPr>
            <w:r>
              <w:rPr>
                <w:rFonts w:ascii="Times New Roman;serif" w:hAnsi="Times New Roman;serif"/>
                <w:b/>
                <w:color w:val="000000"/>
                <w:sz w:val="18"/>
              </w:rPr>
              <w:t>June 28,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8"/>
              </w:rPr>
            </w:pPr>
            <w:r>
              <w:rPr>
                <w:rFonts w:ascii="Times New Roman;serif" w:hAnsi="Times New Roman;serif"/>
                <w:b/>
                <w:color w:val="000000"/>
                <w:sz w:val="18"/>
              </w:rPr>
              <w:t>September 28, 2024</w:t>
            </w:r>
          </w:p>
        </w:tc>
      </w:tr>
      <w:tr>
        <w:trPr/>
        <w:tc>
          <w:tcPr>
            <w:tcW w:w="711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Computer equipment and software, furniture and fixtures, test equipment, and other equipment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102,508 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114,515 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Internal use software</w:t>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6,290 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7,141 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Leasehold improvements</w:t>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10,574 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9,576 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Total property and equipment</w:t>
            </w:r>
          </w:p>
        </w:tc>
        <w:tc>
          <w:tcPr>
            <w:tcW w:w="104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119,372 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131,232 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Less accumulated depreciation</w:t>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(46,359)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(34,123)</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73,013 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97,109 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For the three and nine months ended June 28, 2025, depreciation expense was $7.1 million and $20.3 million, respectively. For the three and nine months ended June 29, 2024, depreciation expense was $4.8 million and $9.6 million,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
        <w:jc w:val="both"/>
        <w:rPr>
          <w:rFonts w:ascii="Times New Roman;serif" w:hAnsi="Times New Roman;serif"/>
          <w:b/>
          <w:color w:val="000000"/>
          <w:sz w:val="20"/>
        </w:rPr>
      </w:pPr>
      <w:r>
        <w:rPr>
          <w:rFonts w:ascii="Times New Roman;serif" w:hAnsi="Times New Roman;serif"/>
          <w:b/>
          <w:color w:val="000000"/>
          <w:sz w:val="20"/>
        </w:rPr>
        <w:t>8. Business Acquisitions</w:t>
      </w:r>
    </w:p>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Business acquisition-related costs during the three and nine months ended June 28, 2025 were $0.4 million and $7.5 million, respectively, and are included in general and administrative expenses in the interim condensed consolidated statements of operations. Separate financial results and pro forma financial information for ASR (defined below) have not been presented as the effect of this acquisition was not material to the Company’s financial results.</w:t>
      </w:r>
    </w:p>
    <w:p>
      <w:pPr>
        <w:pStyle w:val="TextBody"/>
        <w:bidi w:val="0"/>
        <w:spacing w:lineRule="auto" w:line="288" w:before="120" w:after="60"/>
        <w:jc w:val="left"/>
        <w:rPr>
          <w:rFonts w:ascii="Times New Roman;serif" w:hAnsi="Times New Roman;serif"/>
          <w:b w:val="false"/>
          <w:i/>
          <w:color w:val="000000"/>
          <w:sz w:val="20"/>
        </w:rPr>
      </w:pPr>
      <w:r>
        <w:rPr>
          <w:rFonts w:ascii="Times New Roman;serif" w:hAnsi="Times New Roman;serif"/>
          <w:b w:val="false"/>
          <w:i/>
          <w:color w:val="000000"/>
          <w:sz w:val="20"/>
        </w:rPr>
        <w:t>Advanced Systems &amp; Robotics Inc.</w:t>
      </w:r>
    </w:p>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On January 27, 2025, the Company acquired all of the outstanding equity interests of Walmart’s Advanced Systems &amp; Robotics Inc. (“ASR”) for $200.0 million in cash (the “ASR Acquisition) pursuant to a Purchase and Sale Agreement with Walmart (the “ASR Purchase Agreement”). ASR is intended to expand the long-standing relationship between Walmart and the Company with the aim of developing an integrated automated supply chain, which is expected to broaden the Company’s product offering beyond the traditional warehouse to eCommerce settings for last mile delivery. As of June 28, 2025, the purchase price allocation is preliminary, pending finalization of valuations and the impact of income taxes. </w:t>
      </w:r>
    </w:p>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preliminary allocation of the purchase price for ASR and fair values of the assets acquired and liabilities assumed were as follows (in thousands):</w:t>
      </w:r>
    </w:p>
    <w:tbl>
      <w:tblPr>
        <w:tblW w:w="4700" w:type="dxa"/>
        <w:jc w:val="left"/>
        <w:tblInd w:w="0" w:type="dxa"/>
        <w:tblLayout w:type="fixed"/>
        <w:tblCellMar>
          <w:top w:w="28" w:type="dxa"/>
          <w:left w:w="28" w:type="dxa"/>
          <w:bottom w:w="28" w:type="dxa"/>
          <w:right w:w="28" w:type="dxa"/>
        </w:tblCellMar>
      </w:tblPr>
      <w:tblGrid>
        <w:gridCol w:w="1272"/>
        <w:gridCol w:w="1117"/>
        <w:gridCol w:w="1120"/>
        <w:gridCol w:w="211"/>
        <w:gridCol w:w="826"/>
        <w:gridCol w:w="154"/>
      </w:tblGrid>
      <w:tr>
        <w:trPr/>
        <w:tc>
          <w:tcPr>
            <w:tcW w:w="1272" w:type="dxa"/>
            <w:tcBorders/>
            <w:vAlign w:val="center"/>
          </w:tcPr>
          <w:p>
            <w:pPr>
              <w:pStyle w:val="TableContents"/>
              <w:bidi w:val="0"/>
              <w:spacing w:before="0" w:after="283"/>
              <w:jc w:val="left"/>
              <w:rPr>
                <w:sz w:val="4"/>
                <w:szCs w:val="4"/>
              </w:rPr>
            </w:pPr>
            <w:r>
              <w:rPr>
                <w:sz w:val="4"/>
                <w:szCs w:val="4"/>
              </w:rPr>
            </w:r>
          </w:p>
        </w:tc>
        <w:tc>
          <w:tcPr>
            <w:tcW w:w="1117" w:type="dxa"/>
            <w:tcBorders/>
            <w:vAlign w:val="center"/>
          </w:tcPr>
          <w:p>
            <w:pPr>
              <w:pStyle w:val="TableContents"/>
              <w:bidi w:val="0"/>
              <w:spacing w:before="0" w:after="283"/>
              <w:jc w:val="left"/>
              <w:rPr>
                <w:sz w:val="4"/>
                <w:szCs w:val="4"/>
              </w:rPr>
            </w:pPr>
            <w:r>
              <w:rPr>
                <w:sz w:val="4"/>
                <w:szCs w:val="4"/>
              </w:rPr>
            </w:r>
          </w:p>
        </w:tc>
        <w:tc>
          <w:tcPr>
            <w:tcW w:w="112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Total purchase consideration</w:t>
            </w:r>
          </w:p>
        </w:tc>
        <w:tc>
          <w:tcPr>
            <w:tcW w:w="211"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200,000 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Allocation of the purchase consideration:</w:t>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14,702 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36,189 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4,261 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78,000 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47,223 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 acquired</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180,375 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 and other current assets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38,298 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2,611 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assumed</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40,909 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Identifiable net assets acquired</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139,466 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60,534 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Total purchase price allocation</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200,000 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In the quarter ended June 28, 2025, the Company recorded a $45.0 million contract asset related to consideration payable to a customer under the 2025 MAA as part of the allocation of purchase price, which will be amortized as a reduction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84785"/>
                <wp:effectExtent l="0" t="0" r="0" b="0"/>
                <wp:wrapNone/>
                <wp:docPr id="21" name="Frame21"/>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60" w:after="283"/>
        <w:ind w:left="0" w:right="0" w:firstLine="360"/>
        <w:jc w:val="left"/>
        <w:rPr/>
      </w:pPr>
      <w:hyperlink w:anchor="i123540df82f04e0eb97811cc101df5ff_7">
        <w:r>
          <w:rPr>
            <w:rStyle w:val="InternetLink"/>
            <w:rFonts w:ascii="Times New Roman;serif" w:hAnsi="Times New Roman;serif"/>
            <w:b w:val="false"/>
            <w:color w:val="0000FF"/>
            <w:sz w:val="20"/>
            <w:u w:val="single"/>
          </w:rPr>
          <w:t>Table of Contents</w:t>
        </w:r>
      </w:hyperlink>
    </w:p>
    <w:p>
      <w:pPr>
        <w:pStyle w:val="TextBody"/>
        <w:bidi w:val="0"/>
        <w:spacing w:lineRule="auto" w:line="288" w:before="60" w:after="283"/>
        <w:jc w:val="left"/>
        <w:rPr>
          <w:rFonts w:ascii="Times New Roman;serif" w:hAnsi="Times New Roman;serif"/>
          <w:b w:val="false"/>
          <w:color w:val="000000"/>
          <w:sz w:val="20"/>
        </w:rPr>
      </w:pPr>
      <w:r>
        <w:rPr>
          <w:rFonts w:ascii="Times New Roman;serif" w:hAnsi="Times New Roman;serif"/>
          <w:b w:val="false"/>
          <w:color w:val="000000"/>
          <w:sz w:val="20"/>
        </w:rPr>
        <w:t>future revenues under the 2025 MAA. The change in the intangible asset value from the period ended March 29, 2025, to the period ended June 28, 2025, is attributable to finalization of the valuation of acquired intangible assets.</w:t>
      </w:r>
    </w:p>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value of the goodwill can be attributed to a number of business factors, including a trained technical workforce, and revenue and cost synergies expected to be realized. The Company expects that most of the goodwill related to the ASR Acquisition will not be deductible for tax purposes.</w:t>
      </w:r>
    </w:p>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identified intangible asset acquired is developed technology, which has a gross carrying amount of $78.0 million and has an estimated useful life of 7 years.</w:t>
      </w:r>
    </w:p>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 applied the multi-period excess earnings method to estimate the fair value of the intangible asset. The total weighted average amortization period for the developed technology intangible asset acquired from Walmart is 7 years. The intangible asset began amortization on the date of acquisition and is amortized on a straight-line basis over its useful life.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
        <w:jc w:val="both"/>
        <w:rPr>
          <w:rFonts w:ascii="Times New Roman;serif" w:hAnsi="Times New Roman;serif"/>
          <w:b/>
          <w:color w:val="000000"/>
          <w:sz w:val="20"/>
        </w:rPr>
      </w:pPr>
      <w:r>
        <w:rPr>
          <w:rFonts w:ascii="Times New Roman;serif" w:hAnsi="Times New Roman;serif"/>
          <w:b/>
          <w:color w:val="000000"/>
          <w:sz w:val="20"/>
        </w:rPr>
        <w:t>9. Intangible Assets and Goodwill</w:t>
      </w:r>
    </w:p>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connection with asset acquisitions in fiscal year 2024 and 2025, and the ASR Acquisition in January 2025, the Company acquired developed technology intangible assets. The intangible assets will be amortized over a useful life of 3 to 7 years on a straight-line basis. The estimated weighted average useful life of the intangible assets is 6.5 years.</w:t>
      </w:r>
    </w:p>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presents acquired intangible assets that are subject to amortization as of June 28, 2025 (in thousands). There were no acquired intangible assets that are subject to amortization as of June 29, 2024. </w:t>
      </w:r>
    </w:p>
    <w:tbl>
      <w:tblPr>
        <w:tblW w:w="10205" w:type="dxa"/>
        <w:jc w:val="left"/>
        <w:tblInd w:w="0" w:type="dxa"/>
        <w:tblLayout w:type="fixed"/>
        <w:tblCellMar>
          <w:top w:w="28" w:type="dxa"/>
          <w:left w:w="28" w:type="dxa"/>
          <w:bottom w:w="28" w:type="dxa"/>
          <w:right w:w="28" w:type="dxa"/>
        </w:tblCellMar>
      </w:tblPr>
      <w:tblGrid>
        <w:gridCol w:w="591"/>
        <w:gridCol w:w="518"/>
        <w:gridCol w:w="521"/>
        <w:gridCol w:w="968"/>
        <w:gridCol w:w="968"/>
        <w:gridCol w:w="972"/>
        <w:gridCol w:w="109"/>
        <w:gridCol w:w="109"/>
        <w:gridCol w:w="109"/>
        <w:gridCol w:w="331"/>
        <w:gridCol w:w="1133"/>
        <w:gridCol w:w="170"/>
        <w:gridCol w:w="109"/>
        <w:gridCol w:w="109"/>
        <w:gridCol w:w="109"/>
        <w:gridCol w:w="395"/>
        <w:gridCol w:w="1187"/>
        <w:gridCol w:w="206"/>
        <w:gridCol w:w="109"/>
        <w:gridCol w:w="109"/>
        <w:gridCol w:w="109"/>
        <w:gridCol w:w="244"/>
        <w:gridCol w:w="836"/>
        <w:gridCol w:w="184"/>
      </w:tblGrid>
      <w:tr>
        <w:trPr/>
        <w:tc>
          <w:tcPr>
            <w:tcW w:w="591"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13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1187"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r>
      <w:tr>
        <w:trPr/>
        <w:tc>
          <w:tcPr>
            <w:tcW w:w="1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0" w:type="dxa"/>
            <w:gridSpan w:val="15"/>
            <w:tcBorders/>
            <w:tcMar>
              <w:top w:w="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8"/>
              </w:rPr>
            </w:pPr>
            <w:r>
              <w:rPr>
                <w:rFonts w:ascii="Times New Roman;serif" w:hAnsi="Times New Roman;serif"/>
                <w:b/>
                <w:color w:val="000000"/>
                <w:sz w:val="18"/>
              </w:rPr>
              <w:t>June 28, 2025</w:t>
            </w:r>
          </w:p>
        </w:tc>
      </w:tr>
      <w:tr>
        <w:trPr/>
        <w:tc>
          <w:tcPr>
            <w:tcW w:w="1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8"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8"/>
              </w:rPr>
            </w:pPr>
            <w:r>
              <w:rPr>
                <w:rFonts w:ascii="Times New Roman;serif" w:hAnsi="Times New Roman;serif"/>
                <w:b/>
                <w:color w:val="000000"/>
                <w:sz w:val="18"/>
              </w:rPr>
              <w:t>Weighted Average Remaining Useful Life (in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8"/>
              </w:rPr>
            </w:pPr>
            <w:r>
              <w:rPr>
                <w:rFonts w:ascii="Times New Roman;serif" w:hAnsi="Times New Roman;serif"/>
                <w:b/>
                <w:color w:val="000000"/>
                <w:sz w:val="18"/>
              </w:rPr>
              <w:t>Gross 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8"/>
              </w:rPr>
            </w:pPr>
            <w:r>
              <w:rPr>
                <w:rFonts w:ascii="Times New Roman;serif" w:hAnsi="Times New Roman;serif"/>
                <w:b/>
                <w:color w:val="000000"/>
                <w:sz w:val="18"/>
              </w:rPr>
              <w:t>Accumulated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8"/>
              </w:rPr>
            </w:pPr>
            <w:r>
              <w:rPr>
                <w:rFonts w:ascii="Times New Roman;serif" w:hAnsi="Times New Roman;serif"/>
                <w:b/>
                <w:color w:val="000000"/>
                <w:sz w:val="18"/>
              </w:rPr>
              <w:t>Net Book Value</w:t>
            </w:r>
          </w:p>
        </w:tc>
      </w:tr>
      <w:tr>
        <w:trPr/>
        <w:tc>
          <w:tcPr>
            <w:tcW w:w="163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Developed technology</w:t>
            </w:r>
          </w:p>
        </w:tc>
        <w:tc>
          <w:tcPr>
            <w:tcW w:w="290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6.5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89,943 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(7,022)</w:t>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82,921 </w:t>
            </w:r>
          </w:p>
        </w:tc>
        <w:tc>
          <w:tcPr>
            <w:tcW w:w="1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9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89,943 </w:t>
            </w:r>
          </w:p>
        </w:tc>
        <w:tc>
          <w:tcPr>
            <w:tcW w:w="1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(7,022)</w:t>
            </w:r>
          </w:p>
        </w:tc>
        <w:tc>
          <w:tcPr>
            <w:tcW w:w="2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82,921 </w:t>
            </w:r>
          </w:p>
        </w:tc>
        <w:tc>
          <w:tcPr>
            <w:tcW w:w="1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For the three and nine months ended June 28, 2025, amortization expense was $5.9 million and $10.7 million, respectively.</w:t>
      </w:r>
    </w:p>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the estimated future annual pre-tax amortization expense of definite-lived intangible assets as of the date indicated (in thousands):</w:t>
      </w:r>
    </w:p>
    <w:tbl>
      <w:tblPr>
        <w:tblW w:w="4485" w:type="dxa"/>
        <w:jc w:val="left"/>
        <w:tblInd w:w="0" w:type="dxa"/>
        <w:tblLayout w:type="fixed"/>
        <w:tblCellMar>
          <w:top w:w="28" w:type="dxa"/>
          <w:left w:w="28" w:type="dxa"/>
          <w:bottom w:w="28" w:type="dxa"/>
          <w:right w:w="28" w:type="dxa"/>
        </w:tblCellMar>
      </w:tblPr>
      <w:tblGrid>
        <w:gridCol w:w="946"/>
        <w:gridCol w:w="830"/>
        <w:gridCol w:w="834"/>
        <w:gridCol w:w="364"/>
        <w:gridCol w:w="1245"/>
        <w:gridCol w:w="266"/>
      </w:tblGrid>
      <w:tr>
        <w:trPr/>
        <w:tc>
          <w:tcPr>
            <w:tcW w:w="946"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1245"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r>
      <w:tr>
        <w:trPr/>
        <w:tc>
          <w:tcPr>
            <w:tcW w:w="26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5"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8"/>
              </w:rPr>
            </w:pPr>
            <w:r>
              <w:rPr>
                <w:rFonts w:ascii="Times New Roman;serif" w:hAnsi="Times New Roman;serif"/>
                <w:b/>
                <w:color w:val="000000"/>
                <w:sz w:val="18"/>
              </w:rPr>
              <w:t>Developed Technology</w:t>
            </w:r>
          </w:p>
        </w:tc>
      </w:tr>
      <w:tr>
        <w:trPr/>
        <w:tc>
          <w:tcPr>
            <w:tcW w:w="261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Remaining fiscal year 2025</w:t>
            </w:r>
          </w:p>
        </w:tc>
        <w:tc>
          <w:tcPr>
            <w:tcW w:w="3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3,772 </w:t>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Fiscal year 2026</w:t>
            </w:r>
          </w:p>
        </w:tc>
        <w:tc>
          <w:tcPr>
            <w:tcW w:w="1609"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15,089 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Fiscal year 2027</w:t>
            </w:r>
          </w:p>
        </w:tc>
        <w:tc>
          <w:tcPr>
            <w:tcW w:w="1609"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15,089 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Fiscal year 2028</w:t>
            </w:r>
          </w:p>
        </w:tc>
        <w:tc>
          <w:tcPr>
            <w:tcW w:w="1609"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12,016 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Fiscal year 2029 and thereafter</w:t>
            </w:r>
          </w:p>
        </w:tc>
        <w:tc>
          <w:tcPr>
            <w:tcW w:w="1609"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36,955 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82,921 </w:t>
            </w:r>
          </w:p>
        </w:tc>
        <w:tc>
          <w:tcPr>
            <w:tcW w:w="2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firstLine="360"/>
        <w:jc w:val="left"/>
        <w:rPr/>
      </w:pPr>
      <w:r>
        <w:rPr>
          <w:rFonts w:ascii="Times New Roman;serif" w:hAnsi="Times New Roman;serif"/>
          <w:b w:val="false"/>
          <w:color w:val="000000"/>
          <w:sz w:val="20"/>
        </w:rPr>
        <w:t xml:space="preserve">The carrying amount of goodwill at June 28, 2025 was $60.5 million. As a result of the ASR Acquisition, the Company recorded $60.5 million of goodwill. Prior to the ASR Acquisition, the Company did not have goodwill on its consolidated balance sheets. The change in the carrying amount of goodwill from $68.7 million at March 29, 2025, to $60.5 million at June 28, 2025, results from updates made to the preliminary purchase price allocation, further described in Note 8, </w:t>
      </w:r>
      <w:r>
        <w:rPr>
          <w:rFonts w:ascii="Times New Roman;serif" w:hAnsi="Times New Roman;serif"/>
          <w:b w:val="false"/>
          <w:i/>
          <w:color w:val="000000"/>
          <w:sz w:val="20"/>
        </w:rPr>
        <w:t>Business Acquisitions</w:t>
      </w:r>
      <w:r>
        <w:rPr>
          <w:rFonts w:ascii="Times New Roman;serif" w:hAnsi="Times New Roman;serif"/>
          <w:b w:val="false"/>
          <w:color w:val="000000"/>
          <w:sz w:val="20"/>
        </w:rPr>
        <w:t xml:space="preserve">. No other changes to the carrying amount of goodwill were noted for the nine months ended June 28, 2025. The Company tests goodwill for impairment at least annually. Through the date the interim condensed consolidated financial statements were issued, no triggering events have occurred that would indicate that a potential impairment exists.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
        <w:jc w:val="both"/>
        <w:rPr>
          <w:rFonts w:ascii="Times New Roman;serif" w:hAnsi="Times New Roman;serif"/>
          <w:b/>
          <w:color w:val="000000"/>
          <w:sz w:val="20"/>
        </w:rPr>
      </w:pPr>
      <w:r>
        <w:rPr>
          <w:rFonts w:ascii="Times New Roman;serif" w:hAnsi="Times New Roman;serif"/>
          <w:b/>
          <w:color w:val="000000"/>
          <w:sz w:val="20"/>
        </w:rPr>
        <w:t>10. Restructuring Charges</w:t>
      </w:r>
    </w:p>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During the third quarter of fiscal year 2025, management committed to a reduction of the Company’s workforce by approximately 325 employees primarily related to employees that joined the Company’s workforce in connection with the ASR Acquisition. The Company expects the workforce reduction will be substantially completed by the end of the first quarter of fiscal year 2026. The costs incurred related to employee severance are recorded as a liability when it is probable that employees will be entitled to termination benefits and the amounts can be reasonably estimated. The liability related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84785"/>
                <wp:effectExtent l="0" t="0" r="0" b="0"/>
                <wp:wrapNone/>
                <wp:docPr id="22" name="Frame22"/>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60" w:after="283"/>
        <w:ind w:left="0" w:right="0" w:firstLine="360"/>
        <w:jc w:val="left"/>
        <w:rPr/>
      </w:pPr>
      <w:hyperlink w:anchor="i123540df82f04e0eb97811cc101df5ff_7">
        <w:r>
          <w:rPr>
            <w:rStyle w:val="InternetLink"/>
            <w:rFonts w:ascii="Times New Roman;serif" w:hAnsi="Times New Roman;serif"/>
            <w:b w:val="false"/>
            <w:color w:val="0000FF"/>
            <w:sz w:val="20"/>
            <w:u w:val="single"/>
          </w:rPr>
          <w:t>Table of Contents</w:t>
        </w:r>
      </w:hyperlink>
    </w:p>
    <w:p>
      <w:pPr>
        <w:pStyle w:val="TextBody"/>
        <w:bidi w:val="0"/>
        <w:spacing w:lineRule="auto" w:line="288" w:before="60" w:after="283"/>
        <w:jc w:val="left"/>
        <w:rPr/>
      </w:pPr>
      <w:r>
        <w:rPr>
          <w:rFonts w:ascii="Times New Roman;serif" w:hAnsi="Times New Roman;serif"/>
          <w:b w:val="false"/>
          <w:color w:val="000000"/>
          <w:sz w:val="20"/>
        </w:rPr>
        <w:t xml:space="preserve">these charges is included in accrued expenses and other current liabilities in the Company’s condensed consolidated balance sheets. As the ASR Purchase Agreement contemplated reimbursement for certain types of restructuring costs, a receivable was recorded as part of purchase accounting, which is included within prepaid expenses and other current assets in the purchase price allocation in Note 8, </w:t>
      </w:r>
      <w:r>
        <w:rPr>
          <w:rFonts w:ascii="Times New Roman;serif" w:hAnsi="Times New Roman;serif"/>
          <w:b w:val="false"/>
          <w:i/>
          <w:color w:val="000000"/>
          <w:sz w:val="20"/>
        </w:rPr>
        <w:t>Business Acquisitions</w:t>
      </w:r>
      <w:r>
        <w:rPr>
          <w:rFonts w:ascii="Times New Roman;serif" w:hAnsi="Times New Roman;serif"/>
          <w:b w:val="false"/>
          <w:color w:val="000000"/>
          <w:sz w:val="20"/>
        </w:rPr>
        <w:t xml:space="preserve">. </w:t>
      </w:r>
    </w:p>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the activity related to the Company’s severance liability as of June 28, 2025 (in thousands).</w:t>
      </w:r>
    </w:p>
    <w:tbl>
      <w:tblPr>
        <w:tblW w:w="4709" w:type="dxa"/>
        <w:jc w:val="left"/>
        <w:tblInd w:w="0" w:type="dxa"/>
        <w:tblLayout w:type="fixed"/>
        <w:tblCellMar>
          <w:top w:w="28" w:type="dxa"/>
          <w:left w:w="28" w:type="dxa"/>
          <w:bottom w:w="28" w:type="dxa"/>
          <w:right w:w="28" w:type="dxa"/>
        </w:tblCellMar>
      </w:tblPr>
      <w:tblGrid>
        <w:gridCol w:w="1269"/>
        <w:gridCol w:w="1118"/>
        <w:gridCol w:w="1122"/>
        <w:gridCol w:w="233"/>
        <w:gridCol w:w="797"/>
        <w:gridCol w:w="170"/>
      </w:tblGrid>
      <w:tr>
        <w:trPr/>
        <w:tc>
          <w:tcPr>
            <w:tcW w:w="1269"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35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8"/>
              </w:rPr>
            </w:pPr>
            <w:r>
              <w:rPr>
                <w:rFonts w:ascii="Times New Roman;serif" w:hAnsi="Times New Roman;serif"/>
                <w:b/>
                <w:color w:val="000000"/>
                <w:sz w:val="18"/>
              </w:rPr>
              <w:t>June 28, 2025</w:t>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Severance liability at September 28, 2024</w:t>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203 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Severance charges</w:t>
            </w:r>
          </w:p>
        </w:tc>
        <w:tc>
          <w:tcPr>
            <w:tcW w:w="1030"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17,340 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and other</w:t>
            </w:r>
          </w:p>
        </w:tc>
        <w:tc>
          <w:tcPr>
            <w:tcW w:w="1030"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(5,545)</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Severance liability at June 28, 2025</w:t>
            </w:r>
          </w:p>
        </w:tc>
        <w:tc>
          <w:tcPr>
            <w:tcW w:w="2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11,998 </w:t>
            </w:r>
          </w:p>
        </w:tc>
        <w:tc>
          <w:tcPr>
            <w:tcW w:w="1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 did not have material severance activity for the three or nine months ended June 29, 2024 or year ended September 28, 2024. For the three and nine months ended June 28, 2025, the Company recognized $16.4 million of restructuring expense, which is included within restructuring charges on the Company’s condensed consolidated statements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
        <w:jc w:val="both"/>
        <w:rPr>
          <w:rFonts w:ascii="Times New Roman;serif" w:hAnsi="Times New Roman;serif"/>
          <w:b/>
          <w:color w:val="000000"/>
          <w:sz w:val="20"/>
        </w:rPr>
      </w:pPr>
      <w:r>
        <w:rPr>
          <w:rFonts w:ascii="Times New Roman;serif" w:hAnsi="Times New Roman;serif"/>
          <w:b/>
          <w:color w:val="000000"/>
          <w:sz w:val="20"/>
        </w:rPr>
        <w:t>11. Income Taxes</w:t>
      </w:r>
    </w:p>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 is subject to U.S. federal income taxes, in addition to state and local income taxes, with respect to its allocable share of any taxable income or loss of Symbotic Holdings. The remaining share of Symbotic Holdings income or loss is non-taxable to the Company and is not reflected in current or deferred income taxes. The Company’s foreign subsidiaries are subject to income tax in their local jurisdictions.</w:t>
      </w:r>
    </w:p>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For the three months ended June 28, 2025, the Company recorded a current income tax expense of less than $0.1 million and for the nine months ended June 28, 2025, the Company recorded a current income tax benefit of $1.2 million. For the three and nine months ended June 29, 2024, the Company recorded a current income tax expense of $0.1 million and less than $0.1 million, respectively. The Company incurred a pre-tax loss for the three and nine month periods and recorded a full valuation allowance against its domestic deferred tax assets and a partial valuation allowance against its foreign deferred tax assets. The Company incurs state tax expense by Symbotic LLC at the flow-through entity level and foreign tax expense at its foreign subsidiaries. The effective tax rate for the three and nine months ended June 28, 2025 is (0.14)% and 1.65% respectively, as compared to an effective tax rate of (0.70)% and (0.04)%, for the three and nine months ended June 29, 2024, respectively. The effective tax rate differs from the federal statutory income tax rate primarily due to the flow-through entity level taxes and the effect of the valuation allowance, including the partial release due to the ASR Acquisition, against the Company’s net federal, state, and foreign deferred income taxes.</w:t>
      </w:r>
    </w:p>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As of June 28, 2025, the Company continues to conclude that the negative evidence regarding its ability to realize its deferred tax assets outweighs the positive evidence, and the Company has a full valuation allowance against its domestic, federal, and state net deferred tax assets and a partial valuation allowance against its foreign net deferred tax assets. The Company has a history of cumulative pre-tax losses for the three previous fiscal years which it believes represents significant negative evidence in evaluating whether its deferred tax assets are realizable. Given these cumulative losses, lack of forecast history, the competitive environment, and uncertainty of general economic conditions, the Company does not believe it can rely on projections of future taxable income exclusive of reversing taxable temporary differences to support the realization of its deferred tax assets. In upcoming quarters, the Company will continue to evaluate both the positive and negative evidence surrounding its ability to realize its deferred tax assets.</w:t>
      </w:r>
    </w:p>
    <w:p>
      <w:pPr>
        <w:pStyle w:val="TextBody"/>
        <w:bidi w:val="0"/>
        <w:spacing w:lineRule="auto" w:line="288" w:before="120" w:after="60"/>
        <w:jc w:val="left"/>
        <w:rPr>
          <w:rFonts w:ascii="Times New Roman;serif" w:hAnsi="Times New Roman;serif"/>
          <w:b w:val="false"/>
          <w:i/>
          <w:color w:val="000000"/>
          <w:sz w:val="20"/>
        </w:rPr>
      </w:pPr>
      <w:r>
        <w:rPr>
          <w:rFonts w:ascii="Times New Roman;serif" w:hAnsi="Times New Roman;serif"/>
          <w:b w:val="false"/>
          <w:i/>
          <w:color w:val="000000"/>
          <w:sz w:val="20"/>
        </w:rPr>
        <w:t>Tax Receivable Agreement</w:t>
      </w:r>
    </w:p>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As of June 28, 2025, future payments under the Tax Receivable Agreement (“TRA”) with respect to the purchase of Symbotic Holdings units which occurred as part of or subsequent to the Business Combination are expected to be $440.2 million. Payments made under the TRA represent payments that otherwise would have been made to taxing authorities in the absence of attributes obtained by the Company as a result of exchanges by its pre-IPO members. Such amounts will be paid only when a cash tax savings is realized as a result of attributes subject to the TRA. That is, payments under the TRA are only expected to be made in periods following the filing of a tax return in which the Company is able to utilize certain tax benefits to reduce its cash taxes paid to a taxing authority. The impact of any changes in the projected obligations under the TRA as a result of changes in the geographic mix of the Company’s earnings, changes in tax legislation and tax rates or other factors that may impact the Company’s tax savings will be reflected in income or loss before taxes on the condensed consolidated statements of operations in the period in which the change occurs. As of June 28, 2025, no TRA liability was recorded based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84785"/>
                <wp:effectExtent l="0" t="0" r="0" b="0"/>
                <wp:wrapNone/>
                <wp:docPr id="23" name="Frame23"/>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60" w:after="283"/>
        <w:ind w:left="0" w:right="0" w:firstLine="360"/>
        <w:jc w:val="left"/>
        <w:rPr/>
      </w:pPr>
      <w:hyperlink w:anchor="i123540df82f04e0eb97811cc101df5ff_7">
        <w:r>
          <w:rPr>
            <w:rStyle w:val="InternetLink"/>
            <w:rFonts w:ascii="Times New Roman;serif" w:hAnsi="Times New Roman;serif"/>
            <w:b w:val="false"/>
            <w:color w:val="0000FF"/>
            <w:sz w:val="20"/>
            <w:u w:val="single"/>
          </w:rPr>
          <w:t>Table of Contents</w:t>
        </w:r>
      </w:hyperlink>
    </w:p>
    <w:p>
      <w:pPr>
        <w:pStyle w:val="TextBody"/>
        <w:bidi w:val="0"/>
        <w:spacing w:lineRule="auto" w:line="288" w:before="6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on current projections of future taxable income taking into consideration the Company’s full valuation allowance against its net deferred tax asset.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
        <w:jc w:val="both"/>
        <w:rPr>
          <w:rFonts w:ascii="Times New Roman;serif" w:hAnsi="Times New Roman;serif"/>
          <w:b/>
          <w:color w:val="000000"/>
          <w:sz w:val="20"/>
        </w:rPr>
      </w:pPr>
      <w:r>
        <w:rPr>
          <w:rFonts w:ascii="Times New Roman;serif" w:hAnsi="Times New Roman;serif"/>
          <w:b/>
          <w:color w:val="000000"/>
          <w:sz w:val="20"/>
        </w:rPr>
        <w:t>12. Fair Value Measures</w:t>
      </w:r>
    </w:p>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 measures certain financial assets at fair value. Fair value is determined based upon the exit price that would be received to sell an asset or paid to transfer a liability in an orderly transaction between market participants, as determined by either the principal market or the most advantageous market. Inputs used in the valuation techniques to derive fair values are classified based on a three-level hierarchy, as follows:</w:t>
      </w:r>
    </w:p>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Level 1 – inputs to the valuation methodology are quoted prices (unadjusted) for an identical asset or liability in an active market </w:t>
      </w:r>
    </w:p>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Level 2 – inputs to the valuation methodology include quoted prices for a similar asset or liability in an active market or model-derived valuations in which all significant inputs are observable for substantially the full term of the asset or liability </w:t>
      </w:r>
    </w:p>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Level 3 – inputs to the valuation methodology are unobservable and significant to the fair value measurement of the asset or liability </w:t>
      </w:r>
    </w:p>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the Company’s financial assets measured and recorded at fair value on a recurring basis using the above input categories as of June 28, 2025 and September 28, 2024 (in thousands):</w:t>
      </w:r>
    </w:p>
    <w:tbl>
      <w:tblPr>
        <w:tblW w:w="11218" w:type="dxa"/>
        <w:jc w:val="center"/>
        <w:tblInd w:w="0" w:type="dxa"/>
        <w:tblLayout w:type="fixed"/>
        <w:tblCellMar>
          <w:top w:w="28" w:type="dxa"/>
          <w:left w:w="28" w:type="dxa"/>
          <w:bottom w:w="28" w:type="dxa"/>
          <w:right w:w="28" w:type="dxa"/>
        </w:tblCellMar>
      </w:tblPr>
      <w:tblGrid>
        <w:gridCol w:w="315"/>
        <w:gridCol w:w="224"/>
        <w:gridCol w:w="227"/>
        <w:gridCol w:w="211"/>
        <w:gridCol w:w="826"/>
        <w:gridCol w:w="109"/>
        <w:gridCol w:w="109"/>
        <w:gridCol w:w="109"/>
        <w:gridCol w:w="109"/>
        <w:gridCol w:w="211"/>
        <w:gridCol w:w="721"/>
        <w:gridCol w:w="109"/>
        <w:gridCol w:w="109"/>
        <w:gridCol w:w="109"/>
        <w:gridCol w:w="109"/>
        <w:gridCol w:w="211"/>
        <w:gridCol w:w="406"/>
        <w:gridCol w:w="109"/>
        <w:gridCol w:w="109"/>
        <w:gridCol w:w="109"/>
        <w:gridCol w:w="109"/>
        <w:gridCol w:w="211"/>
        <w:gridCol w:w="826"/>
        <w:gridCol w:w="109"/>
        <w:gridCol w:w="109"/>
        <w:gridCol w:w="109"/>
        <w:gridCol w:w="109"/>
        <w:gridCol w:w="211"/>
        <w:gridCol w:w="826"/>
        <w:gridCol w:w="109"/>
        <w:gridCol w:w="109"/>
        <w:gridCol w:w="109"/>
        <w:gridCol w:w="109"/>
        <w:gridCol w:w="211"/>
        <w:gridCol w:w="721"/>
        <w:gridCol w:w="109"/>
        <w:gridCol w:w="109"/>
        <w:gridCol w:w="109"/>
        <w:gridCol w:w="109"/>
        <w:gridCol w:w="211"/>
        <w:gridCol w:w="406"/>
        <w:gridCol w:w="109"/>
        <w:gridCol w:w="109"/>
        <w:gridCol w:w="109"/>
        <w:gridCol w:w="109"/>
        <w:gridCol w:w="211"/>
        <w:gridCol w:w="826"/>
        <w:gridCol w:w="154"/>
      </w:tblGrid>
      <w:tr>
        <w:trPr/>
        <w:tc>
          <w:tcPr>
            <w:tcW w:w="315"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0" w:type="dxa"/>
            <w:gridSpan w:val="21"/>
            <w:tcBorders/>
            <w:shd w:fill="FFFFFF" w:val="clear"/>
            <w:tcMar>
              <w:top w:w="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8"/>
              </w:rPr>
            </w:pPr>
            <w:r>
              <w:rPr>
                <w:rFonts w:ascii="Times New Roman;serif" w:hAnsi="Times New Roman;serif"/>
                <w:b/>
                <w:color w:val="000000"/>
                <w:sz w:val="18"/>
              </w:rPr>
              <w:t>June 28,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5" w:type="dxa"/>
            <w:gridSpan w:val="21"/>
            <w:tcBorders/>
            <w:shd w:fill="FFFFFF" w:val="clear"/>
            <w:tcMar>
              <w:top w:w="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8"/>
              </w:rPr>
            </w:pPr>
            <w:r>
              <w:rPr>
                <w:rFonts w:ascii="Times New Roman;serif" w:hAnsi="Times New Roman;serif"/>
                <w:b/>
                <w:color w:val="000000"/>
                <w:sz w:val="18"/>
              </w:rPr>
              <w:t>September 28, 2024</w:t>
            </w:r>
          </w:p>
        </w:tc>
      </w:tr>
      <w:tr>
        <w:trPr/>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8"/>
              </w:rPr>
            </w:pPr>
            <w:r>
              <w:rPr>
                <w:rFonts w:ascii="Times New Roman;serif" w:hAnsi="Times New Roman;serif"/>
                <w:b/>
                <w:color w:val="000000"/>
                <w:sz w:val="18"/>
              </w:rPr>
              <w:t>Level 1</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8"/>
              </w:rPr>
            </w:pPr>
            <w:r>
              <w:rPr>
                <w:rFonts w:ascii="Times New Roman;serif" w:hAnsi="Times New Roman;serif"/>
                <w:b/>
                <w:color w:val="000000"/>
                <w:sz w:val="18"/>
              </w:rPr>
              <w:t>Level 2</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8"/>
              </w:rPr>
            </w:pPr>
            <w:r>
              <w:rPr>
                <w:rFonts w:ascii="Times New Roman;serif" w:hAnsi="Times New Roman;serif"/>
                <w:b/>
                <w:color w:val="000000"/>
                <w:sz w:val="18"/>
              </w:rPr>
              <w:t>Level 3</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8"/>
              </w:rPr>
            </w:pPr>
            <w:r>
              <w:rPr>
                <w:rFonts w:ascii="Times New Roman;serif" w:hAnsi="Times New Roman;serif"/>
                <w:b/>
                <w:color w:val="000000"/>
                <w:sz w:val="18"/>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8"/>
              </w:rPr>
            </w:pPr>
            <w:r>
              <w:rPr>
                <w:rFonts w:ascii="Times New Roman;serif" w:hAnsi="Times New Roman;serif"/>
                <w:b/>
                <w:color w:val="000000"/>
                <w:sz w:val="18"/>
              </w:rPr>
              <w:t>Level 1</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8"/>
              </w:rPr>
            </w:pPr>
            <w:r>
              <w:rPr>
                <w:rFonts w:ascii="Times New Roman;serif" w:hAnsi="Times New Roman;serif"/>
                <w:b/>
                <w:color w:val="000000"/>
                <w:sz w:val="18"/>
              </w:rPr>
              <w:t>Level 2</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8"/>
              </w:rPr>
            </w:pPr>
            <w:r>
              <w:rPr>
                <w:rFonts w:ascii="Times New Roman;serif" w:hAnsi="Times New Roman;serif"/>
                <w:b/>
                <w:color w:val="000000"/>
                <w:sz w:val="18"/>
              </w:rPr>
              <w:t>Level 3</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766"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Assets: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funds</w:t>
            </w:r>
          </w:p>
        </w:tc>
        <w:tc>
          <w:tcPr>
            <w:tcW w:w="211"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667,233 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667,233 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712,958 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712,958 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Warrant fair value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16,789 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16,789 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12,308 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12,308 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667,233 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16,789 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684,022 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712,958 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12,308 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725,266 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 had no liabilities measured and recorded at fair value on a recurring basis as of June 28, 2025 and September 28, 2024.</w:t>
      </w:r>
    </w:p>
    <w:p>
      <w:pPr>
        <w:pStyle w:val="TextBody"/>
        <w:bidi w:val="0"/>
        <w:spacing w:lineRule="auto" w:line="288" w:before="60" w:after="283"/>
        <w:ind w:left="0" w:right="0" w:firstLine="360"/>
        <w:jc w:val="left"/>
        <w:rPr/>
      </w:pPr>
      <w:r>
        <w:rPr>
          <w:rFonts w:ascii="Times New Roman;serif" w:hAnsi="Times New Roman;serif"/>
          <w:b w:val="false"/>
          <w:color w:val="000000"/>
          <w:sz w:val="20"/>
        </w:rPr>
        <w:t xml:space="preserve">The Company considers all highly liquid investments purchased with an original maturity of three months or less to be cash equivalents. The fair value of the Company’s investments in certain money market funds is their face value and such instruments are classified as Level 1 and are included in cash and cash equivalents on the condensed consolidated balance sheets. At June 28, 2025, the fair value of the warrant issued as described in Note 13, </w:t>
      </w:r>
      <w:r>
        <w:rPr>
          <w:rFonts w:ascii="Times New Roman;serif" w:hAnsi="Times New Roman;serif"/>
          <w:b w:val="false"/>
          <w:i/>
          <w:color w:val="000000"/>
          <w:sz w:val="20"/>
        </w:rPr>
        <w:t xml:space="preserve">Derivative Instruments, </w:t>
      </w:r>
      <w:r>
        <w:rPr>
          <w:rFonts w:ascii="Times New Roman;serif" w:hAnsi="Times New Roman;serif"/>
          <w:b w:val="false"/>
          <w:color w:val="000000"/>
          <w:sz w:val="20"/>
        </w:rPr>
        <w:t>is classified as Level 2. Level 2 securities are priced by pricing vendors. These pricing vendors utilize the most recent observable market information in pricing these securities or, if specific prices are not available for these securities, use other observable inputs like market transactions involving identical or comparable securities.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
        <w:jc w:val="both"/>
        <w:rPr>
          <w:rFonts w:ascii="Times New Roman;serif" w:hAnsi="Times New Roman;serif"/>
          <w:b/>
          <w:color w:val="000000"/>
          <w:sz w:val="20"/>
        </w:rPr>
      </w:pPr>
      <w:r>
        <w:rPr>
          <w:rFonts w:ascii="Times New Roman;serif" w:hAnsi="Times New Roman;serif"/>
          <w:b/>
          <w:color w:val="000000"/>
          <w:sz w:val="20"/>
        </w:rPr>
        <w:t>13. Derivative Instruments</w:t>
      </w:r>
    </w:p>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During fiscal year 2024, the Company entered into warrant agreements and a development and supply agreement with a supplier which, subject to meeting certain conditions, will entitle the Company to acquire a fixed number of shares of the supplier during the period of time set forth in the warrant agreements. The warrants vest in a series of tranches, at a specified price per share, upon meeting certain development and production-based milestones. If, and when, the relevant milestone is reached, the corresponding tranche of warrant will become exercisable up until the expiration date of the warrants in May 2044.</w:t>
      </w:r>
    </w:p>
    <w:p>
      <w:pPr>
        <w:pStyle w:val="TextBody"/>
        <w:bidi w:val="0"/>
        <w:spacing w:lineRule="auto" w:line="288" w:before="60" w:after="283"/>
        <w:ind w:left="0" w:right="0" w:firstLine="360"/>
        <w:jc w:val="left"/>
        <w:rPr/>
      </w:pPr>
      <w:r>
        <w:rPr>
          <w:rFonts w:ascii="Times New Roman;serif" w:hAnsi="Times New Roman;serif"/>
          <w:b w:val="false"/>
          <w:color w:val="000000"/>
          <w:sz w:val="20"/>
        </w:rPr>
        <w:t xml:space="preserve">The warrants are accounted for as a derivative under ASC Topic 815, </w:t>
      </w:r>
      <w:r>
        <w:rPr>
          <w:rFonts w:ascii="Times New Roman;serif" w:hAnsi="Times New Roman;serif"/>
          <w:b w:val="false"/>
          <w:i/>
          <w:color w:val="000000"/>
          <w:sz w:val="20"/>
        </w:rPr>
        <w:t>Derivatives and Hedging</w:t>
      </w:r>
      <w:r>
        <w:rPr>
          <w:rFonts w:ascii="Times New Roman;serif" w:hAnsi="Times New Roman;serif"/>
          <w:b w:val="false"/>
          <w:color w:val="000000"/>
          <w:sz w:val="20"/>
        </w:rPr>
        <w:t>, as a result of certain net settlement provisions in the warrant agreements. The Company reports the warrants at their fair values within “other assets” in its condensed consolidated balance sheets and changes in the fair value of the warrants are recognized in “other income, net” on its condensed consolidated statements of operations. The day-one value attributable to the other side of the warrants is reported within “other liabilities” in the Company’s condensed consolidated balance sheets and will be amortized over the life of the applicable development and production milestones as determined in the development and supply agreement. The fair value of the warrants recognized within “other assets” on the Company’s condensed consolidated balance sheets at June 28, 2025 is $16.8 million. The Company recorded a fair value adjustment of $4.5 million to “other income, net” on the Company’s condensed consolidated statements of operations for the nine months ended June 28, 2025. There is no impact recorded to “other income, net” on the Company’s condensed consolidated statements of operations for the three months ended June 28,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84785"/>
                <wp:effectExtent l="0" t="0" r="0" b="0"/>
                <wp:wrapNone/>
                <wp:docPr id="24" name="Frame24"/>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60" w:after="283"/>
        <w:ind w:left="0" w:right="0" w:firstLine="360"/>
        <w:jc w:val="left"/>
        <w:rPr/>
      </w:pPr>
      <w:hyperlink w:anchor="i123540df82f04e0eb97811cc101df5ff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
        <w:jc w:val="both"/>
        <w:rPr>
          <w:rFonts w:ascii="Times New Roman;serif" w:hAnsi="Times New Roman;serif"/>
          <w:b/>
          <w:color w:val="000000"/>
          <w:sz w:val="20"/>
        </w:rPr>
      </w:pPr>
      <w:r>
        <w:rPr>
          <w:rFonts w:ascii="Times New Roman;serif" w:hAnsi="Times New Roman;serif"/>
          <w:b/>
          <w:color w:val="000000"/>
          <w:sz w:val="20"/>
        </w:rPr>
        <w:t>14. Related Party Transactions</w:t>
      </w:r>
    </w:p>
    <w:p>
      <w:pPr>
        <w:pStyle w:val="TextBody"/>
        <w:bidi w:val="0"/>
        <w:spacing w:lineRule="auto" w:line="288" w:before="60" w:after="283"/>
        <w:ind w:left="0" w:right="0" w:firstLine="360"/>
        <w:jc w:val="left"/>
        <w:rPr/>
      </w:pPr>
      <w:r>
        <w:rPr>
          <w:rFonts w:ascii="Times New Roman;serif" w:hAnsi="Times New Roman;serif"/>
          <w:b w:val="false"/>
          <w:color w:val="000000"/>
          <w:sz w:val="20"/>
        </w:rPr>
        <w:t xml:space="preserve">ASC Topic 850, </w:t>
      </w:r>
      <w:r>
        <w:rPr>
          <w:rFonts w:ascii="Times New Roman;serif" w:hAnsi="Times New Roman;serif"/>
          <w:b w:val="false"/>
          <w:i/>
          <w:color w:val="000000"/>
          <w:sz w:val="20"/>
        </w:rPr>
        <w:t xml:space="preserve">Related Party Disclosures </w:t>
      </w:r>
      <w:r>
        <w:rPr>
          <w:rFonts w:ascii="Times New Roman;serif" w:hAnsi="Times New Roman;serif"/>
          <w:b w:val="false"/>
          <w:color w:val="000000"/>
          <w:sz w:val="20"/>
        </w:rPr>
        <w:t>(“ASC Topic 850”) provides guidance for the identification of related parties and the disclosure of related party transactions. Related parties are generally defined as (i) affiliates of the Company; (ii) owners of more than 10% of the voting interests of the Company and members of their immediate families; (iii) management of the Company and members of their immediate families; (iv) other parties which directly or indirectly control, are controlled by, or are under common control with the Company; or (v) other parties who can significantly influence the financial and operating decisions of the Company. A transaction is considered to be a related party transaction when there is a transfer of resources or obligations between related parties. The Company assesses related parties each reporting period. For the period ending June 28, 2025, the Company determined that C&amp;S Wholesale Grocers, Inc. (“C&amp;S”), GreenBox, and certain current holders of Symbotic Holdings were each a related party under ASC Topic 850. The following transactions were related party transactions under ASC Topic 850.</w:t>
      </w:r>
    </w:p>
    <w:p>
      <w:pPr>
        <w:pStyle w:val="TextBody"/>
        <w:bidi w:val="0"/>
        <w:spacing w:lineRule="auto" w:line="288" w:before="120" w:after="60"/>
        <w:jc w:val="left"/>
        <w:rPr>
          <w:rFonts w:ascii="Times New Roman;serif" w:hAnsi="Times New Roman;serif"/>
          <w:b w:val="false"/>
          <w:i/>
          <w:color w:val="000000"/>
          <w:sz w:val="20"/>
        </w:rPr>
      </w:pPr>
      <w:r>
        <w:rPr>
          <w:rFonts w:ascii="Times New Roman;serif" w:hAnsi="Times New Roman;serif"/>
          <w:b w:val="false"/>
          <w:i/>
          <w:color w:val="000000"/>
          <w:sz w:val="20"/>
        </w:rPr>
        <w:t>Aircraft Time Sharing Agreement</w:t>
      </w:r>
    </w:p>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In December 2021 and May 2022, the Company entered into aircraft time-sharing agreements with C&amp;S with respect to private aircraft owned by them, whereby the Company’s executives may utilize two C&amp;S aircraft on an as-needed and as-available basis, with no minimum usage being required. As there is no defined period of time stated within these aircraft time-sharing agreements, the Company does not consider these to meet the definition of a lease, and as such, records payments in the period in which the obligation for the payment is incurred. For the three and nine months ended June 28, 2025, the Company incurred expense of $0.3 million and $1.1 million, respectively, and for the three and nine months ended June 29, 2024, the Company incurred expense of $0.2 million and $0.7 million, respectively, related to these aircraft time-sharing agreements. </w:t>
      </w:r>
    </w:p>
    <w:p>
      <w:pPr>
        <w:pStyle w:val="TextBody"/>
        <w:bidi w:val="0"/>
        <w:spacing w:lineRule="auto" w:line="288" w:before="120" w:after="60"/>
        <w:jc w:val="left"/>
        <w:rPr>
          <w:rFonts w:ascii="Times New Roman;serif" w:hAnsi="Times New Roman;serif"/>
          <w:b w:val="false"/>
          <w:i/>
          <w:color w:val="000000"/>
          <w:sz w:val="20"/>
        </w:rPr>
      </w:pPr>
      <w:r>
        <w:rPr>
          <w:rFonts w:ascii="Times New Roman;serif" w:hAnsi="Times New Roman;serif"/>
          <w:b w:val="false"/>
          <w:i/>
          <w:color w:val="000000"/>
          <w:sz w:val="20"/>
        </w:rPr>
        <w:t>Usage of Facility and Employee Services</w:t>
      </w:r>
    </w:p>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 has a license arrangement with C&amp;S whereby C&amp;S is providing receiving and logistics services for the Company within a C&amp;S distribution facility. The arrangement also provides for C&amp;S employees assisting with certain of the Company’s operations. For the three and nine months ended June 28, 2025, the Company incurred expense of $0.3 million and $1.0 million, respectively, and for the three and nine months ended June 29, 2024, the Company incurred expense of $0.1 million and $1.6 million, respectively, related to this arrangement.</w:t>
      </w:r>
    </w:p>
    <w:p>
      <w:pPr>
        <w:pStyle w:val="TextBody"/>
        <w:bidi w:val="0"/>
        <w:spacing w:lineRule="auto" w:line="288" w:before="120" w:after="60"/>
        <w:jc w:val="left"/>
        <w:rPr>
          <w:rFonts w:ascii="Times New Roman;serif" w:hAnsi="Times New Roman;serif"/>
          <w:b w:val="false"/>
          <w:i/>
          <w:color w:val="000000"/>
          <w:sz w:val="20"/>
        </w:rPr>
      </w:pPr>
      <w:r>
        <w:rPr>
          <w:rFonts w:ascii="Times New Roman;serif" w:hAnsi="Times New Roman;serif"/>
          <w:b w:val="false"/>
          <w:i/>
          <w:color w:val="000000"/>
          <w:sz w:val="20"/>
        </w:rPr>
        <w:t>Customer Contracts</w:t>
      </w:r>
    </w:p>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 has customer contracts with C&amp;S relating to System Deployments, software maintenance services and the operations of Systems. For the three and nine months ended June 28, 2025, revenue of $4.8 million and $10.0 million was recognized, respectively, relating to these customer contracts. For the three and nine months ended June 29, 2024, revenue of $14.3 million and $49.3 million was recognized, respectively, relating to these customer contracts. There was $3.3 million unbilled accounts receivable and accounts receivable due from C&amp;S at June 28, 2025, and $18.4 million unbilled accounts receivable and accounts receivable due from C&amp;S at September 28, 2024. There was $2.5 million and $1.8 million of deferred revenue related to contracts with C&amp;S at June 28, 2025 and September 28, 2024, respectively.</w:t>
      </w:r>
    </w:p>
    <w:p>
      <w:pPr>
        <w:pStyle w:val="TextBody"/>
        <w:bidi w:val="0"/>
        <w:spacing w:lineRule="auto" w:line="288" w:before="120" w:after="60"/>
        <w:jc w:val="left"/>
        <w:rPr>
          <w:rFonts w:ascii="Times New Roman;serif" w:hAnsi="Times New Roman;serif"/>
          <w:b w:val="false"/>
          <w:i/>
          <w:color w:val="000000"/>
          <w:sz w:val="20"/>
        </w:rPr>
      </w:pPr>
      <w:r>
        <w:rPr>
          <w:rFonts w:ascii="Times New Roman;serif" w:hAnsi="Times New Roman;serif"/>
          <w:b w:val="false"/>
          <w:i/>
          <w:color w:val="000000"/>
          <w:sz w:val="20"/>
        </w:rPr>
        <w:t>GreenBox</w:t>
      </w:r>
    </w:p>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has a customer contract relating to System Deployments and shared services with GreenBox. For the three and nine months ended June 28, 2025, revenue of $26.4 million and $34.0 million was recognized, respectively, relating to this customer contract. For the three and nine months ended June 29, 2024, revenue of $1.9 million was recognized relating to this customer contract. There was $51.3 million unbilled accounts receivable and accounts receivable due from the customer contract at June 28, 2025, and no unbilled accounts receivable and accounts receivable due from the customer contract at September 28, 2024. There was $1.2 million and $0.6 million accounts receivable due from the shared service agreement at June 28, 2025 and September 28, 2024, respectively. There was $139.1 million and $69.1 million of deferred revenue related to contracts with GreenBox at June 28, 2025 and September 28, 2024, respectively. The transaction price allocated to performance obligations that are unsatisfied as of June 28, 2025 was $11.5 billion. </w:t>
      </w:r>
    </w:p>
    <w:p>
      <w:pPr>
        <w:pStyle w:val="TextBody"/>
        <w:bidi w:val="0"/>
        <w:spacing w:lineRule="auto" w:line="288" w:before="60" w:after="283"/>
        <w:ind w:left="0" w:right="0" w:firstLine="360"/>
        <w:jc w:val="left"/>
        <w:rPr/>
      </w:pPr>
      <w:r>
        <w:rPr>
          <w:rFonts w:ascii="Times New Roman;serif" w:hAnsi="Times New Roman;serif"/>
          <w:b w:val="false"/>
          <w:color w:val="000000"/>
          <w:sz w:val="20"/>
        </w:rPr>
        <w:t xml:space="preserve">Cash funding of $24.4 million and $31.1 million was made, respectively, by the Company to GreenBox in relation to the VIE (as further described in Note 16, </w:t>
      </w:r>
      <w:r>
        <w:rPr>
          <w:rFonts w:ascii="Times New Roman;serif" w:hAnsi="Times New Roman;serif"/>
          <w:b w:val="false"/>
          <w:i/>
          <w:color w:val="000000"/>
          <w:sz w:val="20"/>
        </w:rPr>
        <w:t>Variable Interest Entities</w:t>
      </w:r>
      <w:r>
        <w:rPr>
          <w:rFonts w:ascii="Times New Roman;serif" w:hAnsi="Times New Roman;serif"/>
          <w:b w:val="false"/>
          <w:color w:val="000000"/>
          <w:sz w:val="20"/>
        </w:rPr>
        <w:t xml:space="preserve">) for the three and nine months ended June 28, 2025. Non-cash funding in the form of a stock contribution of $4.2 million and $6.9 million was made by the Company to GreenBox for the three and nine months ended June 28, 2025, respectively. Cash funding of $66.5 million was made by the Company to GreenBox in relation to the VIE for the three and nine months ended June 29, 2024, and no non-cash funding was made for the three and nine months ended June 29, 2024.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84785"/>
                <wp:effectExtent l="0" t="0" r="0" b="0"/>
                <wp:wrapNone/>
                <wp:docPr id="25" name="Frame25"/>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60" w:after="283"/>
        <w:ind w:left="0" w:right="0" w:firstLine="360"/>
        <w:jc w:val="left"/>
        <w:rPr/>
      </w:pPr>
      <w:hyperlink w:anchor="i123540df82f04e0eb97811cc101df5ff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60"/>
        <w:jc w:val="left"/>
        <w:rPr>
          <w:rFonts w:ascii="Times New Roman;serif" w:hAnsi="Times New Roman;serif"/>
          <w:b w:val="false"/>
          <w:i/>
          <w:color w:val="000000"/>
          <w:sz w:val="20"/>
        </w:rPr>
      </w:pPr>
      <w:r>
        <w:rPr>
          <w:rFonts w:ascii="Times New Roman;serif" w:hAnsi="Times New Roman;serif"/>
          <w:b w:val="false"/>
          <w:i/>
          <w:color w:val="000000"/>
          <w:sz w:val="20"/>
        </w:rPr>
        <w:t>Tax Distribution to Symbotic Holdings LLC partners</w:t>
      </w:r>
    </w:p>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Pursuant to the Second Amended and Restated Limited Liability Company Agreement of Symbotic Holdings, Symbotic LLC makes pro rata tax distributions to the holders of Symbotic Holdings’ units in an amount sufficient to fund all or part of their tax obligations with respect to the taxable income of Symbotic Holdings that is allocated to them. For the three months ended June 28, 2025, there were no material tax distributions made by the Company to or on behalf of its members. For the nine months ended June 28, 2025, the Company distributed a total of $1.2 million of tax distributions to or on behalf of its members, of which $1.1 million was distributed to or on behalf of those who met the definition of a related party in accordance with ASC Topic 850.</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
        <w:jc w:val="both"/>
        <w:rPr>
          <w:rFonts w:ascii="Times New Roman;serif" w:hAnsi="Times New Roman;serif"/>
          <w:b/>
          <w:color w:val="000000"/>
          <w:sz w:val="20"/>
        </w:rPr>
      </w:pPr>
      <w:r>
        <w:rPr>
          <w:rFonts w:ascii="Times New Roman;serif" w:hAnsi="Times New Roman;serif"/>
          <w:b/>
          <w:color w:val="000000"/>
          <w:sz w:val="20"/>
        </w:rPr>
        <w:t>15. Commitments and Contingencies</w:t>
      </w:r>
    </w:p>
    <w:p>
      <w:pPr>
        <w:pStyle w:val="TextBody"/>
        <w:bidi w:val="0"/>
        <w:spacing w:lineRule="auto" w:line="288" w:before="120" w:after="2"/>
        <w:jc w:val="both"/>
        <w:rPr>
          <w:rFonts w:ascii="Times New Roman;serif" w:hAnsi="Times New Roman;serif"/>
          <w:b/>
          <w:color w:val="000000"/>
          <w:sz w:val="20"/>
        </w:rPr>
      </w:pPr>
      <w:r>
        <w:rPr>
          <w:rFonts w:ascii="Times New Roman;serif" w:hAnsi="Times New Roman;serif"/>
          <w:b/>
          <w:color w:val="000000"/>
          <w:sz w:val="20"/>
        </w:rPr>
        <w:t>Purchase Obligations</w:t>
      </w:r>
    </w:p>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 has contractual obligations to purchase goods or services, which specify significant terms, including fixed or minimum quantities to be purchased and fixed, minimum, or variable price provisions. As of June 28, 2025, the purchase commitments covered by these arrangements are $871.8 million in the aggregate, of which $793.5 million are less than one year.</w:t>
      </w:r>
    </w:p>
    <w:p>
      <w:pPr>
        <w:pStyle w:val="TextBody"/>
        <w:bidi w:val="0"/>
        <w:spacing w:lineRule="auto" w:line="288" w:before="120" w:after="2"/>
        <w:jc w:val="both"/>
        <w:rPr>
          <w:rFonts w:ascii="Times New Roman;serif" w:hAnsi="Times New Roman;serif"/>
          <w:b/>
          <w:color w:val="000000"/>
          <w:sz w:val="20"/>
        </w:rPr>
      </w:pPr>
      <w:r>
        <w:rPr>
          <w:rFonts w:ascii="Times New Roman;serif" w:hAnsi="Times New Roman;serif"/>
          <w:b/>
          <w:color w:val="000000"/>
          <w:sz w:val="20"/>
        </w:rPr>
        <w:t>Lease Commitments</w:t>
      </w:r>
    </w:p>
    <w:p>
      <w:pPr>
        <w:pStyle w:val="TextBody"/>
        <w:bidi w:val="0"/>
        <w:spacing w:lineRule="auto" w:line="288" w:before="60" w:after="283"/>
        <w:ind w:left="0" w:right="0" w:firstLine="360"/>
        <w:jc w:val="left"/>
        <w:rPr/>
      </w:pPr>
      <w:r>
        <w:rPr>
          <w:rFonts w:ascii="Times New Roman;serif" w:hAnsi="Times New Roman;serif"/>
          <w:b w:val="false"/>
          <w:color w:val="000000"/>
          <w:sz w:val="20"/>
        </w:rPr>
        <w:t xml:space="preserve">The Company leases certain of its facilities under operating leases expiring in various years through 2030. Refer to Note 5, </w:t>
      </w:r>
      <w:r>
        <w:rPr>
          <w:rFonts w:ascii="Times New Roman;serif" w:hAnsi="Times New Roman;serif"/>
          <w:b w:val="false"/>
          <w:i/>
          <w:color w:val="000000"/>
          <w:sz w:val="20"/>
        </w:rPr>
        <w:t>Leases</w:t>
      </w:r>
      <w:r>
        <w:rPr>
          <w:rFonts w:ascii="Times New Roman;serif" w:hAnsi="Times New Roman;serif"/>
          <w:b w:val="false"/>
          <w:color w:val="000000"/>
          <w:sz w:val="20"/>
        </w:rPr>
        <w:t xml:space="preserve">, for a schedule of future lease payments under non-cancellable leases as of June 28, 2025. </w:t>
      </w:r>
    </w:p>
    <w:p>
      <w:pPr>
        <w:pStyle w:val="TextBody"/>
        <w:bidi w:val="0"/>
        <w:spacing w:lineRule="auto" w:line="288" w:before="120" w:after="2"/>
        <w:jc w:val="both"/>
        <w:rPr>
          <w:rFonts w:ascii="Times New Roman;serif" w:hAnsi="Times New Roman;serif"/>
          <w:b/>
          <w:color w:val="000000"/>
          <w:sz w:val="20"/>
        </w:rPr>
      </w:pPr>
      <w:r>
        <w:rPr>
          <w:rFonts w:ascii="Times New Roman;serif" w:hAnsi="Times New Roman;serif"/>
          <w:b/>
          <w:color w:val="000000"/>
          <w:sz w:val="20"/>
        </w:rPr>
        <w:t>Warranty</w:t>
      </w:r>
    </w:p>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provides a limited warranty on its Systems and has established a reserve for warranty obligations based on estimated warranty costs. The reserve is included as part of accrued expenses and other long-term liabilities in the accompanying condensed consolidated balance sheets. </w:t>
      </w:r>
    </w:p>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Activity related to the warranty accrual is as follows (in thousands): </w:t>
      </w:r>
    </w:p>
    <w:tbl>
      <w:tblPr>
        <w:tblW w:w="8285" w:type="dxa"/>
        <w:jc w:val="left"/>
        <w:tblInd w:w="0" w:type="dxa"/>
        <w:tblLayout w:type="fixed"/>
        <w:tblCellMar>
          <w:top w:w="28" w:type="dxa"/>
          <w:left w:w="28" w:type="dxa"/>
          <w:bottom w:w="28" w:type="dxa"/>
          <w:right w:w="28" w:type="dxa"/>
        </w:tblCellMar>
      </w:tblPr>
      <w:tblGrid>
        <w:gridCol w:w="956"/>
        <w:gridCol w:w="840"/>
        <w:gridCol w:w="843"/>
        <w:gridCol w:w="234"/>
        <w:gridCol w:w="800"/>
        <w:gridCol w:w="121"/>
        <w:gridCol w:w="109"/>
        <w:gridCol w:w="109"/>
        <w:gridCol w:w="109"/>
        <w:gridCol w:w="234"/>
        <w:gridCol w:w="800"/>
        <w:gridCol w:w="121"/>
        <w:gridCol w:w="109"/>
        <w:gridCol w:w="109"/>
        <w:gridCol w:w="109"/>
        <w:gridCol w:w="234"/>
        <w:gridCol w:w="800"/>
        <w:gridCol w:w="121"/>
        <w:gridCol w:w="109"/>
        <w:gridCol w:w="109"/>
        <w:gridCol w:w="109"/>
        <w:gridCol w:w="233"/>
        <w:gridCol w:w="797"/>
        <w:gridCol w:w="170"/>
      </w:tblGrid>
      <w:tr>
        <w:trPr/>
        <w:tc>
          <w:tcPr>
            <w:tcW w:w="956"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26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7" w:type="dxa"/>
            <w:gridSpan w:val="9"/>
            <w:tcBorders/>
            <w:shd w:fill="FFFFFF" w:val="clear"/>
            <w:tcMar>
              <w:top w:w="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2" w:type="dxa"/>
            <w:gridSpan w:val="9"/>
            <w:tcBorders/>
            <w:shd w:fill="FFFFFF" w:val="clear"/>
            <w:tcMar>
              <w:top w:w="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8"/>
              </w:rPr>
            </w:pPr>
            <w:r>
              <w:rPr>
                <w:rFonts w:ascii="Times New Roman;serif" w:hAnsi="Times New Roman;serif"/>
                <w:b/>
                <w:color w:val="000000"/>
                <w:sz w:val="18"/>
              </w:rPr>
              <w:t>Nine Months Ended</w:t>
            </w:r>
          </w:p>
        </w:tc>
      </w:tr>
      <w:tr>
        <w:trPr/>
        <w:tc>
          <w:tcPr>
            <w:tcW w:w="26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8"/>
              </w:rPr>
            </w:pPr>
            <w:r>
              <w:rPr>
                <w:rFonts w:ascii="Times New Roman;serif" w:hAnsi="Times New Roman;serif"/>
                <w:b/>
                <w:color w:val="000000"/>
                <w:sz w:val="18"/>
              </w:rPr>
              <w:t>June 28, 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8"/>
              </w:rPr>
            </w:pPr>
            <w:r>
              <w:rPr>
                <w:rFonts w:ascii="Times New Roman;serif" w:hAnsi="Times New Roman;serif"/>
                <w:b/>
                <w:color w:val="000000"/>
                <w:sz w:val="18"/>
              </w:rPr>
              <w:t>June 29,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8"/>
              </w:rPr>
            </w:pPr>
            <w:r>
              <w:rPr>
                <w:rFonts w:ascii="Times New Roman;serif" w:hAnsi="Times New Roman;serif"/>
                <w:b/>
                <w:color w:val="000000"/>
                <w:sz w:val="18"/>
              </w:rPr>
              <w:t>June 28, 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8"/>
              </w:rPr>
            </w:pPr>
            <w:r>
              <w:rPr>
                <w:rFonts w:ascii="Times New Roman;serif" w:hAnsi="Times New Roman;serif"/>
                <w:b/>
                <w:color w:val="000000"/>
                <w:sz w:val="18"/>
              </w:rPr>
              <w:t>June 29, 2024</w:t>
            </w:r>
          </w:p>
        </w:tc>
      </w:tr>
      <w:tr>
        <w:trPr/>
        <w:tc>
          <w:tcPr>
            <w:tcW w:w="263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beginning of period</w:t>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45,725 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27,476 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31,935 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18,948 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w:t>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4,121 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10,442 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22,629 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22,481 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Warranty usage</w:t>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(2,458)</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(10,528)</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(7,176)</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(14,039)</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end of period</w:t>
            </w:r>
          </w:p>
        </w:tc>
        <w:tc>
          <w:tcPr>
            <w:tcW w:w="2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47,388 </w:t>
            </w:r>
          </w:p>
        </w:tc>
        <w:tc>
          <w:tcPr>
            <w:tcW w:w="1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27,390 </w:t>
            </w:r>
          </w:p>
        </w:tc>
        <w:tc>
          <w:tcPr>
            <w:tcW w:w="1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47,388 </w:t>
            </w:r>
          </w:p>
        </w:tc>
        <w:tc>
          <w:tcPr>
            <w:tcW w:w="1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27,390 </w:t>
            </w:r>
          </w:p>
        </w:tc>
        <w:tc>
          <w:tcPr>
            <w:tcW w:w="1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
        <w:jc w:val="both"/>
        <w:rPr>
          <w:rFonts w:ascii="Times New Roman;serif" w:hAnsi="Times New Roman;serif"/>
          <w:b/>
          <w:color w:val="000000"/>
          <w:sz w:val="20"/>
        </w:rPr>
      </w:pPr>
      <w:r>
        <w:rPr>
          <w:rFonts w:ascii="Times New Roman;serif" w:hAnsi="Times New Roman;serif"/>
          <w:b/>
          <w:color w:val="000000"/>
          <w:sz w:val="20"/>
        </w:rPr>
        <w:t>Legal Matters</w:t>
      </w:r>
    </w:p>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is subject from time to time to various claims, lawsuits and other legal and administrative proceedings. Some of these claims, lawsuits and other proceedings may involve highly complex issues that are subject to substantial uncertainties, and could result in damages, fines and penalties, non-monetary sanctions or relief. </w:t>
      </w:r>
    </w:p>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 recognizes provisions for claims or pending litigation when it is determined that an unfavorable outcome is probable, and the amount of loss can be reasonably estimated. Due to the inherent uncertain nature of litigation, the ultimate outcome or actual cost of settlement may materially vary from estimates.</w:t>
      </w:r>
    </w:p>
    <w:p>
      <w:pPr>
        <w:pStyle w:val="TextBody"/>
        <w:bidi w:val="0"/>
        <w:spacing w:lineRule="auto" w:line="288" w:before="120" w:after="60"/>
        <w:jc w:val="left"/>
        <w:rPr>
          <w:rFonts w:ascii="Times New Roman;serif" w:hAnsi="Times New Roman;serif"/>
          <w:b w:val="false"/>
          <w:i/>
          <w:color w:val="000000"/>
          <w:sz w:val="20"/>
        </w:rPr>
      </w:pPr>
      <w:r>
        <w:rPr>
          <w:rFonts w:ascii="Times New Roman;serif" w:hAnsi="Times New Roman;serif"/>
          <w:b w:val="false"/>
          <w:i/>
          <w:color w:val="000000"/>
          <w:sz w:val="20"/>
        </w:rPr>
        <w:t>SEC Matters</w:t>
      </w:r>
    </w:p>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 has been responding to requests for information from the SEC relating to an investigation by the SEC of alleged violations by the Company of Rule 21F-17, which rule prohibits actions to impede communications directly with the SEC staff about a possible securities law violation. The Company intends to continue to defend this matter vigorously and cannot predict the outcome of this investigation.</w:t>
      </w:r>
    </w:p>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 has received a subpoena from the SEC relating to its November 2024 restatement of revenues for the year ended September 28, 2024 and certain other matters. The Company is cooperating with the SEC with respect to this matter.</w:t>
      </w:r>
    </w:p>
    <w:p>
      <w:pPr>
        <w:pStyle w:val="TextBody"/>
        <w:bidi w:val="0"/>
        <w:spacing w:lineRule="auto" w:line="288" w:before="120" w:after="60"/>
        <w:jc w:val="left"/>
        <w:rPr>
          <w:rFonts w:ascii="Times New Roman;serif" w:hAnsi="Times New Roman;serif"/>
          <w:b w:val="false"/>
          <w:i/>
          <w:color w:val="000000"/>
          <w:sz w:val="20"/>
        </w:rPr>
      </w:pPr>
      <w:r>
        <w:rPr>
          <w:rFonts w:ascii="Times New Roman;serif" w:hAnsi="Times New Roman;serif"/>
          <w:b w:val="false"/>
          <w:i/>
          <w:color w:val="000000"/>
          <w:sz w:val="20"/>
        </w:rPr>
        <w:t>Securities Class Actions</w:t>
      </w:r>
    </w:p>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On August 14, 2024, a putative class action captioned Fox v. Symbotic Inc. et al., Case No. 24-cv-12090 was filed in the United States District Court for the District of Massachusetts by an alleged holder of the Company’s common stock. 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84785"/>
                <wp:effectExtent l="0" t="0" r="0" b="0"/>
                <wp:wrapNone/>
                <wp:docPr id="26" name="Frame26"/>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60" w:after="283"/>
        <w:ind w:left="0" w:right="0" w:firstLine="360"/>
        <w:jc w:val="left"/>
        <w:rPr/>
      </w:pPr>
      <w:hyperlink w:anchor="i123540df82f04e0eb97811cc101df5ff_7">
        <w:r>
          <w:rPr>
            <w:rStyle w:val="InternetLink"/>
            <w:rFonts w:ascii="Times New Roman;serif" w:hAnsi="Times New Roman;serif"/>
            <w:b w:val="false"/>
            <w:color w:val="0000FF"/>
            <w:sz w:val="20"/>
            <w:u w:val="single"/>
          </w:rPr>
          <w:t>Table of Contents</w:t>
        </w:r>
      </w:hyperlink>
    </w:p>
    <w:p>
      <w:pPr>
        <w:pStyle w:val="TextBody"/>
        <w:bidi w:val="0"/>
        <w:spacing w:lineRule="auto" w:line="288" w:before="60" w:after="283"/>
        <w:jc w:val="left"/>
        <w:rPr>
          <w:rFonts w:ascii="Times New Roman;serif" w:hAnsi="Times New Roman;serif"/>
          <w:b w:val="false"/>
          <w:color w:val="000000"/>
          <w:sz w:val="20"/>
        </w:rPr>
      </w:pPr>
      <w:r>
        <w:rPr>
          <w:rFonts w:ascii="Times New Roman;serif" w:hAnsi="Times New Roman;serif"/>
          <w:b w:val="false"/>
          <w:color w:val="000000"/>
          <w:sz w:val="20"/>
        </w:rPr>
        <w:t>March 10, 2025, the plaintiff voluntarily dismissed this action without prejudice pursuant to Federal Rule of Civil Procedure 41(a)(1)(A)(i).</w:t>
      </w:r>
    </w:p>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On December 3, 2024, a putative class action captioned Decker v. Symbotic Inc. et al., Case No. 24-cv-12976 was filed in the United States District Court for the District of Massachusetts by an alleged purchaser of the Company’s common stock. The complaint asserts claims for violations of federal securities laws against the Company and three of its officers on the grounds that the Company made false and/or misleading statements related to its revenue recognition and the effectiveness of its disclosure controls and procedures. Based on these allegations, the plaintiff brings claims seeking unspecified damages, attorneys’ fees, expert fees, and other costs and relief on behalf of himself and a putative class of persons who purchased the Company’s stock between February 8, 2024 and November 26, 2024. On May 5, 2025, the court entered an order appointing a lead plaintiff pursuant to the Private Securities Litigation Reform Act and setting a schedule for the filing of an amended complaint and the Company’s response to the complaint.</w:t>
      </w:r>
    </w:p>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On July 11, 2025, plaintiffs filed an amended complaint captioned Traina v. Symbotic Inc. et al, Case No. 24-cv-12196. Like the Decker complaint, the amended complaint asserts claims for violations of federal securities laws against the Company and four of officers of the Company on the grounds that the Company made false and/or misleading statements or omissions related to its financial results, deployment times, revenue recognition, and internal controls. Based on these allegations, the plaintiffs bring claims seeking unspecified damages, attorneys’ fees, expert fees, and other costs and relief on behalf of themselves and a putative class of persons who purchased stock of the Company between November 20, 2023 and February 5, 2025. </w:t>
      </w:r>
    </w:p>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 intends to vigorously defend this case. If a court ultimately determines that the Company is liable in this case, the Company may be subject to substantial damages. The Company cannot predict with any degree of certainty the outcome of this matter or determine the extent of any potential liabilities. The Company also cannot provide an estimate of the possible loss or range of loss. Any adverse outcome in this matter could expose the Company to substantial damages that may have a material adverse impact on its operations and cash flows. Despite the potential for significant damages, the Company does not believe, based on currently available information, that the outcome of this proceeding will have a material adverse effect on its financial condition, although the outcome could be material to its operating results for any particular period, depending, in part, upon the operating results for such period.</w:t>
      </w:r>
    </w:p>
    <w:p>
      <w:pPr>
        <w:pStyle w:val="TextBody"/>
        <w:bidi w:val="0"/>
        <w:spacing w:lineRule="auto" w:line="288" w:before="120" w:after="60"/>
        <w:jc w:val="left"/>
        <w:rPr>
          <w:rFonts w:ascii="Times New Roman;serif" w:hAnsi="Times New Roman;serif"/>
          <w:b w:val="false"/>
          <w:i/>
          <w:color w:val="000000"/>
          <w:sz w:val="20"/>
        </w:rPr>
      </w:pPr>
      <w:r>
        <w:rPr>
          <w:rFonts w:ascii="Times New Roman;serif" w:hAnsi="Times New Roman;serif"/>
          <w:b w:val="false"/>
          <w:i/>
          <w:color w:val="000000"/>
          <w:sz w:val="20"/>
        </w:rPr>
        <w:t>Shareholder Derivative Actions</w:t>
      </w:r>
    </w:p>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On October 2, 2024, two putative shareholder derivative actions captioned Austen v. Cohen et al., 24-cv-12522 and Kukreja v. Cohen et al., 24-cv-12523 were filed in the United States District Court for the District of Massachusetts by the Company’s alleged shareholders. The actions assert claims on behalf of the Company against certain senior officers and members of its board of directors for, among others, breach of fiduciary duty, unjust enrichment, and violations of federal securities laws based primarily on allegations that the defendants caused or allowed the Company to disseminate misleading and inaccurate information to shareholders in connection with the Company’s expected earnings for the third quarter of fiscal year 2024. The actions also contend that the defendants wasted corporate assets by exposing the Company to the securities class action lawsuit filed on August 14, 2024. The actions seek compensatory damages, changes to corporate governance and internal procedures, restitution, costs and attorneys’ fees, and other unspecified relief. Motions to consolidate the two actions into a single matter, appoint lead plaintiffs’ counsel, and stay any obligation of the defendants to respond to the complaint based on the pendency of the related securities class action lawsuit remain pending.</w:t>
      </w:r>
    </w:p>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 intends to vigorously defend these cases. If a court ultimately determines that the Company is liable, the Company may be subject to substantial damages. The Company cannot predict with any degree of certainty the outcome of this matter or determine the extent of any potential liabilities. The Company also cannot provide an estimate of the possible loss or range of loss. Any adverse outcome in this matter could expose the Company to substantial damages that may have a material adverse impact on its operations and cash flows. Despite the potential for significant damages, the Company does not believe, based on currently available information, that the outcome of this proceeding will have a material adverse effect on its financial condition, although the outcome could be material to its operating results for any particular period, depending, in part, upon the operating results for such period.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84785"/>
                <wp:effectExtent l="0" t="0" r="0" b="0"/>
                <wp:wrapNone/>
                <wp:docPr id="27" name="Frame27"/>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60" w:after="283"/>
        <w:ind w:left="0" w:right="0" w:firstLine="360"/>
        <w:jc w:val="left"/>
        <w:rPr/>
      </w:pPr>
      <w:hyperlink w:anchor="i123540df82f04e0eb97811cc101df5ff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
        <w:jc w:val="both"/>
        <w:rPr>
          <w:rFonts w:ascii="Times New Roman;serif" w:hAnsi="Times New Roman;serif"/>
          <w:b/>
          <w:color w:val="000000"/>
          <w:sz w:val="20"/>
        </w:rPr>
      </w:pPr>
      <w:r>
        <w:rPr>
          <w:rFonts w:ascii="Times New Roman;serif" w:hAnsi="Times New Roman;serif"/>
          <w:b/>
          <w:color w:val="000000"/>
          <w:sz w:val="20"/>
        </w:rPr>
        <w:t>Contingencies</w:t>
      </w:r>
    </w:p>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Liabilities for any loss contingencies arising from claims, assessments, litigation, fines, penalties, and other matters are recorded when it is probable that the liability has been incurred and the amount of the liability can be reasonably estimated. Legal costs associated with loss contingencies are expensed as incurred. As of June 28, 2025, the Company has made appropriate provisions related to such matters and does not believe that such matters will have a material adverse effect on the Company’s consolidated operations, financial position, or liquidity.</w:t>
      </w:r>
    </w:p>
    <w:p>
      <w:pPr>
        <w:pStyle w:val="TextBody"/>
        <w:bidi w:val="0"/>
        <w:spacing w:lineRule="auto" w:line="288" w:before="120" w:after="2"/>
        <w:jc w:val="both"/>
        <w:rPr>
          <w:rFonts w:ascii="Times New Roman;serif" w:hAnsi="Times New Roman;serif"/>
          <w:b/>
          <w:color w:val="000000"/>
          <w:sz w:val="20"/>
        </w:rPr>
      </w:pPr>
      <w:r>
        <w:rPr>
          <w:rFonts w:ascii="Times New Roman;serif" w:hAnsi="Times New Roman;serif"/>
          <w:b/>
          <w:color w:val="000000"/>
          <w:sz w:val="20"/>
        </w:rPr>
        <w:t>Indemnifications</w:t>
      </w:r>
    </w:p>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In the ordinary course of business, the Company enters into various contracts under which it may agree to indemnify other parties for losses incurred from certain events as defined in the relevant contract, such as litigation, regulatory penalties, or claims relating to past performance. Such indemnification obligations may not be subject to maximum loss clauses. The Company has never incurred costs to defend lawsuits or settle claims related to these indemnification obligations. As a result, the Company believes the estimated fair value of these obligations is minimal. Accordingly, the Company has no liabilities recorded for these obligations as of June 28, 2025 and September 28, 2024.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
        <w:jc w:val="both"/>
        <w:rPr>
          <w:rFonts w:ascii="Times New Roman;serif" w:hAnsi="Times New Roman;serif"/>
          <w:b/>
          <w:color w:val="000000"/>
          <w:sz w:val="20"/>
        </w:rPr>
      </w:pPr>
      <w:r>
        <w:rPr>
          <w:rFonts w:ascii="Times New Roman;serif" w:hAnsi="Times New Roman;serif"/>
          <w:b/>
          <w:color w:val="000000"/>
          <w:sz w:val="20"/>
        </w:rPr>
        <w:t>16. Variable Interest Entities (“VIE”)</w:t>
      </w:r>
    </w:p>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VIEs are entities with any of the following characteristics: (i) the entity does not have enough equity to finance its activities without additional financial support; (ii) the equity holders, as a group, lack the characteristics of a controlling financial interest; or (iii) the entity is structured with non-substantive voting rights. </w:t>
      </w:r>
    </w:p>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Consolidation of a VIE is required for the party deemed to be the primary beneficiary, if any. The primary beneficiary is the party who has both (a) the power to direct the activities of a VIE that most significantly impact the entity’s economic performance and (b) an obligation to absorb losses of the entity or a right to receive benefits from the entity that could potentially be significant to the entity. </w:t>
      </w:r>
    </w:p>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On July 23, 2023, the Company, New Symbotic Holdings, and Symbotic LLC (collectively, the “Symbotic Group”), entered into a Framework Agreement (the “Framework Agreement”) with Sunlight Investment Corp., a Delaware corporation (“Sunlight”), SVF II Strategic Investments AIV LLC, a Delaware limited liability company (“SVF” and, together with Sunlight, “SoftBank”), and GreenBox, related to, among other things, the formation of GreenBox as a venture between the Symbotic Group and SoftBank and a warrant to purchase Class A Common Stock of Symbotic (the “GreenBox Warrant”). On July 23, 2023, GreenBox also entered into a Master Services, License and Equipment Agreement with Symbotic LLC with respect to the purchase of Systems (“GreenBox Commercial Agreement”).</w:t>
      </w:r>
    </w:p>
    <w:p>
      <w:pPr>
        <w:pStyle w:val="TextBody"/>
        <w:bidi w:val="0"/>
        <w:spacing w:lineRule="auto" w:line="288" w:before="60" w:after="283"/>
        <w:ind w:left="0" w:right="0" w:firstLine="360"/>
        <w:jc w:val="left"/>
        <w:rPr/>
      </w:pPr>
      <w:r>
        <w:rPr>
          <w:rFonts w:ascii="Times New Roman;serif" w:hAnsi="Times New Roman;serif"/>
          <w:b w:val="false"/>
          <w:color w:val="000000"/>
          <w:sz w:val="20"/>
        </w:rPr>
        <w:t xml:space="preserve">GreenBox was established on July 21, 2023, to build and automate supply chain networks globally by operating and financing the Company’s artificial intelligence and automation technology for the warehouse. Symbotic Holdings and Sunlight own 35% and 65% of GreenBox, respectively. The Company evaluated for VIEs upon the formation of GreenBox in accordance with ASC Topic 810, </w:t>
      </w:r>
      <w:r>
        <w:rPr>
          <w:rFonts w:ascii="Times New Roman;serif" w:hAnsi="Times New Roman;serif"/>
          <w:b w:val="false"/>
          <w:i/>
          <w:color w:val="000000"/>
          <w:sz w:val="20"/>
        </w:rPr>
        <w:t>Consolidation</w:t>
      </w:r>
      <w:r>
        <w:rPr>
          <w:rFonts w:ascii="Times New Roman;serif" w:hAnsi="Times New Roman;serif"/>
          <w:b w:val="false"/>
          <w:color w:val="000000"/>
          <w:sz w:val="20"/>
        </w:rPr>
        <w:t xml:space="preserve">. The Company holds a variable interest in GreenBox through its equity interest in GreenBox. GreenBox is a VIE resulting from GreenBox’s lack of sufficient equity to finance its operations without additional subordinated financial support from both the Company and SoftBank. The consolidation of GreenBox is not required as the Company is not the primary beneficiary of this VIE as it does not have the power to direct the activities that most significantly impact GreenBox’s economic performance. Such power is conveyed through GreenBox’s board of directors and the Company does not have control over GreenBox’s board of directors. </w:t>
      </w:r>
    </w:p>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Company’s recorded investments in the unconsolidated VIE and related estimated maximum exposure to loss are as follows (in thousands):</w:t>
      </w:r>
    </w:p>
    <w:tbl>
      <w:tblPr>
        <w:tblW w:w="8471" w:type="dxa"/>
        <w:jc w:val="left"/>
        <w:tblInd w:w="0" w:type="dxa"/>
        <w:tblLayout w:type="fixed"/>
        <w:tblCellMar>
          <w:top w:w="28" w:type="dxa"/>
          <w:left w:w="28" w:type="dxa"/>
          <w:bottom w:w="28" w:type="dxa"/>
          <w:right w:w="28" w:type="dxa"/>
        </w:tblCellMar>
      </w:tblPr>
      <w:tblGrid>
        <w:gridCol w:w="748"/>
        <w:gridCol w:w="658"/>
        <w:gridCol w:w="663"/>
        <w:gridCol w:w="526"/>
        <w:gridCol w:w="2065"/>
        <w:gridCol w:w="274"/>
        <w:gridCol w:w="109"/>
        <w:gridCol w:w="109"/>
        <w:gridCol w:w="109"/>
        <w:gridCol w:w="505"/>
        <w:gridCol w:w="2337"/>
        <w:gridCol w:w="368"/>
      </w:tblGrid>
      <w:tr>
        <w:trPr/>
        <w:tc>
          <w:tcPr>
            <w:tcW w:w="748"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2065"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2337"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r>
      <w:tr>
        <w:trPr/>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2" w:type="dxa"/>
            <w:gridSpan w:val="9"/>
            <w:tcBorders/>
            <w:tcMar>
              <w:top w:w="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8"/>
              </w:rPr>
            </w:pPr>
            <w:r>
              <w:rPr>
                <w:rFonts w:ascii="Times New Roman;serif" w:hAnsi="Times New Roman;serif"/>
                <w:b/>
                <w:color w:val="000000"/>
                <w:sz w:val="18"/>
              </w:rPr>
              <w:t>June 28, 2025</w:t>
            </w:r>
          </w:p>
        </w:tc>
      </w:tr>
      <w:tr>
        <w:trPr/>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8"/>
              </w:rPr>
            </w:pPr>
            <w:r>
              <w:rPr>
                <w:rFonts w:ascii="Times New Roman;serif" w:hAnsi="Times New Roman;serif"/>
                <w:b/>
                <w:color w:val="000000"/>
                <w:sz w:val="18"/>
              </w:rPr>
              <w:t>Investments in Unconsolidated VIE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8"/>
              </w:rPr>
            </w:pPr>
            <w:r>
              <w:rPr>
                <w:rFonts w:ascii="Times New Roman;serif" w:hAnsi="Times New Roman;serif"/>
                <w:b/>
                <w:color w:val="000000"/>
                <w:sz w:val="18"/>
              </w:rPr>
              <w:t>Symbotic's Maximum Exposure to Loss</w:t>
            </w:r>
          </w:p>
        </w:tc>
      </w:tr>
      <w:tr>
        <w:trPr/>
        <w:tc>
          <w:tcPr>
            <w:tcW w:w="206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GreenBox Systems LLC</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0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105,551 </w:t>
            </w:r>
          </w:p>
        </w:tc>
        <w:tc>
          <w:tcPr>
            <w:tcW w:w="2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3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1,610,031 </w:t>
            </w:r>
          </w:p>
        </w:tc>
        <w:tc>
          <w:tcPr>
            <w:tcW w:w="3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calculated its maximum exposure to loss of $1,610.0 million while considering its equity investment in the VIE, any amounts owed to the Company for services which may have been provided, and future funding commitments of $1,608.8 million. As of June 28, 2025, there is a $105.6 million carrying value of the VIE which represents the amount which the Company has invested in the VIE, net of the Company’s proportionate share of the VIE’s net loss. The Company’s maximum exposure to loss as displayed above does not take into consideration the VIE’s commitment under the GreenBox Commercial Agreement to reimburse the Company in the event of a termination. If the VIE’s commitment under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84785"/>
                <wp:effectExtent l="0" t="0" r="0" b="0"/>
                <wp:wrapNone/>
                <wp:docPr id="28" name="Frame28"/>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60" w:after="283"/>
        <w:ind w:left="0" w:right="0" w:firstLine="360"/>
        <w:jc w:val="left"/>
        <w:rPr/>
      </w:pPr>
      <w:hyperlink w:anchor="i123540df82f04e0eb97811cc101df5ff_7">
        <w:r>
          <w:rPr>
            <w:rStyle w:val="InternetLink"/>
            <w:rFonts w:ascii="Times New Roman;serif" w:hAnsi="Times New Roman;serif"/>
            <w:b w:val="false"/>
            <w:color w:val="0000FF"/>
            <w:sz w:val="20"/>
            <w:u w:val="single"/>
          </w:rPr>
          <w:t>Table of Contents</w:t>
        </w:r>
      </w:hyperlink>
    </w:p>
    <w:p>
      <w:pPr>
        <w:pStyle w:val="TextBody"/>
        <w:bidi w:val="0"/>
        <w:spacing w:lineRule="auto" w:line="288" w:before="60" w:after="283"/>
        <w:jc w:val="left"/>
        <w:rPr>
          <w:rFonts w:ascii="Times New Roman;serif" w:hAnsi="Times New Roman;serif"/>
          <w:b w:val="false"/>
          <w:color w:val="000000"/>
          <w:sz w:val="20"/>
        </w:rPr>
      </w:pPr>
      <w:r>
        <w:rPr>
          <w:rFonts w:ascii="Times New Roman;serif" w:hAnsi="Times New Roman;serif"/>
          <w:b w:val="false"/>
          <w:color w:val="000000"/>
          <w:sz w:val="20"/>
        </w:rPr>
        <w:t>GreenBox Commercial Agreement was taken into consideration, there would be no maximum exposure to loss presented as the VIE’s commitment under the GreenBox Commercial Agreement exceeds the Company’s future funding commitments.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
        <w:jc w:val="both"/>
        <w:rPr>
          <w:rFonts w:ascii="Times New Roman;serif" w:hAnsi="Times New Roman;serif"/>
          <w:b/>
          <w:color w:val="000000"/>
          <w:sz w:val="20"/>
        </w:rPr>
      </w:pPr>
      <w:r>
        <w:rPr>
          <w:rFonts w:ascii="Times New Roman;serif" w:hAnsi="Times New Roman;serif"/>
          <w:b/>
          <w:color w:val="000000"/>
          <w:sz w:val="20"/>
        </w:rPr>
        <w:t>17. Net Loss per Share</w:t>
      </w:r>
    </w:p>
    <w:p>
      <w:pPr>
        <w:pStyle w:val="TextBody"/>
        <w:bidi w:val="0"/>
        <w:spacing w:lineRule="auto" w:line="288" w:before="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Basic earnings per share of Class A common stock is computed by dividing net loss attributable to common shareholders by the weighted-average number of shares of Class A common stock outstanding during the period. Diluted earnings per share of Class A common stock is computed by dividing net loss attributable to common shareholders adjusted for the assumed exchange of all potentially dilutive securities, by the weighted-average number of shares of Class A common stock outstanding adjusted to give effect to potentially dilutive elements. Since the Company incurred net losses for each of the periods presented, diluted net loss per share is the same as basic net loss per share.</w:t>
      </w:r>
    </w:p>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reconciliations of the numerators and denominators used to compute basic and diluted earnings per share of Class A common stock (in thousands, except per share information):</w:t>
      </w:r>
    </w:p>
    <w:tbl>
      <w:tblPr>
        <w:tblW w:w="10205" w:type="dxa"/>
        <w:jc w:val="left"/>
        <w:tblInd w:w="0" w:type="dxa"/>
        <w:tblLayout w:type="fixed"/>
        <w:tblCellMar>
          <w:top w:w="28" w:type="dxa"/>
          <w:left w:w="28" w:type="dxa"/>
          <w:bottom w:w="28" w:type="dxa"/>
          <w:right w:w="28" w:type="dxa"/>
        </w:tblCellMar>
      </w:tblPr>
      <w:tblGrid>
        <w:gridCol w:w="1711"/>
        <w:gridCol w:w="1399"/>
        <w:gridCol w:w="1407"/>
        <w:gridCol w:w="218"/>
        <w:gridCol w:w="821"/>
        <w:gridCol w:w="111"/>
        <w:gridCol w:w="109"/>
        <w:gridCol w:w="109"/>
        <w:gridCol w:w="109"/>
        <w:gridCol w:w="218"/>
        <w:gridCol w:w="821"/>
        <w:gridCol w:w="111"/>
        <w:gridCol w:w="109"/>
        <w:gridCol w:w="109"/>
        <w:gridCol w:w="109"/>
        <w:gridCol w:w="218"/>
        <w:gridCol w:w="821"/>
        <w:gridCol w:w="111"/>
        <w:gridCol w:w="109"/>
        <w:gridCol w:w="109"/>
        <w:gridCol w:w="109"/>
        <w:gridCol w:w="211"/>
        <w:gridCol w:w="887"/>
        <w:gridCol w:w="159"/>
      </w:tblGrid>
      <w:tr>
        <w:trPr/>
        <w:tc>
          <w:tcPr>
            <w:tcW w:w="1711" w:type="dxa"/>
            <w:tcBorders/>
            <w:vAlign w:val="center"/>
          </w:tcPr>
          <w:p>
            <w:pPr>
              <w:pStyle w:val="TableContents"/>
              <w:bidi w:val="0"/>
              <w:spacing w:before="0" w:after="283"/>
              <w:jc w:val="left"/>
              <w:rPr>
                <w:sz w:val="4"/>
                <w:szCs w:val="4"/>
              </w:rPr>
            </w:pPr>
            <w:r>
              <w:rPr>
                <w:sz w:val="4"/>
                <w:szCs w:val="4"/>
              </w:rPr>
            </w:r>
          </w:p>
        </w:tc>
        <w:tc>
          <w:tcPr>
            <w:tcW w:w="1399" w:type="dxa"/>
            <w:tcBorders/>
            <w:vAlign w:val="center"/>
          </w:tcPr>
          <w:p>
            <w:pPr>
              <w:pStyle w:val="TableContents"/>
              <w:bidi w:val="0"/>
              <w:spacing w:before="0" w:after="283"/>
              <w:jc w:val="left"/>
              <w:rPr>
                <w:sz w:val="4"/>
                <w:szCs w:val="4"/>
              </w:rPr>
            </w:pPr>
            <w:r>
              <w:rPr>
                <w:sz w:val="4"/>
                <w:szCs w:val="4"/>
              </w:rPr>
            </w:r>
          </w:p>
        </w:tc>
        <w:tc>
          <w:tcPr>
            <w:tcW w:w="1407"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5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7" w:type="dxa"/>
            <w:gridSpan w:val="9"/>
            <w:tcBorders/>
            <w:shd w:fill="FFFFFF" w:val="clear"/>
            <w:tcMar>
              <w:top w:w="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4" w:type="dxa"/>
            <w:gridSpan w:val="9"/>
            <w:tcBorders/>
            <w:shd w:fill="FFFFFF" w:val="clear"/>
            <w:tcMar>
              <w:top w:w="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8"/>
              </w:rPr>
            </w:pPr>
            <w:r>
              <w:rPr>
                <w:rFonts w:ascii="Times New Roman;serif" w:hAnsi="Times New Roman;serif"/>
                <w:b/>
                <w:color w:val="000000"/>
                <w:sz w:val="18"/>
              </w:rPr>
              <w:t>Nine Months Ended</w:t>
            </w:r>
          </w:p>
        </w:tc>
      </w:tr>
      <w:tr>
        <w:trPr/>
        <w:tc>
          <w:tcPr>
            <w:tcW w:w="45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8"/>
              </w:rPr>
            </w:pPr>
            <w:r>
              <w:rPr>
                <w:rFonts w:ascii="Times New Roman;serif" w:hAnsi="Times New Roman;serif"/>
                <w:b/>
                <w:color w:val="000000"/>
                <w:sz w:val="18"/>
              </w:rPr>
              <w:t>June 28,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8"/>
              </w:rPr>
            </w:pPr>
            <w:r>
              <w:rPr>
                <w:rFonts w:ascii="Times New Roman;serif" w:hAnsi="Times New Roman;serif"/>
                <w:b/>
                <w:color w:val="000000"/>
                <w:sz w:val="18"/>
              </w:rPr>
              <w:t>June 29,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8"/>
              </w:rPr>
            </w:pPr>
            <w:r>
              <w:rPr>
                <w:rFonts w:ascii="Times New Roman;serif" w:hAnsi="Times New Roman;serif"/>
                <w:b/>
                <w:color w:val="000000"/>
                <w:sz w:val="18"/>
              </w:rPr>
              <w:t>June 28,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8"/>
              </w:rPr>
            </w:pPr>
            <w:r>
              <w:rPr>
                <w:rFonts w:ascii="Times New Roman;serif" w:hAnsi="Times New Roman;serif"/>
                <w:b/>
                <w:color w:val="000000"/>
                <w:sz w:val="18"/>
              </w:rPr>
              <w:t>June 29, 2024</w:t>
            </w:r>
          </w:p>
        </w:tc>
      </w:tr>
      <w:tr>
        <w:trPr/>
        <w:tc>
          <w:tcPr>
            <w:tcW w:w="4517"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color w:val="000000"/>
                <w:sz w:val="20"/>
              </w:rPr>
            </w:pPr>
            <w:r>
              <w:rPr>
                <w:rFonts w:ascii="Times New Roman;serif" w:hAnsi="Times New Roman;serif"/>
                <w:b/>
                <w:color w:val="000000"/>
                <w:sz w:val="20"/>
              </w:rPr>
              <w:t>Numerator - basic and diluted</w:t>
            </w:r>
          </w:p>
        </w:tc>
        <w:tc>
          <w:tcPr>
            <w:tcW w:w="11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18"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1"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(31,925)</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1"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(26,724)</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1"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(71,883)</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7"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(100,626)</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7"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Less: Net loss attributable to the noncontrolling interest</w:t>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(26,012)</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(22,043)</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(58,569)</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(84,300)</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attributable to common stockholders</w:t>
            </w:r>
          </w:p>
        </w:tc>
        <w:tc>
          <w:tcPr>
            <w:tcW w:w="2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(5,913)</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(4,681)</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(13,314)</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(16,326)</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7"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color w:val="000000"/>
                <w:sz w:val="20"/>
              </w:rPr>
            </w:pPr>
            <w:r>
              <w:rPr>
                <w:rFonts w:ascii="Times New Roman;serif" w:hAnsi="Times New Roman;serif"/>
                <w:b/>
                <w:color w:val="000000"/>
                <w:sz w:val="20"/>
              </w:rPr>
              <w:t>Denominator - basic and diluted</w:t>
            </w:r>
          </w:p>
        </w:tc>
        <w:tc>
          <w:tcPr>
            <w:tcW w:w="11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shares of Class A common shares outstanding</w:t>
            </w:r>
          </w:p>
        </w:tc>
        <w:tc>
          <w:tcPr>
            <w:tcW w:w="115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109,201,745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102,414,284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107,664,864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92,891,276</w:t>
            </w:r>
          </w:p>
        </w:tc>
      </w:tr>
      <w:tr>
        <w:trPr/>
        <w:tc>
          <w:tcPr>
            <w:tcW w:w="4517"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Loss per share of Class A common stock - basic and diluted</w:t>
            </w:r>
          </w:p>
        </w:tc>
        <w:tc>
          <w:tcPr>
            <w:tcW w:w="21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(0.05)</w:t>
            </w:r>
          </w:p>
        </w:tc>
        <w:tc>
          <w:tcPr>
            <w:tcW w:w="1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(0.05)</w:t>
            </w:r>
          </w:p>
        </w:tc>
        <w:tc>
          <w:tcPr>
            <w:tcW w:w="1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(0.12)</w:t>
            </w:r>
          </w:p>
        </w:tc>
        <w:tc>
          <w:tcPr>
            <w:tcW w:w="1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(0.18)</w:t>
            </w:r>
          </w:p>
        </w:tc>
        <w:tc>
          <w:tcPr>
            <w:tcW w:w="15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Company’s Class V-1 Common Stock and Class V-3 Common Stock do not participate in the earnings or losses of the Company and are therefore not participating securities. As such, separate presentation of basic and diluted earnings per share of Class V-1 Common Stock and Class V-3 Common Stock under the two-class method has not been presented.</w:t>
      </w:r>
    </w:p>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 uses the treasury stock method and the average market price per share during the period for calculating any potential dilutive effect of its equity instruments. The average stock price for the three and nine months ended June 28, 2025 was $25.89 and $26.67, respectively. For the three and nine months ended June 28, 2025, there were 4.3 million and 7.5 million potentially dilutive common stock equivalents, respectively, related to the RSUs, which would have been included in the diluted EPS calculation. For the three and nine months ended June 28, 2025, there were 7.1 million and 6.6 million anti-dilutive common stock equivalents, respectively, related to the unvested GreenBox Warrant, which could potentially dilute EPS in the future.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
        <w:jc w:val="both"/>
        <w:rPr>
          <w:rFonts w:ascii="Times New Roman;serif" w:hAnsi="Times New Roman;serif"/>
          <w:b/>
          <w:color w:val="000000"/>
          <w:sz w:val="20"/>
        </w:rPr>
      </w:pPr>
      <w:r>
        <w:rPr>
          <w:rFonts w:ascii="Times New Roman;serif" w:hAnsi="Times New Roman;serif"/>
          <w:b/>
          <w:color w:val="000000"/>
          <w:sz w:val="20"/>
        </w:rPr>
        <w:t>18. Stock-Based Compensation and Warrant Units</w:t>
      </w:r>
    </w:p>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two tables show stock-based compensation expense by award type and where the stock-based compensation expense is recorded in the Company’s condensed consolidated statements of operations (in thousands):</w:t>
      </w:r>
    </w:p>
    <w:tbl>
      <w:tblPr>
        <w:tblW w:w="9395" w:type="dxa"/>
        <w:jc w:val="left"/>
        <w:tblInd w:w="0" w:type="dxa"/>
        <w:tblLayout w:type="fixed"/>
        <w:tblCellMar>
          <w:top w:w="28" w:type="dxa"/>
          <w:left w:w="28" w:type="dxa"/>
          <w:bottom w:w="28" w:type="dxa"/>
          <w:right w:w="28" w:type="dxa"/>
        </w:tblCellMar>
      </w:tblPr>
      <w:tblGrid>
        <w:gridCol w:w="1358"/>
        <w:gridCol w:w="1195"/>
        <w:gridCol w:w="1197"/>
        <w:gridCol w:w="234"/>
        <w:gridCol w:w="800"/>
        <w:gridCol w:w="121"/>
        <w:gridCol w:w="109"/>
        <w:gridCol w:w="109"/>
        <w:gridCol w:w="109"/>
        <w:gridCol w:w="234"/>
        <w:gridCol w:w="800"/>
        <w:gridCol w:w="121"/>
        <w:gridCol w:w="109"/>
        <w:gridCol w:w="109"/>
        <w:gridCol w:w="109"/>
        <w:gridCol w:w="212"/>
        <w:gridCol w:w="833"/>
        <w:gridCol w:w="109"/>
        <w:gridCol w:w="109"/>
        <w:gridCol w:w="109"/>
        <w:gridCol w:w="109"/>
        <w:gridCol w:w="233"/>
        <w:gridCol w:w="797"/>
        <w:gridCol w:w="170"/>
      </w:tblGrid>
      <w:tr>
        <w:trPr/>
        <w:tc>
          <w:tcPr>
            <w:tcW w:w="1358" w:type="dxa"/>
            <w:tcBorders/>
            <w:vAlign w:val="center"/>
          </w:tcPr>
          <w:p>
            <w:pPr>
              <w:pStyle w:val="TableContents"/>
              <w:bidi w:val="0"/>
              <w:spacing w:before="0" w:after="283"/>
              <w:jc w:val="left"/>
              <w:rPr>
                <w:sz w:val="4"/>
                <w:szCs w:val="4"/>
              </w:rPr>
            </w:pPr>
            <w:r>
              <w:rPr>
                <w:sz w:val="4"/>
                <w:szCs w:val="4"/>
              </w:rPr>
            </w:r>
          </w:p>
        </w:tc>
        <w:tc>
          <w:tcPr>
            <w:tcW w:w="1195"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3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7" w:type="dxa"/>
            <w:gridSpan w:val="9"/>
            <w:tcBorders/>
            <w:tcMar>
              <w:top w:w="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1" w:type="dxa"/>
            <w:gridSpan w:val="9"/>
            <w:tcBorders/>
            <w:tcMar>
              <w:top w:w="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8"/>
              </w:rPr>
            </w:pPr>
            <w:r>
              <w:rPr>
                <w:rFonts w:ascii="Times New Roman;serif" w:hAnsi="Times New Roman;serif"/>
                <w:b/>
                <w:color w:val="000000"/>
                <w:sz w:val="18"/>
              </w:rPr>
              <w:t>Nine Months Ended</w:t>
            </w:r>
          </w:p>
        </w:tc>
      </w:tr>
      <w:tr>
        <w:trPr/>
        <w:tc>
          <w:tcPr>
            <w:tcW w:w="3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8"/>
              </w:rPr>
            </w:pPr>
            <w:r>
              <w:rPr>
                <w:rFonts w:ascii="Times New Roman;serif" w:hAnsi="Times New Roman;serif"/>
                <w:b/>
                <w:color w:val="000000"/>
                <w:sz w:val="18"/>
              </w:rPr>
              <w:t>June 28,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8"/>
              </w:rPr>
            </w:pPr>
            <w:r>
              <w:rPr>
                <w:rFonts w:ascii="Times New Roman;serif" w:hAnsi="Times New Roman;serif"/>
                <w:b/>
                <w:color w:val="000000"/>
                <w:sz w:val="18"/>
              </w:rPr>
              <w:t>June 29,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8"/>
              </w:rPr>
            </w:pPr>
            <w:r>
              <w:rPr>
                <w:rFonts w:ascii="Times New Roman;serif" w:hAnsi="Times New Roman;serif"/>
                <w:b/>
                <w:color w:val="000000"/>
                <w:sz w:val="18"/>
              </w:rPr>
              <w:t>June 28,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8"/>
              </w:rPr>
            </w:pPr>
            <w:r>
              <w:rPr>
                <w:rFonts w:ascii="Times New Roman;serif" w:hAnsi="Times New Roman;serif"/>
                <w:b/>
                <w:color w:val="000000"/>
                <w:sz w:val="18"/>
              </w:rPr>
              <w:t>June 29, 2024</w:t>
            </w:r>
          </w:p>
        </w:tc>
      </w:tr>
      <w:tr>
        <w:trPr/>
        <w:tc>
          <w:tcPr>
            <w:tcW w:w="375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RSUs (service-based and performance-based)</w:t>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48,468 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28,416 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117,760 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84,970 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Employee stock purchase plan</w:t>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972 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916 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2,854 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1,888 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stock-based compensation expense</w:t>
            </w:r>
          </w:p>
        </w:tc>
        <w:tc>
          <w:tcPr>
            <w:tcW w:w="2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49,440 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29,332 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120,614 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86,858 </w:t>
            </w:r>
          </w:p>
        </w:tc>
        <w:tc>
          <w:tcPr>
            <w:tcW w:w="1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84785"/>
                <wp:effectExtent l="0" t="0" r="0" b="0"/>
                <wp:wrapNone/>
                <wp:docPr id="29" name="Frame29"/>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60" w:after="283"/>
        <w:ind w:left="0" w:right="0" w:firstLine="360"/>
        <w:jc w:val="left"/>
        <w:rPr/>
      </w:pPr>
      <w:hyperlink w:anchor="i123540df82f04e0eb97811cc101df5ff_7">
        <w:r>
          <w:rPr>
            <w:rStyle w:val="InternetLink"/>
            <w:rFonts w:ascii="Times New Roman;serif" w:hAnsi="Times New Roman;serif"/>
            <w:b w:val="false"/>
            <w:color w:val="0000FF"/>
            <w:sz w:val="20"/>
            <w:u w:val="single"/>
          </w:rPr>
          <w:t>Table of Contents</w:t>
        </w:r>
      </w:hyperlink>
    </w:p>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Effect of stock-based compensation expense on income by line item (in thousands):</w:t>
      </w:r>
    </w:p>
    <w:tbl>
      <w:tblPr>
        <w:tblW w:w="9920" w:type="dxa"/>
        <w:jc w:val="left"/>
        <w:tblInd w:w="0" w:type="dxa"/>
        <w:tblLayout w:type="fixed"/>
        <w:tblCellMar>
          <w:top w:w="28" w:type="dxa"/>
          <w:left w:w="28" w:type="dxa"/>
          <w:bottom w:w="28" w:type="dxa"/>
          <w:right w:w="28" w:type="dxa"/>
        </w:tblCellMar>
      </w:tblPr>
      <w:tblGrid>
        <w:gridCol w:w="1549"/>
        <w:gridCol w:w="1360"/>
        <w:gridCol w:w="1366"/>
        <w:gridCol w:w="234"/>
        <w:gridCol w:w="800"/>
        <w:gridCol w:w="121"/>
        <w:gridCol w:w="109"/>
        <w:gridCol w:w="109"/>
        <w:gridCol w:w="109"/>
        <w:gridCol w:w="234"/>
        <w:gridCol w:w="800"/>
        <w:gridCol w:w="121"/>
        <w:gridCol w:w="109"/>
        <w:gridCol w:w="109"/>
        <w:gridCol w:w="109"/>
        <w:gridCol w:w="212"/>
        <w:gridCol w:w="833"/>
        <w:gridCol w:w="109"/>
        <w:gridCol w:w="109"/>
        <w:gridCol w:w="109"/>
        <w:gridCol w:w="109"/>
        <w:gridCol w:w="233"/>
        <w:gridCol w:w="797"/>
        <w:gridCol w:w="170"/>
      </w:tblGrid>
      <w:tr>
        <w:trPr/>
        <w:tc>
          <w:tcPr>
            <w:tcW w:w="1549" w:type="dxa"/>
            <w:tcBorders/>
            <w:vAlign w:val="center"/>
          </w:tcPr>
          <w:p>
            <w:pPr>
              <w:pStyle w:val="TableContents"/>
              <w:bidi w:val="0"/>
              <w:spacing w:before="0" w:after="283"/>
              <w:jc w:val="left"/>
              <w:rPr>
                <w:sz w:val="4"/>
                <w:szCs w:val="4"/>
              </w:rPr>
            </w:pPr>
            <w:r>
              <w:rPr>
                <w:sz w:val="4"/>
                <w:szCs w:val="4"/>
              </w:rPr>
            </w:r>
          </w:p>
        </w:tc>
        <w:tc>
          <w:tcPr>
            <w:tcW w:w="1360"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42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7" w:type="dxa"/>
            <w:gridSpan w:val="9"/>
            <w:tcBorders/>
            <w:tcMar>
              <w:top w:w="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1" w:type="dxa"/>
            <w:gridSpan w:val="9"/>
            <w:tcBorders/>
            <w:tcMar>
              <w:top w:w="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8"/>
              </w:rPr>
            </w:pPr>
            <w:r>
              <w:rPr>
                <w:rFonts w:ascii="Times New Roman;serif" w:hAnsi="Times New Roman;serif"/>
                <w:b/>
                <w:color w:val="000000"/>
                <w:sz w:val="18"/>
              </w:rPr>
              <w:t>Nine Months Ended</w:t>
            </w:r>
          </w:p>
        </w:tc>
      </w:tr>
      <w:tr>
        <w:trPr/>
        <w:tc>
          <w:tcPr>
            <w:tcW w:w="42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8"/>
              </w:rPr>
            </w:pPr>
            <w:r>
              <w:rPr>
                <w:rFonts w:ascii="Times New Roman;serif" w:hAnsi="Times New Roman;serif"/>
                <w:b/>
                <w:color w:val="000000"/>
                <w:sz w:val="18"/>
              </w:rPr>
              <w:t>June 28,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8"/>
              </w:rPr>
            </w:pPr>
            <w:r>
              <w:rPr>
                <w:rFonts w:ascii="Times New Roman;serif" w:hAnsi="Times New Roman;serif"/>
                <w:b/>
                <w:color w:val="000000"/>
                <w:sz w:val="18"/>
              </w:rPr>
              <w:t>June 29,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8"/>
              </w:rPr>
            </w:pPr>
            <w:r>
              <w:rPr>
                <w:rFonts w:ascii="Times New Roman;serif" w:hAnsi="Times New Roman;serif"/>
                <w:b/>
                <w:color w:val="000000"/>
                <w:sz w:val="18"/>
              </w:rPr>
              <w:t>June 28,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8"/>
              </w:rPr>
            </w:pPr>
            <w:r>
              <w:rPr>
                <w:rFonts w:ascii="Times New Roman;serif" w:hAnsi="Times New Roman;serif"/>
                <w:b/>
                <w:color w:val="000000"/>
                <w:sz w:val="18"/>
              </w:rPr>
              <w:t>June 29, 2024</w:t>
            </w:r>
          </w:p>
        </w:tc>
      </w:tr>
      <w:tr>
        <w:trPr/>
        <w:tc>
          <w:tcPr>
            <w:tcW w:w="4275"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 Systems</w:t>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14,983 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3,401 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27,323 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9,955 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 Software maintenance and support</w:t>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194 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116 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538 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351 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 Operation services</w:t>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856 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290 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1,804 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1,502 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12,369 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12,819 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37,241 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37,905 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21,038 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12,706 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53,708 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37,145 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stock-based compensation expense</w:t>
            </w:r>
          </w:p>
        </w:tc>
        <w:tc>
          <w:tcPr>
            <w:tcW w:w="2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49,440 </w:t>
            </w:r>
          </w:p>
        </w:tc>
        <w:tc>
          <w:tcPr>
            <w:tcW w:w="1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29,332 </w:t>
            </w:r>
          </w:p>
        </w:tc>
        <w:tc>
          <w:tcPr>
            <w:tcW w:w="1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120,614 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86,858 </w:t>
            </w:r>
          </w:p>
        </w:tc>
        <w:tc>
          <w:tcPr>
            <w:tcW w:w="1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Total stock-based compensation expense for the three and nine months ended June 28, 2025 increased as compared to the three and nine months ended June 29, 2024. There was an increase in RSU grants to employees because there was an increase in the number of employees in fiscal year 2025, as compared to fiscal year 2024, which resulted in an increase in this expense.</w:t>
      </w:r>
    </w:p>
    <w:p>
      <w:pPr>
        <w:pStyle w:val="TextBody"/>
        <w:bidi w:val="0"/>
        <w:spacing w:lineRule="auto" w:line="288" w:before="60" w:after="283"/>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GreenBox Warrant</w:t>
      </w:r>
    </w:p>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On July 23, 2023, the Company issued the GreenBox Warrant to Sunlight, which allows Sunlight to acquire up to an aggregate of 11,434,360 shares of the Company’s Class A Common Stock, subject to certain vesting conditions. The GreenBox Warrant had a grant date fair value of $19.90 per share. The GreenBox Warrant vests upon conditions defined in the GreenBox Warrant, as GreenBox makes additional expenditures to the Company in connection with the Framework Agreement. There are up to eight vesting tranches in the GreenBox Warrant based on increments of expenditures where approximately 1,429,295 shares may vest per tranche, subject to certain conditions defined in the GreenBox Warrant. Upon vesting, shares may be acquired at an exercise price of $41.9719 per share. The warrant contains customary anti-dilution, down-round, and change-in-control provisions. The right to purchase shares pursuant to the GreenBox Warrant expires 36 months following the end of the initial term of the Framework Agreement, which is July 23, 2027, or if applicable, the extension term of the Framework Agreement, which is July 23, 2029. As of June 28, 2025, none of the shares issuable pursuant to the GreenBox Warrant had vested.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
        <w:jc w:val="both"/>
        <w:rPr>
          <w:rFonts w:ascii="Times New Roman;serif" w:hAnsi="Times New Roman;serif"/>
          <w:b/>
          <w:color w:val="000000"/>
          <w:sz w:val="20"/>
        </w:rPr>
      </w:pPr>
      <w:r>
        <w:rPr>
          <w:rFonts w:ascii="Times New Roman;serif" w:hAnsi="Times New Roman;serif"/>
          <w:b/>
          <w:color w:val="000000"/>
          <w:sz w:val="20"/>
        </w:rPr>
        <w:t>19. Segment and Geographic Information</w:t>
      </w:r>
    </w:p>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operates as one operating segment. Revenue and property and equipment, net by geographic region, based on physical location of the operations recording the sale or the assets are as follows: </w:t>
      </w:r>
    </w:p>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Revenue by geographical region for the three and nine months ended June 28, 2025 and June 29, 2024 are as follows (in thousands):</w:t>
      </w:r>
    </w:p>
    <w:tbl>
      <w:tblPr>
        <w:tblW w:w="10205" w:type="dxa"/>
        <w:jc w:val="left"/>
        <w:tblInd w:w="0" w:type="dxa"/>
        <w:tblLayout w:type="fixed"/>
        <w:tblCellMar>
          <w:top w:w="28" w:type="dxa"/>
          <w:left w:w="28" w:type="dxa"/>
          <w:bottom w:w="28" w:type="dxa"/>
          <w:right w:w="28" w:type="dxa"/>
        </w:tblCellMar>
      </w:tblPr>
      <w:tblGrid>
        <w:gridCol w:w="1442"/>
        <w:gridCol w:w="1260"/>
        <w:gridCol w:w="1262"/>
        <w:gridCol w:w="211"/>
        <w:gridCol w:w="826"/>
        <w:gridCol w:w="271"/>
        <w:gridCol w:w="109"/>
        <w:gridCol w:w="109"/>
        <w:gridCol w:w="109"/>
        <w:gridCol w:w="211"/>
        <w:gridCol w:w="831"/>
        <w:gridCol w:w="109"/>
        <w:gridCol w:w="109"/>
        <w:gridCol w:w="109"/>
        <w:gridCol w:w="109"/>
        <w:gridCol w:w="211"/>
        <w:gridCol w:w="976"/>
        <w:gridCol w:w="271"/>
        <w:gridCol w:w="109"/>
        <w:gridCol w:w="109"/>
        <w:gridCol w:w="109"/>
        <w:gridCol w:w="211"/>
        <w:gridCol w:w="976"/>
        <w:gridCol w:w="156"/>
      </w:tblGrid>
      <w:tr>
        <w:trPr/>
        <w:tc>
          <w:tcPr>
            <w:tcW w:w="1442" w:type="dxa"/>
            <w:tcBorders/>
            <w:vAlign w:val="center"/>
          </w:tcPr>
          <w:p>
            <w:pPr>
              <w:pStyle w:val="TableContents"/>
              <w:bidi w:val="0"/>
              <w:spacing w:before="0" w:after="283"/>
              <w:jc w:val="left"/>
              <w:rPr>
                <w:sz w:val="4"/>
                <w:szCs w:val="4"/>
              </w:rPr>
            </w:pPr>
            <w:r>
              <w:rPr>
                <w:sz w:val="4"/>
                <w:szCs w:val="4"/>
              </w:rPr>
            </w:r>
          </w:p>
        </w:tc>
        <w:tc>
          <w:tcPr>
            <w:tcW w:w="1260" w:type="dxa"/>
            <w:tcBorders/>
            <w:vAlign w:val="center"/>
          </w:tcPr>
          <w:p>
            <w:pPr>
              <w:pStyle w:val="TableContents"/>
              <w:bidi w:val="0"/>
              <w:spacing w:before="0" w:after="283"/>
              <w:jc w:val="left"/>
              <w:rPr>
                <w:sz w:val="4"/>
                <w:szCs w:val="4"/>
              </w:rPr>
            </w:pPr>
            <w:r>
              <w:rPr>
                <w:sz w:val="4"/>
                <w:szCs w:val="4"/>
              </w:rPr>
            </w:r>
          </w:p>
        </w:tc>
        <w:tc>
          <w:tcPr>
            <w:tcW w:w="126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9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6" w:type="dxa"/>
            <w:gridSpan w:val="9"/>
            <w:tcBorders/>
            <w:shd w:fill="FFFFFF" w:val="clear"/>
            <w:tcMar>
              <w:top w:w="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8" w:type="dxa"/>
            <w:gridSpan w:val="9"/>
            <w:tcBorders/>
            <w:shd w:fill="FFFFFF" w:val="clear"/>
            <w:tcMar>
              <w:top w:w="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8"/>
              </w:rPr>
            </w:pPr>
            <w:r>
              <w:rPr>
                <w:rFonts w:ascii="Times New Roman;serif" w:hAnsi="Times New Roman;serif"/>
                <w:b/>
                <w:color w:val="000000"/>
                <w:sz w:val="18"/>
              </w:rPr>
              <w:t>Nine Months Ended</w:t>
            </w:r>
          </w:p>
        </w:tc>
      </w:tr>
      <w:tr>
        <w:trPr/>
        <w:tc>
          <w:tcPr>
            <w:tcW w:w="39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8"/>
              </w:rPr>
            </w:pPr>
            <w:r>
              <w:rPr>
                <w:rFonts w:ascii="Times New Roman;serif" w:hAnsi="Times New Roman;serif"/>
                <w:b/>
                <w:color w:val="000000"/>
                <w:sz w:val="18"/>
              </w:rPr>
              <w:t>June 28, 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8"/>
              </w:rPr>
            </w:pPr>
            <w:r>
              <w:rPr>
                <w:rFonts w:ascii="Times New Roman;serif" w:hAnsi="Times New Roman;serif"/>
                <w:b/>
                <w:color w:val="000000"/>
                <w:sz w:val="18"/>
              </w:rPr>
              <w:t>June 29,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8"/>
              </w:rPr>
            </w:pPr>
            <w:r>
              <w:rPr>
                <w:rFonts w:ascii="Times New Roman;serif" w:hAnsi="Times New Roman;serif"/>
                <w:b/>
                <w:color w:val="000000"/>
                <w:sz w:val="18"/>
              </w:rPr>
              <w:t>June 28, 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8"/>
              </w:rPr>
            </w:pPr>
            <w:r>
              <w:rPr>
                <w:rFonts w:ascii="Times New Roman;serif" w:hAnsi="Times New Roman;serif"/>
                <w:b/>
                <w:color w:val="000000"/>
                <w:sz w:val="18"/>
              </w:rPr>
              <w:t>June 29, 2024</w:t>
            </w:r>
          </w:p>
        </w:tc>
      </w:tr>
      <w:tr>
        <w:trPr/>
        <w:tc>
          <w:tcPr>
            <w:tcW w:w="396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584,885 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469,530 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1,594,674 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1,220,753 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International</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7,236 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808 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33,791 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2,860 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592,121 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470,338 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1,628,465 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1,223,613 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Percentage of revenue generated outside of the United States</w:t>
            </w:r>
          </w:p>
        </w:tc>
        <w:tc>
          <w:tcPr>
            <w:tcW w:w="103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nil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nil</w:t>
            </w:r>
          </w:p>
        </w:tc>
      </w:tr>
    </w:tbl>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Total property and equipment, net by geographical region at June 28, 2025 and at September 28, 2024 are as follows (in thousands):</w:t>
      </w:r>
    </w:p>
    <w:tbl>
      <w:tblPr>
        <w:tblW w:w="9372" w:type="dxa"/>
        <w:jc w:val="center"/>
        <w:tblInd w:w="0" w:type="dxa"/>
        <w:tblLayout w:type="fixed"/>
        <w:tblCellMar>
          <w:top w:w="28" w:type="dxa"/>
          <w:left w:w="28" w:type="dxa"/>
          <w:bottom w:w="28" w:type="dxa"/>
          <w:right w:w="28" w:type="dxa"/>
        </w:tblCellMar>
      </w:tblPr>
      <w:tblGrid>
        <w:gridCol w:w="2263"/>
        <w:gridCol w:w="1983"/>
        <w:gridCol w:w="1994"/>
        <w:gridCol w:w="234"/>
        <w:gridCol w:w="800"/>
        <w:gridCol w:w="121"/>
        <w:gridCol w:w="109"/>
        <w:gridCol w:w="109"/>
        <w:gridCol w:w="109"/>
        <w:gridCol w:w="320"/>
        <w:gridCol w:w="1096"/>
        <w:gridCol w:w="234"/>
      </w:tblGrid>
      <w:tr>
        <w:trPr/>
        <w:tc>
          <w:tcPr>
            <w:tcW w:w="2263" w:type="dxa"/>
            <w:tcBorders/>
            <w:vAlign w:val="center"/>
          </w:tcPr>
          <w:p>
            <w:pPr>
              <w:pStyle w:val="TableContents"/>
              <w:bidi w:val="0"/>
              <w:spacing w:before="0" w:after="283"/>
              <w:jc w:val="left"/>
              <w:rPr>
                <w:sz w:val="4"/>
                <w:szCs w:val="4"/>
              </w:rPr>
            </w:pPr>
            <w:r>
              <w:rPr>
                <w:sz w:val="4"/>
                <w:szCs w:val="4"/>
              </w:rPr>
            </w:r>
          </w:p>
        </w:tc>
        <w:tc>
          <w:tcPr>
            <w:tcW w:w="1983" w:type="dxa"/>
            <w:tcBorders/>
            <w:vAlign w:val="center"/>
          </w:tcPr>
          <w:p>
            <w:pPr>
              <w:pStyle w:val="TableContents"/>
              <w:bidi w:val="0"/>
              <w:spacing w:before="0" w:after="283"/>
              <w:jc w:val="left"/>
              <w:rPr>
                <w:sz w:val="4"/>
                <w:szCs w:val="4"/>
              </w:rPr>
            </w:pPr>
            <w:r>
              <w:rPr>
                <w:sz w:val="4"/>
                <w:szCs w:val="4"/>
              </w:rPr>
            </w:r>
          </w:p>
        </w:tc>
        <w:tc>
          <w:tcPr>
            <w:tcW w:w="199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r>
      <w:tr>
        <w:trPr/>
        <w:tc>
          <w:tcPr>
            <w:tcW w:w="62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8"/>
              </w:rPr>
            </w:pPr>
            <w:r>
              <w:rPr>
                <w:rFonts w:ascii="Times New Roman;serif" w:hAnsi="Times New Roman;serif"/>
                <w:b/>
                <w:color w:val="000000"/>
                <w:sz w:val="18"/>
              </w:rPr>
              <w:t>June 28,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8"/>
              </w:rPr>
            </w:pPr>
            <w:r>
              <w:rPr>
                <w:rFonts w:ascii="Times New Roman;serif" w:hAnsi="Times New Roman;serif"/>
                <w:b/>
                <w:color w:val="000000"/>
                <w:sz w:val="18"/>
              </w:rPr>
              <w:t>September 28, 2024</w:t>
            </w:r>
          </w:p>
        </w:tc>
      </w:tr>
      <w:tr>
        <w:trPr/>
        <w:tc>
          <w:tcPr>
            <w:tcW w:w="6240" w:type="dxa"/>
            <w:gridSpan w:val="3"/>
            <w:tcBorders/>
            <w:shd w:fill="CCEC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c>
          <w:tcPr>
            <w:tcW w:w="234" w:type="dxa"/>
            <w:tcBorders>
              <w:top w:val="single" w:sz="8" w:space="0" w:color="000000"/>
            </w:tcBorders>
            <w:shd w:fill="CCECFF" w:val="clear"/>
            <w:tcMar>
              <w:top w:w="3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0" w:type="dxa"/>
            <w:tcBorders>
              <w:top w:val="single" w:sz="8" w:space="0" w:color="000000"/>
            </w:tcBorders>
            <w:shd w:fill="CCEC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72,887 </w:t>
            </w:r>
          </w:p>
        </w:tc>
        <w:tc>
          <w:tcPr>
            <w:tcW w:w="121" w:type="dxa"/>
            <w:tcBorders>
              <w:top w:val="single" w:sz="8" w:space="0" w:color="000000"/>
            </w:tcBorders>
            <w:shd w:fill="CCEC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tcBorders>
            <w:shd w:fill="CCECFF" w:val="clear"/>
            <w:tcMar>
              <w:top w:w="3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6" w:type="dxa"/>
            <w:tcBorders>
              <w:top w:val="single" w:sz="8" w:space="0" w:color="000000"/>
            </w:tcBorders>
            <w:shd w:fill="CCEC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96,802 </w:t>
            </w:r>
          </w:p>
        </w:tc>
        <w:tc>
          <w:tcPr>
            <w:tcW w:w="234" w:type="dxa"/>
            <w:tcBorders>
              <w:top w:val="single" w:sz="8" w:space="0" w:color="000000"/>
            </w:tcBorders>
            <w:shd w:fill="CCEC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International</w:t>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126 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307 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CCEC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Total property and equipment, net</w:t>
            </w:r>
          </w:p>
        </w:tc>
        <w:tc>
          <w:tcPr>
            <w:tcW w:w="234" w:type="dxa"/>
            <w:tcBorders>
              <w:top w:val="single" w:sz="8" w:space="0" w:color="000000"/>
            </w:tcBorders>
            <w:shd w:fill="CCECFF" w:val="clear"/>
            <w:tcMar>
              <w:top w:w="3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0" w:type="dxa"/>
            <w:tcBorders>
              <w:top w:val="single" w:sz="8" w:space="0" w:color="000000"/>
            </w:tcBorders>
            <w:shd w:fill="CCEC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73,013 </w:t>
            </w:r>
          </w:p>
        </w:tc>
        <w:tc>
          <w:tcPr>
            <w:tcW w:w="121" w:type="dxa"/>
            <w:tcBorders>
              <w:top w:val="single" w:sz="8" w:space="0" w:color="000000"/>
            </w:tcBorders>
            <w:shd w:fill="CCEC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tcBorders>
            <w:shd w:fill="CCECFF" w:val="clear"/>
            <w:tcMar>
              <w:top w:w="3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6" w:type="dxa"/>
            <w:tcBorders>
              <w:top w:val="single" w:sz="8" w:space="0" w:color="000000"/>
            </w:tcBorders>
            <w:shd w:fill="CCEC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97,109 </w:t>
            </w:r>
          </w:p>
        </w:tc>
        <w:tc>
          <w:tcPr>
            <w:tcW w:w="234" w:type="dxa"/>
            <w:tcBorders>
              <w:top w:val="single" w:sz="8" w:space="0" w:color="000000"/>
            </w:tcBorders>
            <w:shd w:fill="CCEC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Percentage of property and equipment, net held outside of the United States</w:t>
            </w:r>
          </w:p>
        </w:tc>
        <w:tc>
          <w:tcPr>
            <w:tcW w:w="1155"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nil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nil</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84785"/>
                <wp:effectExtent l="0" t="0" r="0" b="0"/>
                <wp:wrapNone/>
                <wp:docPr id="30" name="Frame30"/>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60" w:after="283"/>
        <w:ind w:left="0" w:right="0" w:firstLine="360"/>
        <w:jc w:val="left"/>
        <w:rPr/>
      </w:pPr>
      <w:hyperlink w:anchor="i123540df82f04e0eb97811cc101df5ff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
        <w:jc w:val="both"/>
        <w:rPr>
          <w:rFonts w:ascii="Times New Roman;serif" w:hAnsi="Times New Roman;serif"/>
          <w:b/>
          <w:color w:val="000000"/>
          <w:sz w:val="20"/>
        </w:rPr>
      </w:pPr>
      <w:r>
        <w:rPr>
          <w:rFonts w:ascii="Times New Roman;serif" w:hAnsi="Times New Roman;serif"/>
          <w:b/>
          <w:color w:val="000000"/>
          <w:sz w:val="20"/>
        </w:rPr>
        <w:t>20. Subsequent Events</w:t>
      </w:r>
    </w:p>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evaluated subsequent events and transactions that occurred after the balance sheet date up to the date that the condensed consolidated financial statements were issued. Other than as described in these condensed consolidated financial statements and below, the Company did not identify any subsequent events that would have required adjustment or disclosure in the condensed consolidated financial statements. </w:t>
      </w:r>
    </w:p>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July 2025, the Company acquired a strategic investment for $20.0 million. The strategic investment was issued to the Company as a convertible promissory note in the aggregate principal amount of $20.0 million, bears interest at 8% per annum, and matures on July 18, 2027. The note is convertible into preferred shares at a conversion price calculated on the date of conversion. The Company will account for this strategic investment within other long-term assets on its condensed consolidated balance sheets.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84785"/>
                <wp:effectExtent l="0" t="0" r="0" b="0"/>
                <wp:wrapNone/>
                <wp:docPr id="31" name="Frame31"/>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60" w:after="283"/>
        <w:ind w:left="0" w:right="0" w:firstLine="360"/>
        <w:jc w:val="left"/>
        <w:rPr/>
      </w:pPr>
      <w:hyperlink w:anchor="i123540df82f04e0eb97811cc101df5ff_7">
        <w:r>
          <w:rPr>
            <w:rStyle w:val="InternetLink"/>
            <w:rFonts w:ascii="Times New Roman;serif" w:hAnsi="Times New Roman;serif"/>
            <w:b w:val="false"/>
            <w:color w:val="0000FF"/>
            <w:sz w:val="20"/>
            <w:u w:val="single"/>
          </w:rPr>
          <w:t>Table of Contents</w:t>
        </w:r>
      </w:hyperlink>
    </w:p>
    <w:p>
      <w:pPr>
        <w:pStyle w:val="TextBody"/>
        <w:bidi w:val="0"/>
        <w:spacing w:lineRule="auto" w:line="288" w:before="60" w:after="200"/>
        <w:jc w:val="both"/>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pStyle w:val="TextBody"/>
        <w:bidi w:val="0"/>
        <w:spacing w:lineRule="auto" w:line="288" w:before="60" w:after="240"/>
        <w:ind w:left="0" w:right="0" w:firstLine="510"/>
        <w:jc w:val="left"/>
        <w:rPr>
          <w:rFonts w:ascii="Times New Roman;serif" w:hAnsi="Times New Roman;serif"/>
          <w:b w:val="false"/>
          <w:i/>
          <w:color w:val="000000"/>
          <w:sz w:val="20"/>
        </w:rPr>
      </w:pPr>
      <w:r>
        <w:rPr>
          <w:rFonts w:ascii="Times New Roman;serif" w:hAnsi="Times New Roman;serif"/>
          <w:b w:val="false"/>
          <w:i/>
          <w:color w:val="000000"/>
          <w:sz w:val="20"/>
        </w:rPr>
        <w:t xml:space="preserve">The following discussion and analysis of our financial condition and results of operations should be read in conjunction with our unaudited condensed consolidated financial statements and related notes thereto appearing elsewhere in this Quarterly Report on Form 10-Q and our audited consolidated financial statements and related notes thereto as of and for the year ended September 28, 2024, as included within our Annual Report on Form 10-K, as filed with the Securities and Exchange Commission on December 4, 2024. As discussed in the section titled “Cautionary Note on Forward-Looking Statements,” the following discussion and analysis contains forward-looking statements that involve risks and uncertainties, as well as assumptions that, if they never materialize or prove incorrect, could cause our results to differ materially from those expressed or implied by such forward-looking statements. Factors that could cause or contribute to such differences include, but are not limited to, those identified below, and those discussed in the section titled “Risk Factors” included under Part II, Item 1A below. </w:t>
      </w: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Company Overview</w:t>
      </w:r>
    </w:p>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vision is to make the supply chain work better for everyone. We do this by developing, commercializing, and deploying innovative, comprehensive technology solutions that dramatically improve supply chain operations. We currently automate the processing of pallets, cases, and eaches in large warehouses for some of the largest retail companies in the world. Our System enhances operations at the front end of the supply chain, and therefore benefit all supply partners further down the chain, irrespective of fulfillment strategy.</w:t>
      </w:r>
    </w:p>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Our System is based on a unique approach to connecting producers of goods to end users, in a way that resolves the mismatches of quantity, timing and location that arise between the two, while reducing costs. The underlying architecture of our System is what differentiates our solution from anything else in the marketplace. It utilizes fully autonomous robots, collectively controlled by our artificial intelligence enabled system software to achieve at scale, real world supply chain improvements that are so compelling that we believe our approach can become the de facto standard approach for how warehouses operate. </w:t>
      </w: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Key Components of Consolidated Statements of Operations</w:t>
      </w:r>
    </w:p>
    <w:p>
      <w:pPr>
        <w:pStyle w:val="TextBody"/>
        <w:bidi w:val="0"/>
        <w:spacing w:lineRule="auto" w:line="288" w:before="120" w:after="60"/>
        <w:jc w:val="left"/>
        <w:rPr>
          <w:rFonts w:ascii="Times New Roman;serif" w:hAnsi="Times New Roman;serif"/>
          <w:b w:val="false"/>
          <w:i/>
          <w:color w:val="000000"/>
          <w:sz w:val="20"/>
        </w:rPr>
      </w:pPr>
      <w:r>
        <w:rPr>
          <w:rFonts w:ascii="Times New Roman;serif" w:hAnsi="Times New Roman;serif"/>
          <w:b w:val="false"/>
          <w:i/>
          <w:color w:val="000000"/>
          <w:sz w:val="20"/>
        </w:rPr>
        <w:t>Revenue</w:t>
      </w:r>
    </w:p>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We generate revenue through our design and installation of supply chain automation systems to automate customers’ depalletizing, storage, selection, and palletization warehousing processes (“System”). The Systems have both a hardware component and an essential software component that enables the Systems to be programmed to operate within specific customer environments. We enter into contracts with customers that can include various combinations of services to design and install the Systems. These services are generally distinct and accounted for as separate performance obligations. As a result, each customer contract may contain multiple performance obligations. We determine whether performance obligations are distinct based on whether the customer can benefit from the good or service on its own or together with other resources that are readily available and whether our commitment to provide the goods or services to the customer is separately identifiable from other promises in the contract. </w:t>
      </w:r>
    </w:p>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have identified the following distinct performance obligations in our contracts with customers:</w:t>
      </w:r>
    </w:p>
    <w:p>
      <w:pPr>
        <w:pStyle w:val="TextBody"/>
        <w:bidi w:val="0"/>
        <w:spacing w:lineRule="auto" w:line="288" w:before="60" w:after="283"/>
        <w:ind w:left="0" w:right="0" w:firstLine="360"/>
        <w:jc w:val="left"/>
        <w:rPr/>
      </w:pPr>
      <w:r>
        <w:rPr>
          <w:rFonts w:ascii="Times New Roman;serif" w:hAnsi="Times New Roman;serif"/>
          <w:b w:val="false"/>
          <w:color w:val="000000"/>
          <w:sz w:val="20"/>
          <w:u w:val="single"/>
        </w:rPr>
        <w:t>Systems</w:t>
      </w:r>
      <w:r>
        <w:rPr>
          <w:rFonts w:ascii="Times New Roman;serif" w:hAnsi="Times New Roman;serif"/>
          <w:b w:val="false"/>
          <w:color w:val="000000"/>
          <w:sz w:val="20"/>
        </w:rPr>
        <w:t>: We design, assemble, and install Systems and perform configuration of essential software. Systems include the delivery of hardware and an essential software component, sold as either a perpetual or term-based on-premise license, that automate our customers’ depalletizing, storage, selection, and palletization warehousing processes. The hardware and essential software are each not capable of being distinct because our customers cannot benefit from the hardware or software on their own. Accordingly, they are treated as a single performance obligation. Fees for Systems are typically either cost-plus fixed fee amounts, fixed, or in certain cases, subject to a capped cost amount that are due based on the achievement of a variety of milestones beginning at contract inception through final acceptance. The substantial majority of our software is sold as a perpetual on-premise license, however, we do sell an immaterial amount of term-based on-premise licenses.</w:t>
      </w:r>
    </w:p>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key metrics which describe our System from commencement to completion are as follows: (1) “Start” is defined as when we sign a Statement of Work (“SOW”) with a customer; (2) “Deployment” is defined as the period of time following the signed SOW until the acceptance of the System; and (3) “Operational” is defined as achieving acceptance of a System. The majority of Systems revenue occurs during Deployment, and once a System is Operational, software maintenance and support begins.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84785"/>
                <wp:effectExtent l="0" t="0" r="0" b="0"/>
                <wp:wrapNone/>
                <wp:docPr id="32" name="Frame32"/>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60" w:after="283"/>
        <w:ind w:left="0" w:right="0" w:firstLine="360"/>
        <w:jc w:val="left"/>
        <w:rPr/>
      </w:pPr>
      <w:hyperlink w:anchor="i123540df82f04e0eb97811cc101df5ff_7">
        <w:r>
          <w:rPr>
            <w:rStyle w:val="InternetLink"/>
            <w:rFonts w:ascii="Times New Roman;serif" w:hAnsi="Times New Roman;serif"/>
            <w:b w:val="false"/>
            <w:color w:val="0000FF"/>
            <w:sz w:val="20"/>
            <w:u w:val="single"/>
          </w:rPr>
          <w:t>Table of Contents</w:t>
        </w:r>
      </w:hyperlink>
    </w:p>
    <w:p>
      <w:pPr>
        <w:pStyle w:val="TextBody"/>
        <w:bidi w:val="0"/>
        <w:spacing w:lineRule="auto" w:line="288" w:before="60" w:after="283"/>
        <w:ind w:left="0" w:right="0" w:firstLine="360"/>
        <w:jc w:val="left"/>
        <w:rPr/>
      </w:pPr>
      <w:r>
        <w:rPr>
          <w:rFonts w:ascii="Times New Roman;serif" w:hAnsi="Times New Roman;serif"/>
          <w:b w:val="false"/>
          <w:color w:val="000000"/>
          <w:sz w:val="20"/>
          <w:u w:val="single"/>
        </w:rPr>
        <w:t>Software maintenance and support</w:t>
      </w:r>
      <w:r>
        <w:rPr>
          <w:rFonts w:ascii="Times New Roman;serif" w:hAnsi="Times New Roman;serif"/>
          <w:b w:val="false"/>
          <w:color w:val="000000"/>
          <w:sz w:val="20"/>
        </w:rPr>
        <w:t>: “Software Maintenance and Support” is defined as support services that provide our customers with technical support, updates, and upgrades to the software license. Fees for Software Maintenance and Support are typically payable in advance on a quarterly, or annual basis over the term of the Software Maintenance and Support contract, which term can range from one to 15 years, but for a substantial majority of our Software Maintenance and Support contracts is 15 years.</w:t>
      </w:r>
    </w:p>
    <w:p>
      <w:pPr>
        <w:pStyle w:val="TextBody"/>
        <w:bidi w:val="0"/>
        <w:spacing w:lineRule="auto" w:line="288" w:before="60" w:after="283"/>
        <w:ind w:left="0" w:right="0" w:firstLine="360"/>
        <w:jc w:val="left"/>
        <w:rPr/>
      </w:pPr>
      <w:r>
        <w:rPr>
          <w:rFonts w:ascii="Times New Roman;serif" w:hAnsi="Times New Roman;serif"/>
          <w:b w:val="false"/>
          <w:color w:val="000000"/>
          <w:sz w:val="20"/>
          <w:u w:val="single"/>
        </w:rPr>
        <w:t>Operation services</w:t>
      </w:r>
      <w:r>
        <w:rPr>
          <w:rFonts w:ascii="Times New Roman;serif" w:hAnsi="Times New Roman;serif"/>
          <w:b w:val="false"/>
          <w:color w:val="000000"/>
          <w:sz w:val="20"/>
        </w:rPr>
        <w:t>: “Operation Services” is defined as assistance services, which can range from training services to managed services to on-site services we provide our customers operating the System and ensuring user experience is optimized for efficiency and effectiveness. Fees for Operation Services are typically invoiced to our customers on a time and materials basis monthly in arrears or using a fixed fee structure. Also included in Operation Services is revenue generated from the sales of spare parts to our customers as needed to service their System.</w:t>
      </w:r>
    </w:p>
    <w:p>
      <w:pPr>
        <w:pStyle w:val="TextBody"/>
        <w:bidi w:val="0"/>
        <w:spacing w:lineRule="auto" w:line="288" w:before="120" w:after="60"/>
        <w:jc w:val="left"/>
        <w:rPr>
          <w:rFonts w:ascii="Times New Roman;serif" w:hAnsi="Times New Roman;serif"/>
          <w:b w:val="false"/>
          <w:i/>
          <w:color w:val="000000"/>
          <w:sz w:val="20"/>
        </w:rPr>
      </w:pPr>
      <w:r>
        <w:rPr>
          <w:rFonts w:ascii="Times New Roman;serif" w:hAnsi="Times New Roman;serif"/>
          <w:b w:val="false"/>
          <w:i/>
          <w:color w:val="000000"/>
          <w:sz w:val="20"/>
        </w:rPr>
        <w:t>Cost of Revenue</w:t>
      </w:r>
    </w:p>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cost of revenue is composed of the following for each of our distinct performance obligations:</w:t>
      </w:r>
    </w:p>
    <w:p>
      <w:pPr>
        <w:pStyle w:val="TextBody"/>
        <w:bidi w:val="0"/>
        <w:spacing w:lineRule="auto" w:line="288" w:before="60" w:after="283"/>
        <w:ind w:left="0" w:right="0" w:firstLine="360"/>
        <w:jc w:val="left"/>
        <w:rPr/>
      </w:pPr>
      <w:r>
        <w:rPr>
          <w:rFonts w:ascii="Times New Roman;serif" w:hAnsi="Times New Roman;serif"/>
          <w:b w:val="false"/>
          <w:color w:val="000000"/>
          <w:sz w:val="20"/>
          <w:u w:val="single"/>
        </w:rPr>
        <w:t>Systems</w:t>
      </w:r>
      <w:r>
        <w:rPr>
          <w:rFonts w:ascii="Times New Roman;serif" w:hAnsi="Times New Roman;serif"/>
          <w:b w:val="false"/>
          <w:color w:val="000000"/>
          <w:sz w:val="20"/>
        </w:rPr>
        <w:t>: Systems cost of revenue consists primarily of material and labor consumed in the production and installation of Systems, as well as depreciation expense. The design, assembly, and installation of a System includes substantive customer-specified acceptance criteria that allow the customer to accept or reject Systems that do not meet the customer’s specifications. When we cannot objectively determine that acceptance criteria will be met upon contract inception, cost of revenue relating to Systems is deferred and expensed at a point in time upon final acceptance from the customer. If acceptance criteria can be reasonably certain upon contract inception, Systems cost of revenue is expensed as incurred.</w:t>
      </w:r>
    </w:p>
    <w:p>
      <w:pPr>
        <w:pStyle w:val="TextBody"/>
        <w:bidi w:val="0"/>
        <w:spacing w:lineRule="auto" w:line="288" w:before="60" w:after="283"/>
        <w:ind w:left="0" w:right="0" w:firstLine="360"/>
        <w:jc w:val="left"/>
        <w:rPr/>
      </w:pPr>
      <w:r>
        <w:rPr>
          <w:rFonts w:ascii="Times New Roman;serif" w:hAnsi="Times New Roman;serif"/>
          <w:b w:val="false"/>
          <w:color w:val="000000"/>
          <w:sz w:val="20"/>
          <w:u w:val="single"/>
        </w:rPr>
        <w:t>Software maintenance and support</w:t>
      </w:r>
      <w:r>
        <w:rPr>
          <w:rFonts w:ascii="Times New Roman;serif" w:hAnsi="Times New Roman;serif"/>
          <w:b w:val="false"/>
          <w:color w:val="000000"/>
          <w:sz w:val="20"/>
        </w:rPr>
        <w:t xml:space="preserve">: Cost of revenue attributable to Software Maintenance and Support primarily relates to labor cost for our maintenance team providing routine technical support, and maintenance updates and upgrades to our customers. Software Maintenance and Support cost of revenue is expensed as incurred. </w:t>
      </w:r>
    </w:p>
    <w:p>
      <w:pPr>
        <w:pStyle w:val="TextBody"/>
        <w:bidi w:val="0"/>
        <w:spacing w:lineRule="auto" w:line="288" w:before="60" w:after="283"/>
        <w:ind w:left="0" w:right="0" w:firstLine="360"/>
        <w:jc w:val="left"/>
        <w:rPr/>
      </w:pPr>
      <w:r>
        <w:rPr>
          <w:rFonts w:ascii="Times New Roman;serif" w:hAnsi="Times New Roman;serif"/>
          <w:b w:val="false"/>
          <w:color w:val="000000"/>
          <w:sz w:val="20"/>
          <w:u w:val="single"/>
        </w:rPr>
        <w:t>Operation services</w:t>
      </w:r>
      <w:r>
        <w:rPr>
          <w:rFonts w:ascii="Times New Roman;serif" w:hAnsi="Times New Roman;serif"/>
          <w:b w:val="false"/>
          <w:color w:val="000000"/>
          <w:sz w:val="20"/>
        </w:rPr>
        <w:t xml:space="preserve">: Operation Services cost of revenue consists primarily of labor cost for our operations team who is providing assistance services to our customers. Operation Services cost of revenue also includes the cost of spare parts sold to our customers as needed to service their System. Operation Services cost of revenue is expensed as incurred. </w:t>
      </w:r>
    </w:p>
    <w:p>
      <w:pPr>
        <w:pStyle w:val="TextBody"/>
        <w:bidi w:val="0"/>
        <w:spacing w:lineRule="auto" w:line="288" w:before="120" w:after="60"/>
        <w:jc w:val="left"/>
        <w:rPr>
          <w:rFonts w:ascii="Times New Roman;serif" w:hAnsi="Times New Roman;serif"/>
          <w:b w:val="false"/>
          <w:i/>
          <w:color w:val="000000"/>
          <w:sz w:val="20"/>
        </w:rPr>
      </w:pPr>
      <w:r>
        <w:rPr>
          <w:rFonts w:ascii="Times New Roman;serif" w:hAnsi="Times New Roman;serif"/>
          <w:b w:val="false"/>
          <w:i/>
          <w:color w:val="000000"/>
          <w:sz w:val="20"/>
        </w:rPr>
        <w:t>Research and Development</w:t>
      </w:r>
    </w:p>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Costs incurred in the research and development of our products are expensed as incurred. Research and development costs include personnel, contracted services, materials, and indirect costs involved in the design and development of new products and services, as well as depreciation expense. </w:t>
      </w:r>
    </w:p>
    <w:p>
      <w:pPr>
        <w:pStyle w:val="TextBody"/>
        <w:bidi w:val="0"/>
        <w:spacing w:lineRule="auto" w:line="288" w:before="120" w:after="60"/>
        <w:jc w:val="left"/>
        <w:rPr>
          <w:rFonts w:ascii="Times New Roman;serif" w:hAnsi="Times New Roman;serif"/>
          <w:b w:val="false"/>
          <w:i/>
          <w:color w:val="000000"/>
          <w:sz w:val="20"/>
        </w:rPr>
      </w:pPr>
      <w:r>
        <w:rPr>
          <w:rFonts w:ascii="Times New Roman;serif" w:hAnsi="Times New Roman;serif"/>
          <w:b w:val="false"/>
          <w:i/>
          <w:color w:val="000000"/>
          <w:sz w:val="20"/>
        </w:rPr>
        <w:t>Selling, General, and Administrative</w:t>
      </w:r>
    </w:p>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Selling, general, and administrative expenses include all costs that are not directly related to satisfaction of customer contracts or research and development. Selling, general, and administrative expenses include items for our selling and administrative functions, such as sales, finance, legal, human resources, and information technology support. These functions include costs for items such as salaries and benefits and other personnel-related costs, maintenance and supplies, professional fees for external legal, accounting, and other consulting services, intangible asset amortization, and depreciation expense. </w:t>
      </w:r>
    </w:p>
    <w:p>
      <w:pPr>
        <w:pStyle w:val="TextBody"/>
        <w:bidi w:val="0"/>
        <w:spacing w:lineRule="auto" w:line="288" w:before="120" w:after="60"/>
        <w:jc w:val="left"/>
        <w:rPr>
          <w:rFonts w:ascii="Times New Roman;serif" w:hAnsi="Times New Roman;serif"/>
          <w:b w:val="false"/>
          <w:i/>
          <w:color w:val="000000"/>
          <w:sz w:val="20"/>
        </w:rPr>
      </w:pPr>
      <w:r>
        <w:rPr>
          <w:rFonts w:ascii="Times New Roman;serif" w:hAnsi="Times New Roman;serif"/>
          <w:b w:val="false"/>
          <w:i/>
          <w:color w:val="000000"/>
          <w:sz w:val="20"/>
        </w:rPr>
        <w:t>Restructuring Charges</w:t>
      </w:r>
    </w:p>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Restructuring charges are costs associated with restructuring plans and are primarily related to employee severance and benefit arrangements, lower of cost and net realizable value adjustments to inventory and long-lived assets that will no longer be used in operations, and termination fees for any contracts cancelled as part of the restructuring plans. </w:t>
      </w:r>
    </w:p>
    <w:p>
      <w:pPr>
        <w:pStyle w:val="TextBody"/>
        <w:bidi w:val="0"/>
        <w:spacing w:lineRule="auto" w:line="288" w:before="120" w:after="60"/>
        <w:jc w:val="left"/>
        <w:rPr>
          <w:rFonts w:ascii="Times New Roman;serif" w:hAnsi="Times New Roman;serif"/>
          <w:b w:val="false"/>
          <w:i/>
          <w:color w:val="000000"/>
          <w:sz w:val="20"/>
        </w:rPr>
      </w:pPr>
      <w:r>
        <w:rPr>
          <w:rFonts w:ascii="Times New Roman;serif" w:hAnsi="Times New Roman;serif"/>
          <w:b w:val="false"/>
          <w:i/>
          <w:color w:val="000000"/>
          <w:sz w:val="20"/>
        </w:rPr>
        <w:t>Other Income (Expense), Net</w:t>
      </w:r>
    </w:p>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Other income (expense), net primarily consists of dividend and interest income earned on our money market accounts and the impact of foreign currency transaction gains and losses associated with monetary assets and liabilities.</w:t>
      </w:r>
    </w:p>
    <w:p>
      <w:pPr>
        <w:pStyle w:val="TextBody"/>
        <w:bidi w:val="0"/>
        <w:spacing w:lineRule="auto" w:line="288" w:before="120" w:after="60"/>
        <w:jc w:val="left"/>
        <w:rPr>
          <w:rFonts w:ascii="Times New Roman;serif" w:hAnsi="Times New Roman;serif"/>
          <w:b w:val="false"/>
          <w:i/>
          <w:color w:val="000000"/>
          <w:sz w:val="20"/>
        </w:rPr>
      </w:pPr>
      <w:r>
        <w:rPr>
          <w:rFonts w:ascii="Times New Roman;serif" w:hAnsi="Times New Roman;serif"/>
          <w:b w:val="false"/>
          <w:i/>
          <w:color w:val="000000"/>
          <w:sz w:val="20"/>
        </w:rPr>
        <w:t>Income Taxes</w:t>
      </w:r>
    </w:p>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are subject to U.S. federal income taxes, in addition to state and local income taxes, with respect to our allocable share of any taxable income or loss of Symbotic Holdings LLC. We also have foreign subsidiaries which are subject to income tax in their local jurisdictions.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84785"/>
                <wp:effectExtent l="0" t="0" r="0" b="0"/>
                <wp:wrapNone/>
                <wp:docPr id="33" name="Frame33"/>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60" w:after="283"/>
        <w:ind w:left="0" w:right="0" w:firstLine="360"/>
        <w:jc w:val="left"/>
        <w:rPr/>
      </w:pPr>
      <w:hyperlink w:anchor="i123540df82f04e0eb97811cc101df5ff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 xml:space="preserve">Results of Operations for the Three and Nine Months Ended June 28, 2025 and June 29, 2024 </w:t>
      </w:r>
    </w:p>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tables set forth our results of operations for the periods presented and as a percentage of our total revenue for those periods. The data has been derived from the unaudited condensed consolidated financial statements contained in this Quarterly Report on Form 10-Q which include, in our opinion, all adjustments, consisting only of normal recurring adjustments, that we consider necessary for a fair statement of the financial position and results of operations for the interim periods presented. The period-to-period comparison of financial results is not necessarily indicative of financial results to be achieved in future periods.</w:t>
      </w:r>
    </w:p>
    <w:tbl>
      <w:tblPr>
        <w:tblW w:w="10205" w:type="dxa"/>
        <w:jc w:val="left"/>
        <w:tblInd w:w="0" w:type="dxa"/>
        <w:tblLayout w:type="fixed"/>
        <w:tblCellMar>
          <w:top w:w="28" w:type="dxa"/>
          <w:left w:w="28" w:type="dxa"/>
          <w:bottom w:w="28" w:type="dxa"/>
          <w:right w:w="28" w:type="dxa"/>
        </w:tblCellMar>
      </w:tblPr>
      <w:tblGrid>
        <w:gridCol w:w="1558"/>
        <w:gridCol w:w="1356"/>
        <w:gridCol w:w="1365"/>
        <w:gridCol w:w="211"/>
        <w:gridCol w:w="832"/>
        <w:gridCol w:w="109"/>
        <w:gridCol w:w="109"/>
        <w:gridCol w:w="109"/>
        <w:gridCol w:w="109"/>
        <w:gridCol w:w="211"/>
        <w:gridCol w:w="832"/>
        <w:gridCol w:w="109"/>
        <w:gridCol w:w="109"/>
        <w:gridCol w:w="109"/>
        <w:gridCol w:w="109"/>
        <w:gridCol w:w="211"/>
        <w:gridCol w:w="976"/>
        <w:gridCol w:w="109"/>
        <w:gridCol w:w="109"/>
        <w:gridCol w:w="109"/>
        <w:gridCol w:w="109"/>
        <w:gridCol w:w="211"/>
        <w:gridCol w:w="976"/>
        <w:gridCol w:w="158"/>
      </w:tblGrid>
      <w:tr>
        <w:trPr/>
        <w:tc>
          <w:tcPr>
            <w:tcW w:w="1558" w:type="dxa"/>
            <w:tcBorders/>
            <w:vAlign w:val="center"/>
          </w:tcPr>
          <w:p>
            <w:pPr>
              <w:pStyle w:val="TableContents"/>
              <w:bidi w:val="0"/>
              <w:spacing w:before="0" w:after="283"/>
              <w:jc w:val="left"/>
              <w:rPr>
                <w:sz w:val="4"/>
                <w:szCs w:val="4"/>
              </w:rPr>
            </w:pPr>
            <w:r>
              <w:rPr>
                <w:sz w:val="4"/>
                <w:szCs w:val="4"/>
              </w:rPr>
            </w:r>
          </w:p>
        </w:tc>
        <w:tc>
          <w:tcPr>
            <w:tcW w:w="1356" w:type="dxa"/>
            <w:tcBorders/>
            <w:vAlign w:val="center"/>
          </w:tcPr>
          <w:p>
            <w:pPr>
              <w:pStyle w:val="TableContents"/>
              <w:bidi w:val="0"/>
              <w:spacing w:before="0" w:after="283"/>
              <w:jc w:val="left"/>
              <w:rPr>
                <w:sz w:val="4"/>
                <w:szCs w:val="4"/>
              </w:rPr>
            </w:pPr>
            <w:r>
              <w:rPr>
                <w:sz w:val="4"/>
                <w:szCs w:val="4"/>
              </w:rPr>
            </w:r>
          </w:p>
        </w:tc>
        <w:tc>
          <w:tcPr>
            <w:tcW w:w="136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2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1" w:type="dxa"/>
            <w:gridSpan w:val="9"/>
            <w:tcBorders/>
            <w:shd w:fill="FFFFFF" w:val="clear"/>
            <w:tcMar>
              <w:top w:w="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8"/>
              </w:rPr>
            </w:pPr>
            <w:r>
              <w:rPr>
                <w:rFonts w:ascii="Times New Roman;serif" w:hAnsi="Times New Roman;serif"/>
                <w:b/>
                <w:color w:val="000000"/>
                <w:sz w:val="18"/>
              </w:rPr>
              <w:t>For the 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8" w:type="dxa"/>
            <w:gridSpan w:val="9"/>
            <w:tcBorders/>
            <w:shd w:fill="FFFFFF" w:val="clear"/>
            <w:tcMar>
              <w:top w:w="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8"/>
              </w:rPr>
            </w:pPr>
            <w:r>
              <w:rPr>
                <w:rFonts w:ascii="Times New Roman;serif" w:hAnsi="Times New Roman;serif"/>
                <w:b/>
                <w:color w:val="000000"/>
                <w:sz w:val="18"/>
              </w:rPr>
              <w:t>For the Nine Months Ended</w:t>
            </w:r>
          </w:p>
        </w:tc>
      </w:tr>
      <w:tr>
        <w:trPr/>
        <w:tc>
          <w:tcPr>
            <w:tcW w:w="42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8"/>
              </w:rPr>
            </w:pPr>
            <w:r>
              <w:rPr>
                <w:rFonts w:ascii="Times New Roman;serif" w:hAnsi="Times New Roman;serif"/>
                <w:b/>
                <w:color w:val="000000"/>
                <w:sz w:val="18"/>
              </w:rPr>
              <w:t>June 28, 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300" w:before="0" w:after="283"/>
              <w:jc w:val="center"/>
              <w:rPr>
                <w:rFonts w:ascii="Times New Roman;serif" w:hAnsi="Times New Roman;serif"/>
                <w:b/>
                <w:color w:val="000000"/>
                <w:sz w:val="18"/>
              </w:rPr>
            </w:pPr>
            <w:r>
              <w:rPr>
                <w:rFonts w:ascii="Times New Roman;serif" w:hAnsi="Times New Roman;serif"/>
                <w:b/>
                <w:color w:val="000000"/>
                <w:sz w:val="18"/>
              </w:rPr>
              <w:t>June 29,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300" w:before="0" w:after="283"/>
              <w:jc w:val="center"/>
              <w:rPr>
                <w:rFonts w:ascii="Times New Roman;serif" w:hAnsi="Times New Roman;serif"/>
                <w:b/>
                <w:color w:val="000000"/>
                <w:sz w:val="18"/>
              </w:rPr>
            </w:pPr>
            <w:r>
              <w:rPr>
                <w:rFonts w:ascii="Times New Roman;serif" w:hAnsi="Times New Roman;serif"/>
                <w:b/>
                <w:color w:val="000000"/>
                <w:sz w:val="18"/>
              </w:rPr>
              <w:t>June 28, 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300" w:before="0" w:after="283"/>
              <w:jc w:val="center"/>
              <w:rPr>
                <w:rFonts w:ascii="Times New Roman;serif" w:hAnsi="Times New Roman;serif"/>
                <w:b/>
                <w:color w:val="000000"/>
                <w:sz w:val="18"/>
              </w:rPr>
            </w:pPr>
            <w:r>
              <w:rPr>
                <w:rFonts w:ascii="Times New Roman;serif" w:hAnsi="Times New Roman;serif"/>
                <w:b/>
                <w:color w:val="000000"/>
                <w:sz w:val="18"/>
              </w:rPr>
              <w:t>June 29, 2024</w:t>
            </w:r>
          </w:p>
        </w:tc>
      </w:tr>
      <w:tr>
        <w:trPr/>
        <w:tc>
          <w:tcPr>
            <w:tcW w:w="4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6"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val="false"/>
                <w:color w:val="000000"/>
                <w:sz w:val="18"/>
              </w:rPr>
            </w:pPr>
            <w:r>
              <w:rPr>
                <w:rFonts w:ascii="Times New Roman;serif" w:hAnsi="Times New Roman;serif"/>
                <w:b w:val="false"/>
                <w:color w:val="000000"/>
                <w:sz w:val="18"/>
              </w:rPr>
              <w:t>(in thousands)</w:t>
            </w:r>
          </w:p>
        </w:tc>
      </w:tr>
      <w:tr>
        <w:trPr/>
        <w:tc>
          <w:tcPr>
            <w:tcW w:w="427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i/>
                <w:color w:val="000000"/>
                <w:sz w:val="20"/>
              </w:rPr>
            </w:pPr>
            <w:r>
              <w:rPr>
                <w:rFonts w:ascii="Times New Roman;serif" w:hAnsi="Times New Roman;serif"/>
                <w:b w:val="false"/>
                <w:i/>
                <w:color w:val="000000"/>
                <w:sz w:val="20"/>
              </w:rPr>
              <w:t>Revenue:</w:t>
            </w:r>
          </w:p>
        </w:tc>
        <w:tc>
          <w:tcPr>
            <w:tcW w:w="11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Systems</w:t>
            </w:r>
          </w:p>
        </w:tc>
        <w:tc>
          <w:tcPr>
            <w:tcW w:w="211"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2"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559,108 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2"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450,595 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1,536,539 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1,168,993 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Software maintenance and support</w:t>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8,121 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3,545 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20,331 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8,280 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Operation services</w:t>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24,892 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16,198 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71,595 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46,340 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104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592,121 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470,338 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1,628,465 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1,223,613 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i/>
                <w:color w:val="000000"/>
                <w:sz w:val="20"/>
              </w:rPr>
            </w:pPr>
            <w:r>
              <w:rPr>
                <w:rFonts w:ascii="Times New Roman;serif" w:hAnsi="Times New Roman;serif"/>
                <w:b w:val="false"/>
                <w:i/>
                <w:color w:val="000000"/>
                <w:sz w:val="20"/>
              </w:rPr>
              <w:t>Cost of revenue:</w:t>
            </w:r>
          </w:p>
        </w:tc>
        <w:tc>
          <w:tcPr>
            <w:tcW w:w="11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Systems</w:t>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457,911 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398,761 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1,254,289 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1,024,832 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Software maintenance and support</w:t>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1,756 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2,539 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5,735 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6,201 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Operation services</w:t>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24,832 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14,065 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72,952 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43,331 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cost of revenue</w:t>
            </w:r>
          </w:p>
        </w:tc>
        <w:tc>
          <w:tcPr>
            <w:tcW w:w="104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484,499 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415,365 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1,332,976 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1,074,364 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104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107,622 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54,973 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295,489 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149,249 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i/>
                <w:color w:val="000000"/>
                <w:sz w:val="20"/>
              </w:rPr>
            </w:pPr>
            <w:r>
              <w:rPr>
                <w:rFonts w:ascii="Times New Roman;serif" w:hAnsi="Times New Roman;serif"/>
                <w:b w:val="false"/>
                <w:i/>
                <w:color w:val="000000"/>
                <w:sz w:val="20"/>
              </w:rPr>
              <w:t>Operating expenses:</w:t>
            </w:r>
          </w:p>
        </w:tc>
        <w:tc>
          <w:tcPr>
            <w:tcW w:w="115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 expenses</w:t>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52,147 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44,722 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157,279 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133,327 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w:t>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75,670 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47,871 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215,092 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143,535 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charges</w:t>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16,361 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16,361 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104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144,178 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92,593 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388,732 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276,862 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loss</w:t>
            </w:r>
          </w:p>
        </w:tc>
        <w:tc>
          <w:tcPr>
            <w:tcW w:w="104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(36,556)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(37,620)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(93,243)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(127,613)</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8,451 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11,615 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27,987 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27,626 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Loss before income tax and equity method investment</w:t>
            </w:r>
          </w:p>
        </w:tc>
        <w:tc>
          <w:tcPr>
            <w:tcW w:w="104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(28,105)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(26,005)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(65,256)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(99,987)</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benefit (expense)</w:t>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(182)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1,204 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(102)</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equity method investment</w:t>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(3,776)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(537)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(7,831)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(537)</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(31,925)</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(26,724)</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(71,883)</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(100,626)</w:t>
            </w:r>
          </w:p>
        </w:tc>
        <w:tc>
          <w:tcPr>
            <w:tcW w:w="1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6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84785"/>
                <wp:effectExtent l="0" t="0" r="0" b="0"/>
                <wp:wrapNone/>
                <wp:docPr id="34" name="Frame34"/>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60" w:after="283"/>
        <w:ind w:left="0" w:right="0" w:firstLine="360"/>
        <w:jc w:val="left"/>
        <w:rPr/>
      </w:pPr>
      <w:hyperlink w:anchor="i123540df82f04e0eb97811cc101df5ff_7">
        <w:r>
          <w:rPr>
            <w:rStyle w:val="InternetLink"/>
            <w:rFonts w:ascii="Times New Roman;serif" w:hAnsi="Times New Roman;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1547"/>
        <w:gridCol w:w="1345"/>
        <w:gridCol w:w="1355"/>
        <w:gridCol w:w="257"/>
        <w:gridCol w:w="253"/>
        <w:gridCol w:w="610"/>
        <w:gridCol w:w="188"/>
        <w:gridCol w:w="188"/>
        <w:gridCol w:w="188"/>
        <w:gridCol w:w="257"/>
        <w:gridCol w:w="253"/>
        <w:gridCol w:w="610"/>
        <w:gridCol w:w="109"/>
        <w:gridCol w:w="109"/>
        <w:gridCol w:w="109"/>
        <w:gridCol w:w="257"/>
        <w:gridCol w:w="253"/>
        <w:gridCol w:w="609"/>
        <w:gridCol w:w="179"/>
        <w:gridCol w:w="179"/>
        <w:gridCol w:w="179"/>
        <w:gridCol w:w="244"/>
        <w:gridCol w:w="242"/>
        <w:gridCol w:w="685"/>
      </w:tblGrid>
      <w:tr>
        <w:trPr/>
        <w:tc>
          <w:tcPr>
            <w:tcW w:w="1547" w:type="dxa"/>
            <w:tcBorders/>
            <w:vAlign w:val="center"/>
          </w:tcPr>
          <w:p>
            <w:pPr>
              <w:pStyle w:val="TableContents"/>
              <w:bidi w:val="0"/>
              <w:spacing w:before="0" w:after="283"/>
              <w:jc w:val="left"/>
              <w:rPr>
                <w:sz w:val="4"/>
                <w:szCs w:val="4"/>
              </w:rPr>
            </w:pPr>
            <w:r>
              <w:rPr>
                <w:sz w:val="4"/>
                <w:szCs w:val="4"/>
              </w:rPr>
            </w:r>
          </w:p>
        </w:tc>
        <w:tc>
          <w:tcPr>
            <w:tcW w:w="1345" w:type="dxa"/>
            <w:tcBorders/>
            <w:vAlign w:val="center"/>
          </w:tcPr>
          <w:p>
            <w:pPr>
              <w:pStyle w:val="TableContents"/>
              <w:bidi w:val="0"/>
              <w:spacing w:before="0" w:after="283"/>
              <w:jc w:val="left"/>
              <w:rPr>
                <w:sz w:val="4"/>
                <w:szCs w:val="4"/>
              </w:rPr>
            </w:pPr>
            <w:r>
              <w:rPr>
                <w:sz w:val="4"/>
                <w:szCs w:val="4"/>
              </w:rPr>
            </w:r>
          </w:p>
        </w:tc>
        <w:tc>
          <w:tcPr>
            <w:tcW w:w="1355"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r>
      <w:tr>
        <w:trPr/>
        <w:tc>
          <w:tcPr>
            <w:tcW w:w="42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4" w:type="dxa"/>
            <w:gridSpan w:val="9"/>
            <w:tcBorders/>
            <w:shd w:fill="FFFFFF" w:val="clear"/>
            <w:tcMar>
              <w:top w:w="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8"/>
              </w:rPr>
            </w:pPr>
            <w:r>
              <w:rPr>
                <w:rFonts w:ascii="Times New Roman;serif" w:hAnsi="Times New Roman;serif"/>
                <w:b/>
                <w:color w:val="000000"/>
                <w:sz w:val="18"/>
              </w:rPr>
              <w:t>For the 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7" w:type="dxa"/>
            <w:gridSpan w:val="9"/>
            <w:tcBorders/>
            <w:shd w:fill="FFFFFF" w:val="clear"/>
            <w:tcMar>
              <w:top w:w="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8"/>
              </w:rPr>
            </w:pPr>
            <w:r>
              <w:rPr>
                <w:rFonts w:ascii="Times New Roman;serif" w:hAnsi="Times New Roman;serif"/>
                <w:b/>
                <w:color w:val="000000"/>
                <w:sz w:val="18"/>
              </w:rPr>
              <w:t>For the Nine Months Ended</w:t>
            </w:r>
          </w:p>
        </w:tc>
      </w:tr>
      <w:tr>
        <w:trPr/>
        <w:tc>
          <w:tcPr>
            <w:tcW w:w="42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8"/>
              </w:rPr>
            </w:pPr>
            <w:r>
              <w:rPr>
                <w:rFonts w:ascii="Times New Roman;serif" w:hAnsi="Times New Roman;serif"/>
                <w:b/>
                <w:color w:val="000000"/>
                <w:sz w:val="18"/>
              </w:rPr>
              <w:t>June 28, 2025</w:t>
            </w:r>
          </w:p>
        </w:tc>
        <w:tc>
          <w:tcPr>
            <w:tcW w:w="56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8"/>
              </w:rPr>
            </w:pPr>
            <w:r>
              <w:rPr>
                <w:rFonts w:ascii="Times New Roman;serif" w:hAnsi="Times New Roman;serif"/>
                <w:b/>
                <w:color w:val="000000"/>
                <w:sz w:val="18"/>
              </w:rPr>
              <w:t>June 29,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8"/>
              </w:rPr>
            </w:pPr>
            <w:r>
              <w:rPr>
                <w:rFonts w:ascii="Times New Roman;serif" w:hAnsi="Times New Roman;serif"/>
                <w:b/>
                <w:color w:val="000000"/>
                <w:sz w:val="18"/>
              </w:rPr>
              <w:t>June 28, 2025</w:t>
            </w:r>
          </w:p>
        </w:tc>
        <w:tc>
          <w:tcPr>
            <w:tcW w:w="53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8"/>
              </w:rPr>
            </w:pPr>
            <w:r>
              <w:rPr>
                <w:rFonts w:ascii="Times New Roman;serif" w:hAnsi="Times New Roman;serif"/>
                <w:b/>
                <w:color w:val="000000"/>
                <w:sz w:val="18"/>
              </w:rPr>
              <w:t>June 29, 2024</w:t>
            </w:r>
          </w:p>
        </w:tc>
      </w:tr>
      <w:tr>
        <w:trPr/>
        <w:tc>
          <w:tcPr>
            <w:tcW w:w="4247"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i/>
                <w:color w:val="000000"/>
                <w:sz w:val="20"/>
              </w:rPr>
            </w:pPr>
            <w:r>
              <w:rPr>
                <w:rFonts w:ascii="Times New Roman;serif" w:hAnsi="Times New Roman;serif"/>
                <w:b w:val="false"/>
                <w:i/>
                <w:color w:val="000000"/>
                <w:sz w:val="20"/>
              </w:rPr>
              <w:t>Revenue:</w:t>
            </w:r>
          </w:p>
        </w:tc>
        <w:tc>
          <w:tcPr>
            <w:tcW w:w="112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Systems</w:t>
            </w:r>
          </w:p>
        </w:tc>
        <w:tc>
          <w:tcPr>
            <w:tcW w:w="510"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94 </w:t>
            </w:r>
          </w:p>
        </w:tc>
        <w:tc>
          <w:tcPr>
            <w:tcW w:w="610"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96 </w:t>
            </w:r>
          </w:p>
        </w:tc>
        <w:tc>
          <w:tcPr>
            <w:tcW w:w="610"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94 </w:t>
            </w:r>
          </w:p>
        </w:tc>
        <w:tc>
          <w:tcPr>
            <w:tcW w:w="609"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96 </w:t>
            </w:r>
          </w:p>
        </w:tc>
        <w:tc>
          <w:tcPr>
            <w:tcW w:w="685"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247"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Software maintenance and support</w:t>
            </w:r>
          </w:p>
        </w:tc>
        <w:tc>
          <w:tcPr>
            <w:tcW w:w="510"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6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6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6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6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Operation services</w:t>
            </w:r>
          </w:p>
        </w:tc>
        <w:tc>
          <w:tcPr>
            <w:tcW w:w="510"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6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6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6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6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7"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5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6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6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6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6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i/>
                <w:color w:val="000000"/>
                <w:sz w:val="20"/>
              </w:rPr>
            </w:pPr>
            <w:r>
              <w:rPr>
                <w:rFonts w:ascii="Times New Roman;serif" w:hAnsi="Times New Roman;serif"/>
                <w:b w:val="false"/>
                <w:i/>
                <w:color w:val="000000"/>
                <w:sz w:val="20"/>
              </w:rPr>
              <w:t>Cost of revenue:</w:t>
            </w:r>
          </w:p>
        </w:tc>
        <w:tc>
          <w:tcPr>
            <w:tcW w:w="11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7"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Systems</w:t>
            </w:r>
          </w:p>
        </w:tc>
        <w:tc>
          <w:tcPr>
            <w:tcW w:w="510"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77 </w:t>
            </w:r>
          </w:p>
        </w:tc>
        <w:tc>
          <w:tcPr>
            <w:tcW w:w="6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85 </w:t>
            </w:r>
          </w:p>
        </w:tc>
        <w:tc>
          <w:tcPr>
            <w:tcW w:w="6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77 </w:t>
            </w:r>
          </w:p>
        </w:tc>
        <w:tc>
          <w:tcPr>
            <w:tcW w:w="6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84 </w:t>
            </w:r>
          </w:p>
        </w:tc>
        <w:tc>
          <w:tcPr>
            <w:tcW w:w="6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Software maintenance and support</w:t>
            </w:r>
          </w:p>
        </w:tc>
        <w:tc>
          <w:tcPr>
            <w:tcW w:w="510"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6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6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6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6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7"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Operation services</w:t>
            </w:r>
          </w:p>
        </w:tc>
        <w:tc>
          <w:tcPr>
            <w:tcW w:w="510"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6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6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6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6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cost of revenue</w:t>
            </w:r>
          </w:p>
        </w:tc>
        <w:tc>
          <w:tcPr>
            <w:tcW w:w="51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82 </w:t>
            </w:r>
          </w:p>
        </w:tc>
        <w:tc>
          <w:tcPr>
            <w:tcW w:w="6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88 </w:t>
            </w:r>
          </w:p>
        </w:tc>
        <w:tc>
          <w:tcPr>
            <w:tcW w:w="6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82 </w:t>
            </w:r>
          </w:p>
        </w:tc>
        <w:tc>
          <w:tcPr>
            <w:tcW w:w="6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88 </w:t>
            </w:r>
          </w:p>
        </w:tc>
        <w:tc>
          <w:tcPr>
            <w:tcW w:w="68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7"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5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6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6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6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6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i/>
                <w:color w:val="000000"/>
                <w:sz w:val="20"/>
              </w:rPr>
            </w:pPr>
            <w:r>
              <w:rPr>
                <w:rFonts w:ascii="Times New Roman;serif" w:hAnsi="Times New Roman;serif"/>
                <w:b w:val="false"/>
                <w:i/>
                <w:color w:val="000000"/>
                <w:sz w:val="20"/>
              </w:rPr>
              <w:t>Operating expenses:</w:t>
            </w:r>
          </w:p>
        </w:tc>
        <w:tc>
          <w:tcPr>
            <w:tcW w:w="112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7"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 expenses</w:t>
            </w:r>
          </w:p>
        </w:tc>
        <w:tc>
          <w:tcPr>
            <w:tcW w:w="510"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6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6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6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6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w:t>
            </w:r>
          </w:p>
        </w:tc>
        <w:tc>
          <w:tcPr>
            <w:tcW w:w="510"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6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6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6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6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7"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charges</w:t>
            </w:r>
          </w:p>
        </w:tc>
        <w:tc>
          <w:tcPr>
            <w:tcW w:w="510"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6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6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6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6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51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6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6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6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68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7"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loss</w:t>
            </w:r>
          </w:p>
        </w:tc>
        <w:tc>
          <w:tcPr>
            <w:tcW w:w="5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6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6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6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6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51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6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6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6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68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7"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Loss before income tax and equity method investment</w:t>
            </w:r>
          </w:p>
        </w:tc>
        <w:tc>
          <w:tcPr>
            <w:tcW w:w="5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6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6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6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6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benefit (expense)</w:t>
            </w:r>
          </w:p>
        </w:tc>
        <w:tc>
          <w:tcPr>
            <w:tcW w:w="510"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6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6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6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6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7"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equity method investment</w:t>
            </w:r>
          </w:p>
        </w:tc>
        <w:tc>
          <w:tcPr>
            <w:tcW w:w="510"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6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6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6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6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51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6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6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6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6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20" w:after="200"/>
        <w:jc w:val="both"/>
        <w:rPr>
          <w:rFonts w:ascii="Times New Roman;serif" w:hAnsi="Times New Roman;serif"/>
          <w:b w:val="false"/>
          <w:i/>
          <w:color w:val="000000"/>
          <w:sz w:val="16"/>
        </w:rPr>
      </w:pPr>
      <w:r>
        <w:rPr>
          <w:rFonts w:ascii="Times New Roman;serif" w:hAnsi="Times New Roman;serif"/>
          <w:b w:val="false"/>
          <w:i/>
          <w:color w:val="000000"/>
          <w:sz w:val="16"/>
        </w:rPr>
        <w:t xml:space="preserve">*Percentages are based on actual values. Totals may not sum due to rounding. </w:t>
      </w: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Three and Nine Months Ended June 28, 2025 Compared to the Three and Nine Months Ended June 29, 2024</w:t>
      </w:r>
    </w:p>
    <w:p>
      <w:pPr>
        <w:pStyle w:val="TextBody"/>
        <w:bidi w:val="0"/>
        <w:spacing w:lineRule="auto" w:line="288" w:before="120" w:after="60"/>
        <w:jc w:val="left"/>
        <w:rPr>
          <w:rFonts w:ascii="Times New Roman;serif" w:hAnsi="Times New Roman;serif"/>
          <w:b w:val="false"/>
          <w:i/>
          <w:color w:val="000000"/>
          <w:sz w:val="20"/>
        </w:rPr>
      </w:pPr>
      <w:r>
        <w:rPr>
          <w:rFonts w:ascii="Times New Roman;serif" w:hAnsi="Times New Roman;serif"/>
          <w:b w:val="false"/>
          <w:i/>
          <w:color w:val="000000"/>
          <w:sz w:val="20"/>
        </w:rPr>
        <w:t xml:space="preserve">Revenue </w:t>
      </w:r>
    </w:p>
    <w:tbl>
      <w:tblPr>
        <w:tblW w:w="8127" w:type="dxa"/>
        <w:jc w:val="left"/>
        <w:tblInd w:w="0" w:type="dxa"/>
        <w:tblLayout w:type="fixed"/>
        <w:tblCellMar>
          <w:top w:w="28" w:type="dxa"/>
          <w:left w:w="28" w:type="dxa"/>
          <w:bottom w:w="28" w:type="dxa"/>
          <w:right w:w="28" w:type="dxa"/>
        </w:tblCellMar>
      </w:tblPr>
      <w:tblGrid>
        <w:gridCol w:w="1052"/>
        <w:gridCol w:w="924"/>
        <w:gridCol w:w="934"/>
        <w:gridCol w:w="212"/>
        <w:gridCol w:w="833"/>
        <w:gridCol w:w="109"/>
        <w:gridCol w:w="109"/>
        <w:gridCol w:w="109"/>
        <w:gridCol w:w="109"/>
        <w:gridCol w:w="212"/>
        <w:gridCol w:w="833"/>
        <w:gridCol w:w="109"/>
        <w:gridCol w:w="109"/>
        <w:gridCol w:w="109"/>
        <w:gridCol w:w="109"/>
        <w:gridCol w:w="211"/>
        <w:gridCol w:w="826"/>
        <w:gridCol w:w="109"/>
        <w:gridCol w:w="109"/>
        <w:gridCol w:w="109"/>
        <w:gridCol w:w="109"/>
        <w:gridCol w:w="232"/>
        <w:gridCol w:w="234"/>
        <w:gridCol w:w="316"/>
      </w:tblGrid>
      <w:tr>
        <w:trPr/>
        <w:tc>
          <w:tcPr>
            <w:tcW w:w="1052"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5" w:type="dxa"/>
            <w:gridSpan w:val="9"/>
            <w:tcBorders/>
            <w:tcMar>
              <w:top w:w="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8"/>
              </w:rPr>
            </w:pPr>
            <w:r>
              <w:rPr>
                <w:rFonts w:ascii="Times New Roman;serif" w:hAnsi="Times New Roman;serif"/>
                <w:b/>
                <w:color w:val="000000"/>
                <w:sz w:val="18"/>
              </w:rPr>
              <w:t>For the 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5" w:type="dxa"/>
            <w:gridSpan w:val="9"/>
            <w:tcBorders/>
            <w:tcMar>
              <w:top w:w="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8"/>
              </w:rPr>
            </w:pPr>
            <w:r>
              <w:rPr>
                <w:rFonts w:ascii="Times New Roman;serif" w:hAnsi="Times New Roman;serif"/>
                <w:b/>
                <w:color w:val="000000"/>
                <w:sz w:val="18"/>
              </w:rPr>
              <w:t>Change</w:t>
            </w:r>
          </w:p>
        </w:tc>
      </w:tr>
      <w:tr>
        <w:trPr/>
        <w:tc>
          <w:tcPr>
            <w:tcW w:w="2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8"/>
              </w:rPr>
            </w:pPr>
            <w:r>
              <w:rPr>
                <w:rFonts w:ascii="Times New Roman;serif" w:hAnsi="Times New Roman;serif"/>
                <w:b/>
                <w:color w:val="000000"/>
                <w:sz w:val="18"/>
              </w:rPr>
              <w:t>June 28,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300" w:before="0" w:after="283"/>
              <w:jc w:val="center"/>
              <w:rPr>
                <w:rFonts w:ascii="Times New Roman;serif" w:hAnsi="Times New Roman;serif"/>
                <w:b/>
                <w:color w:val="000000"/>
                <w:sz w:val="18"/>
              </w:rPr>
            </w:pPr>
            <w:r>
              <w:rPr>
                <w:rFonts w:ascii="Times New Roman;serif" w:hAnsi="Times New Roman;serif"/>
                <w:b/>
                <w:color w:val="000000"/>
                <w:sz w:val="18"/>
              </w:rPr>
              <w:t>June 29,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300"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300" w:before="0" w:after="283"/>
              <w:jc w:val="center"/>
              <w:rPr>
                <w:rFonts w:ascii="Times New Roman;serif" w:hAnsi="Times New Roman;serif"/>
                <w:b/>
                <w:color w:val="000000"/>
                <w:sz w:val="18"/>
              </w:rPr>
            </w:pPr>
            <w:r>
              <w:rPr>
                <w:rFonts w:ascii="Times New Roman;serif" w:hAnsi="Times New Roman;serif"/>
                <w:b/>
                <w:color w:val="000000"/>
                <w:sz w:val="18"/>
              </w:rPr>
              <w:t>%</w:t>
            </w:r>
          </w:p>
        </w:tc>
      </w:tr>
      <w:tr>
        <w:trPr/>
        <w:tc>
          <w:tcPr>
            <w:tcW w:w="2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7"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val="false"/>
                <w:color w:val="000000"/>
                <w:sz w:val="18"/>
              </w:rPr>
            </w:pPr>
            <w:r>
              <w:rPr>
                <w:rFonts w:ascii="Times New Roman;serif" w:hAnsi="Times New Roman;serif"/>
                <w:b w:val="false"/>
                <w:color w:val="000000"/>
                <w:sz w:val="18"/>
              </w:rPr>
              <w:t>(dollars in thousands)</w:t>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Systems</w:t>
            </w:r>
          </w:p>
        </w:tc>
        <w:tc>
          <w:tcPr>
            <w:tcW w:w="212"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3"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559,108 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3"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450,595 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108,513 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316"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91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Software maintenance and support</w:t>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8,121 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3,545 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4,576 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129 </w:t>
            </w:r>
          </w:p>
        </w:tc>
        <w:tc>
          <w:tcPr>
            <w:tcW w:w="316"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Operation services</w:t>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24,892 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16,198 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8,694 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316"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91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2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592,121 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470,338 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121,783 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316"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Systems revenue increased during the three months ended June 28, 2025, as compared to the three months ended June 29, 2024, due to there being 46 Systems in Deployment during the fiscal quarter ending June 28, 2025, as compared to 39 Systems in Deployment during the same quarter of fiscal 2024. The increase in Systems revenue is primarily due to the additional revenue generated from the 2025 MAA for ASR.</w:t>
      </w:r>
    </w:p>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increase in Software Maintenance and Support revenue is due to 42 Operational Systems which are under Software Maintenance and Support contracts for the three months ended June 28, 2025, as compared to 21 Operational Systems which were under Software Maintenance and Support contracts for the three months ended June 29, 2024.</w:t>
      </w:r>
    </w:p>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increase in Operation Services revenue is attributable to an increase in Operational Systems where we are performing Operation Services for the three months ended June 28, 2025, as compared to the three months ended June 29,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84785"/>
                <wp:effectExtent l="0" t="0" r="0" b="0"/>
                <wp:wrapNone/>
                <wp:docPr id="35" name="Frame35"/>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88" w:before="60" w:after="283"/>
        <w:ind w:left="0" w:right="0" w:firstLine="360"/>
        <w:jc w:val="left"/>
        <w:rPr/>
      </w:pPr>
      <w:hyperlink w:anchor="i123540df82f04e0eb97811cc101df5ff_7">
        <w:r>
          <w:rPr>
            <w:rStyle w:val="InternetLink"/>
            <w:rFonts w:ascii="Times New Roman;serif" w:hAnsi="Times New Roman;serif"/>
            <w:b w:val="false"/>
            <w:color w:val="0000FF"/>
            <w:sz w:val="20"/>
            <w:u w:val="single"/>
          </w:rPr>
          <w:t>Table of Contents</w:t>
        </w:r>
      </w:hyperlink>
    </w:p>
    <w:p>
      <w:pPr>
        <w:pStyle w:val="TextBody"/>
        <w:bidi w:val="0"/>
        <w:spacing w:lineRule="auto" w:line="288" w:before="60" w:after="283"/>
        <w:jc w:val="left"/>
        <w:rPr>
          <w:rFonts w:ascii="Times New Roman;serif" w:hAnsi="Times New Roman;serif"/>
          <w:b w:val="false"/>
          <w:color w:val="000000"/>
          <w:sz w:val="20"/>
        </w:rPr>
      </w:pPr>
      <w:r>
        <w:rPr>
          <w:rFonts w:ascii="Times New Roman;serif" w:hAnsi="Times New Roman;serif"/>
          <w:b w:val="false"/>
          <w:color w:val="000000"/>
          <w:sz w:val="20"/>
        </w:rPr>
        <w:t>2024. As we continue to increase the number of Operational Systems, an increase in the number of Operation Services contracts is expected.</w:t>
      </w:r>
    </w:p>
    <w:tbl>
      <w:tblPr>
        <w:tblW w:w="8411" w:type="dxa"/>
        <w:jc w:val="left"/>
        <w:tblInd w:w="0" w:type="dxa"/>
        <w:tblLayout w:type="fixed"/>
        <w:tblCellMar>
          <w:top w:w="28" w:type="dxa"/>
          <w:left w:w="28" w:type="dxa"/>
          <w:bottom w:w="28" w:type="dxa"/>
          <w:right w:w="28" w:type="dxa"/>
        </w:tblCellMar>
      </w:tblPr>
      <w:tblGrid>
        <w:gridCol w:w="1052"/>
        <w:gridCol w:w="924"/>
        <w:gridCol w:w="934"/>
        <w:gridCol w:w="211"/>
        <w:gridCol w:w="976"/>
        <w:gridCol w:w="109"/>
        <w:gridCol w:w="109"/>
        <w:gridCol w:w="109"/>
        <w:gridCol w:w="109"/>
        <w:gridCol w:w="211"/>
        <w:gridCol w:w="976"/>
        <w:gridCol w:w="109"/>
        <w:gridCol w:w="109"/>
        <w:gridCol w:w="109"/>
        <w:gridCol w:w="109"/>
        <w:gridCol w:w="211"/>
        <w:gridCol w:w="826"/>
        <w:gridCol w:w="109"/>
        <w:gridCol w:w="109"/>
        <w:gridCol w:w="109"/>
        <w:gridCol w:w="109"/>
        <w:gridCol w:w="232"/>
        <w:gridCol w:w="234"/>
        <w:gridCol w:w="316"/>
      </w:tblGrid>
      <w:tr>
        <w:trPr/>
        <w:tc>
          <w:tcPr>
            <w:tcW w:w="1052"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9" w:type="dxa"/>
            <w:gridSpan w:val="9"/>
            <w:tcBorders/>
            <w:tcMar>
              <w:top w:w="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8"/>
              </w:rPr>
            </w:pPr>
            <w:r>
              <w:rPr>
                <w:rFonts w:ascii="Times New Roman;serif" w:hAnsi="Times New Roman;serif"/>
                <w:b/>
                <w:color w:val="000000"/>
                <w:sz w:val="18"/>
              </w:rPr>
              <w:t>For the Nine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5" w:type="dxa"/>
            <w:gridSpan w:val="9"/>
            <w:tcBorders/>
            <w:tcMar>
              <w:top w:w="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8"/>
              </w:rPr>
            </w:pPr>
            <w:r>
              <w:rPr>
                <w:rFonts w:ascii="Times New Roman;serif" w:hAnsi="Times New Roman;serif"/>
                <w:b/>
                <w:color w:val="000000"/>
                <w:sz w:val="18"/>
              </w:rPr>
              <w:t>Change</w:t>
            </w:r>
          </w:p>
        </w:tc>
      </w:tr>
      <w:tr>
        <w:trPr/>
        <w:tc>
          <w:tcPr>
            <w:tcW w:w="2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8"/>
              </w:rPr>
            </w:pPr>
            <w:r>
              <w:rPr>
                <w:rFonts w:ascii="Times New Roman;serif" w:hAnsi="Times New Roman;serif"/>
                <w:b/>
                <w:color w:val="000000"/>
                <w:sz w:val="18"/>
              </w:rPr>
              <w:t>June 28,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300" w:before="0" w:after="283"/>
              <w:jc w:val="center"/>
              <w:rPr>
                <w:rFonts w:ascii="Times New Roman;serif" w:hAnsi="Times New Roman;serif"/>
                <w:b/>
                <w:color w:val="000000"/>
                <w:sz w:val="18"/>
              </w:rPr>
            </w:pPr>
            <w:r>
              <w:rPr>
                <w:rFonts w:ascii="Times New Roman;serif" w:hAnsi="Times New Roman;serif"/>
                <w:b/>
                <w:color w:val="000000"/>
                <w:sz w:val="18"/>
              </w:rPr>
              <w:t>June 29,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300"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300" w:before="0" w:after="283"/>
              <w:jc w:val="center"/>
              <w:rPr>
                <w:rFonts w:ascii="Times New Roman;serif" w:hAnsi="Times New Roman;serif"/>
                <w:b/>
                <w:color w:val="000000"/>
                <w:sz w:val="18"/>
              </w:rPr>
            </w:pPr>
            <w:r>
              <w:rPr>
                <w:rFonts w:ascii="Times New Roman;serif" w:hAnsi="Times New Roman;serif"/>
                <w:b/>
                <w:color w:val="000000"/>
                <w:sz w:val="18"/>
              </w:rPr>
              <w:t>%</w:t>
            </w:r>
          </w:p>
        </w:tc>
      </w:tr>
      <w:tr>
        <w:trPr/>
        <w:tc>
          <w:tcPr>
            <w:tcW w:w="2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1"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val="false"/>
                <w:color w:val="000000"/>
                <w:sz w:val="18"/>
              </w:rPr>
            </w:pPr>
            <w:r>
              <w:rPr>
                <w:rFonts w:ascii="Times New Roman;serif" w:hAnsi="Times New Roman;serif"/>
                <w:b w:val="false"/>
                <w:color w:val="000000"/>
                <w:sz w:val="18"/>
              </w:rPr>
              <w:t>(dollars in thousands)</w:t>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Systems</w:t>
            </w:r>
          </w:p>
        </w:tc>
        <w:tc>
          <w:tcPr>
            <w:tcW w:w="211"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1,536,539 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1,168,993 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367,546 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316"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91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Software maintenance and support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20,331 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8,280 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12,051 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146 </w:t>
            </w:r>
          </w:p>
        </w:tc>
        <w:tc>
          <w:tcPr>
            <w:tcW w:w="316"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Operation services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71,595 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46,340 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25,255 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316"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91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1,628,465 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1,223,613 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404,852 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316"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Systems revenue increased during the nine months ended June 28, 2025, as compared to the nine months ended June 29, 2024, due to there being 46 System in Deployment during the fiscal quarter ending June 28, 2025, as compared to 39 Systems in Deployment during the same quarter of fiscal 2024. The increase in Systems revenue includes the addition of the revenue generated from the 2025 MAA for ASR.</w:t>
      </w:r>
    </w:p>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increase in Software Maintenance and Support revenue is due to 42 Operational Systems which are under Software Maintenance and Support contracts for the nine months ended June 28, 2025, as compared to 21 Operational Systems which were under Software Maintenance and Support contracts for the nine months ended June 29, 2024.</w:t>
      </w:r>
    </w:p>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increase in Operation Services revenue is attributable to an increase in Operational Systems where we are performing Operation Services for the nine months ended June 28, 2025, as compared to the nine months ended June 29, 2024. As we continue to increase the number of Operational Systems, an increase in the number of Operation Services contracts is expected. The increase in Operation Services revenue for the nine months ended June 28, 2025, as compared to the nine months ended June 29, 2024, is also attributable to an increase in training services provided to our customers in connection with the increase in the number of Operational Systems.</w:t>
      </w:r>
    </w:p>
    <w:p>
      <w:pPr>
        <w:pStyle w:val="TextBody"/>
        <w:bidi w:val="0"/>
        <w:spacing w:lineRule="auto" w:line="288" w:before="120" w:after="60"/>
        <w:jc w:val="left"/>
        <w:rPr>
          <w:rFonts w:ascii="Times New Roman;serif" w:hAnsi="Times New Roman;serif"/>
          <w:b w:val="false"/>
          <w:i/>
          <w:color w:val="000000"/>
          <w:sz w:val="20"/>
        </w:rPr>
      </w:pPr>
      <w:r>
        <w:rPr>
          <w:rFonts w:ascii="Times New Roman;serif" w:hAnsi="Times New Roman;serif"/>
          <w:b w:val="false"/>
          <w:i/>
          <w:color w:val="000000"/>
          <w:sz w:val="20"/>
        </w:rPr>
        <w:t>Gross Profit</w:t>
      </w:r>
    </w:p>
    <w:p>
      <w:pPr>
        <w:pStyle w:val="TextBody"/>
        <w:bidi w:val="0"/>
        <w:spacing w:lineRule="auto" w:line="288" w:before="60" w:after="6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sets forth our gross profit for the three months ended June 28, 2025 and June 29, 2024: </w:t>
      </w:r>
    </w:p>
    <w:tbl>
      <w:tblPr>
        <w:tblW w:w="6959" w:type="dxa"/>
        <w:jc w:val="center"/>
        <w:tblInd w:w="0" w:type="dxa"/>
        <w:tblLayout w:type="fixed"/>
        <w:tblCellMar>
          <w:top w:w="28" w:type="dxa"/>
          <w:left w:w="28" w:type="dxa"/>
          <w:bottom w:w="28" w:type="dxa"/>
          <w:right w:w="28" w:type="dxa"/>
        </w:tblCellMar>
      </w:tblPr>
      <w:tblGrid>
        <w:gridCol w:w="1052"/>
        <w:gridCol w:w="924"/>
        <w:gridCol w:w="934"/>
        <w:gridCol w:w="212"/>
        <w:gridCol w:w="833"/>
        <w:gridCol w:w="109"/>
        <w:gridCol w:w="109"/>
        <w:gridCol w:w="109"/>
        <w:gridCol w:w="109"/>
        <w:gridCol w:w="234"/>
        <w:gridCol w:w="800"/>
        <w:gridCol w:w="121"/>
        <w:gridCol w:w="109"/>
        <w:gridCol w:w="109"/>
        <w:gridCol w:w="109"/>
        <w:gridCol w:w="211"/>
        <w:gridCol w:w="721"/>
        <w:gridCol w:w="154"/>
      </w:tblGrid>
      <w:tr>
        <w:trPr/>
        <w:tc>
          <w:tcPr>
            <w:tcW w:w="1052"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6" w:type="dxa"/>
            <w:gridSpan w:val="9"/>
            <w:tcBorders/>
            <w:tcMar>
              <w:top w:w="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8"/>
              </w:rPr>
            </w:pPr>
            <w:r>
              <w:rPr>
                <w:rFonts w:ascii="Times New Roman;serif" w:hAnsi="Times New Roman;serif"/>
                <w:b/>
                <w:color w:val="000000"/>
                <w:sz w:val="18"/>
              </w:rPr>
              <w:t>For the 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8"/>
              </w:rPr>
            </w:pPr>
            <w:r>
              <w:rPr>
                <w:rFonts w:ascii="Times New Roman;serif" w:hAnsi="Times New Roman;serif"/>
                <w:b/>
                <w:color w:val="000000"/>
                <w:sz w:val="18"/>
              </w:rPr>
              <w:t>Change</w:t>
            </w:r>
          </w:p>
        </w:tc>
      </w:tr>
      <w:tr>
        <w:trPr/>
        <w:tc>
          <w:tcPr>
            <w:tcW w:w="2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8"/>
              </w:rPr>
            </w:pPr>
            <w:r>
              <w:rPr>
                <w:rFonts w:ascii="Times New Roman;serif" w:hAnsi="Times New Roman;serif"/>
                <w:b/>
                <w:color w:val="000000"/>
                <w:sz w:val="18"/>
              </w:rPr>
              <w:t>June 28,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300" w:before="0" w:after="283"/>
              <w:jc w:val="center"/>
              <w:rPr>
                <w:rFonts w:ascii="Times New Roman;serif" w:hAnsi="Times New Roman;serif"/>
                <w:b/>
                <w:color w:val="000000"/>
                <w:sz w:val="18"/>
              </w:rPr>
            </w:pPr>
            <w:r>
              <w:rPr>
                <w:rFonts w:ascii="Times New Roman;serif" w:hAnsi="Times New Roman;serif"/>
                <w:b/>
                <w:color w:val="000000"/>
                <w:sz w:val="18"/>
              </w:rPr>
              <w:t>June 29,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300" w:before="0" w:after="283"/>
              <w:jc w:val="center"/>
              <w:rPr>
                <w:rFonts w:ascii="Times New Roman;serif" w:hAnsi="Times New Roman;serif"/>
                <w:b/>
                <w:color w:val="000000"/>
                <w:sz w:val="18"/>
              </w:rPr>
            </w:pPr>
            <w:r>
              <w:rPr>
                <w:rFonts w:ascii="Times New Roman;serif" w:hAnsi="Times New Roman;serif"/>
                <w:b/>
                <w:color w:val="000000"/>
                <w:sz w:val="18"/>
              </w:rPr>
              <w:t>Amount</w:t>
            </w:r>
          </w:p>
        </w:tc>
      </w:tr>
      <w:tr>
        <w:trPr/>
        <w:tc>
          <w:tcPr>
            <w:tcW w:w="2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9"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val="false"/>
                <w:color w:val="000000"/>
                <w:sz w:val="18"/>
              </w:rPr>
            </w:pPr>
            <w:r>
              <w:rPr>
                <w:rFonts w:ascii="Times New Roman;serif" w:hAnsi="Times New Roman;serif"/>
                <w:b w:val="false"/>
                <w:color w:val="000000"/>
                <w:sz w:val="18"/>
              </w:rPr>
              <w:t>(in thousands)</w:t>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Systems</w:t>
            </w:r>
          </w:p>
        </w:tc>
        <w:tc>
          <w:tcPr>
            <w:tcW w:w="212"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3"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101,197 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0"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51,834 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49,363 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Software maintenance and support</w:t>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6,365 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1,006 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5,359 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Operation services</w:t>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2,133 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(2,073)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Total gross profit</w:t>
            </w:r>
          </w:p>
        </w:tc>
        <w:tc>
          <w:tcPr>
            <w:tcW w:w="2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107,622 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54,973 </w:t>
            </w:r>
          </w:p>
        </w:tc>
        <w:tc>
          <w:tcPr>
            <w:tcW w:w="1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52,649 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Systems gross profit increased $49.4 million for the three months ended June 28, 2025, as compared to the three months ended June 29, 2024. The increase in Systems gross profit is primarily driven by 46 Systems in Deployment during the three months ended March 29, 2025, as compared to 39 Systems in Deployment during the three months ended June 29, 2024. The increase in Systems gross profit was further driven by lower cost of revenue resulting from better cost control.</w:t>
      </w:r>
    </w:p>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increase in Software Maintenance and Support gross profit is driven by the revenue from the additional Operational Systems which are under Software Maintenance and Support contracts for the three months ended June 28, 2025, as compared to the three months ended June 29, 2024, while costs to perform our maintenance and support services remained relatively flat.</w:t>
      </w:r>
    </w:p>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decrease in Operation Services gross profit for the three months ended June 28, 2025, as compared to the three months ended June 29, 2024, is driven by a mix in the profit generated from the sale of spare parts to our customers.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84785"/>
                <wp:effectExtent l="0" t="0" r="0" b="0"/>
                <wp:wrapNone/>
                <wp:docPr id="36" name="Frame36"/>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88" w:before="60" w:after="283"/>
        <w:ind w:left="0" w:right="0" w:firstLine="360"/>
        <w:jc w:val="left"/>
        <w:rPr/>
      </w:pPr>
      <w:hyperlink w:anchor="i123540df82f04e0eb97811cc101df5ff_7">
        <w:r>
          <w:rPr>
            <w:rStyle w:val="InternetLink"/>
            <w:rFonts w:ascii="Times New Roman;serif" w:hAnsi="Times New Roman;serif"/>
            <w:b w:val="false"/>
            <w:color w:val="0000FF"/>
            <w:sz w:val="20"/>
            <w:u w:val="single"/>
          </w:rPr>
          <w:t>Table of Contents</w:t>
        </w:r>
      </w:hyperlink>
    </w:p>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our gross profit for the nine months ended June 28, 2025 and June 29, 2024:</w:t>
      </w:r>
    </w:p>
    <w:tbl>
      <w:tblPr>
        <w:tblW w:w="7063" w:type="dxa"/>
        <w:jc w:val="left"/>
        <w:tblInd w:w="0" w:type="dxa"/>
        <w:tblLayout w:type="fixed"/>
        <w:tblCellMar>
          <w:top w:w="28" w:type="dxa"/>
          <w:left w:w="28" w:type="dxa"/>
          <w:bottom w:w="28" w:type="dxa"/>
          <w:right w:w="28" w:type="dxa"/>
        </w:tblCellMar>
      </w:tblPr>
      <w:tblGrid>
        <w:gridCol w:w="1052"/>
        <w:gridCol w:w="924"/>
        <w:gridCol w:w="934"/>
        <w:gridCol w:w="212"/>
        <w:gridCol w:w="833"/>
        <w:gridCol w:w="109"/>
        <w:gridCol w:w="109"/>
        <w:gridCol w:w="109"/>
        <w:gridCol w:w="109"/>
        <w:gridCol w:w="212"/>
        <w:gridCol w:w="833"/>
        <w:gridCol w:w="109"/>
        <w:gridCol w:w="109"/>
        <w:gridCol w:w="109"/>
        <w:gridCol w:w="109"/>
        <w:gridCol w:w="211"/>
        <w:gridCol w:w="826"/>
        <w:gridCol w:w="154"/>
      </w:tblGrid>
      <w:tr>
        <w:trPr/>
        <w:tc>
          <w:tcPr>
            <w:tcW w:w="1052"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5" w:type="dxa"/>
            <w:gridSpan w:val="9"/>
            <w:tcBorders/>
            <w:tcMar>
              <w:top w:w="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8"/>
              </w:rPr>
            </w:pPr>
            <w:r>
              <w:rPr>
                <w:rFonts w:ascii="Times New Roman;serif" w:hAnsi="Times New Roman;serif"/>
                <w:b/>
                <w:color w:val="000000"/>
                <w:sz w:val="18"/>
              </w:rPr>
              <w:t>For the Nine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8"/>
              </w:rPr>
            </w:pPr>
            <w:r>
              <w:rPr>
                <w:rFonts w:ascii="Times New Roman;serif" w:hAnsi="Times New Roman;serif"/>
                <w:b/>
                <w:color w:val="000000"/>
                <w:sz w:val="18"/>
              </w:rPr>
              <w:t>Change</w:t>
            </w:r>
          </w:p>
        </w:tc>
      </w:tr>
      <w:tr>
        <w:trPr/>
        <w:tc>
          <w:tcPr>
            <w:tcW w:w="2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8"/>
              </w:rPr>
            </w:pPr>
            <w:r>
              <w:rPr>
                <w:rFonts w:ascii="Times New Roman;serif" w:hAnsi="Times New Roman;serif"/>
                <w:b/>
                <w:color w:val="000000"/>
                <w:sz w:val="18"/>
              </w:rPr>
              <w:t>June 28,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300" w:before="0" w:after="283"/>
              <w:jc w:val="center"/>
              <w:rPr>
                <w:rFonts w:ascii="Times New Roman;serif" w:hAnsi="Times New Roman;serif"/>
                <w:b/>
                <w:color w:val="000000"/>
                <w:sz w:val="18"/>
              </w:rPr>
            </w:pPr>
            <w:r>
              <w:rPr>
                <w:rFonts w:ascii="Times New Roman;serif" w:hAnsi="Times New Roman;serif"/>
                <w:b/>
                <w:color w:val="000000"/>
                <w:sz w:val="18"/>
              </w:rPr>
              <w:t>June 29,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300" w:before="0" w:after="283"/>
              <w:jc w:val="center"/>
              <w:rPr>
                <w:rFonts w:ascii="Times New Roman;serif" w:hAnsi="Times New Roman;serif"/>
                <w:b/>
                <w:color w:val="000000"/>
                <w:sz w:val="18"/>
              </w:rPr>
            </w:pPr>
            <w:r>
              <w:rPr>
                <w:rFonts w:ascii="Times New Roman;serif" w:hAnsi="Times New Roman;serif"/>
                <w:b/>
                <w:color w:val="000000"/>
                <w:sz w:val="18"/>
              </w:rPr>
              <w:t>Amount</w:t>
            </w:r>
          </w:p>
        </w:tc>
      </w:tr>
      <w:tr>
        <w:trPr/>
        <w:tc>
          <w:tcPr>
            <w:tcW w:w="2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3"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val="false"/>
                <w:color w:val="000000"/>
                <w:sz w:val="18"/>
              </w:rPr>
            </w:pPr>
            <w:r>
              <w:rPr>
                <w:rFonts w:ascii="Times New Roman;serif" w:hAnsi="Times New Roman;serif"/>
                <w:b w:val="false"/>
                <w:color w:val="000000"/>
                <w:sz w:val="18"/>
              </w:rPr>
              <w:t>(in thousands)</w:t>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Systems</w:t>
            </w:r>
          </w:p>
        </w:tc>
        <w:tc>
          <w:tcPr>
            <w:tcW w:w="212"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3"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282,250 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3"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144,161 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138,089 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Software maintenance and support</w:t>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14,596 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2,079 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12,517 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Operation services</w:t>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(1,357)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3,009 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(4,366)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Total gross profit</w:t>
            </w:r>
          </w:p>
        </w:tc>
        <w:tc>
          <w:tcPr>
            <w:tcW w:w="2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295,489 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149,249 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146,240 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Systems gross profit increased $138.1 million during the nine months ended June 28, 2025, as compared to the nine months ended June 29, 2024. The increase in Systems gross profit is primarily driven by 46 Systems in Deployment during the nine months ended June 28, 2025, as compared to 39 Systems in Deployment during the nine months ended June 29, 2024. The increase in Systems gross profit was further driven by lower cost of revenue resulting from better cost control.</w:t>
      </w:r>
    </w:p>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increase in Software Maintenance and Support gross profit is driven by the revenue from the additional Operational Systems which are under Software Maintenance and Support contracts for the nine months ended June 28, 2025, as compared to the nine months ended June 29, 2024, while costs to perform our Maintenance and Support Services remained relatively flat.</w:t>
      </w:r>
    </w:p>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decrease in Operation Services gross profit for the nine months ended June 28, 2025, as compared to the nine months ended June 29, 2024, is driven by an increase in Operation Services costs at certain of our customer sites, a decrease in the mix in the profit generated from the sale of spare parts to our customers, which was partially offset by additional training services provided to our customers, and services related to the ASR Acquisition.</w:t>
      </w:r>
    </w:p>
    <w:p>
      <w:pPr>
        <w:pStyle w:val="TextBody"/>
        <w:bidi w:val="0"/>
        <w:spacing w:lineRule="auto" w:line="288" w:before="120" w:after="60"/>
        <w:jc w:val="left"/>
        <w:rPr>
          <w:rFonts w:ascii="Times New Roman;serif" w:hAnsi="Times New Roman;serif"/>
          <w:b w:val="false"/>
          <w:i/>
          <w:color w:val="000000"/>
          <w:sz w:val="20"/>
        </w:rPr>
      </w:pPr>
      <w:r>
        <w:rPr>
          <w:rFonts w:ascii="Times New Roman;serif" w:hAnsi="Times New Roman;serif"/>
          <w:b w:val="false"/>
          <w:i/>
          <w:color w:val="000000"/>
          <w:sz w:val="20"/>
        </w:rPr>
        <w:t>Research and Development Expenses</w:t>
      </w:r>
    </w:p>
    <w:tbl>
      <w:tblPr>
        <w:tblW w:w="7325" w:type="dxa"/>
        <w:jc w:val="center"/>
        <w:tblInd w:w="0" w:type="dxa"/>
        <w:tblLayout w:type="fixed"/>
        <w:tblCellMar>
          <w:top w:w="28" w:type="dxa"/>
          <w:left w:w="28" w:type="dxa"/>
          <w:bottom w:w="28" w:type="dxa"/>
          <w:right w:w="28" w:type="dxa"/>
        </w:tblCellMar>
      </w:tblPr>
      <w:tblGrid>
        <w:gridCol w:w="843"/>
        <w:gridCol w:w="739"/>
        <w:gridCol w:w="743"/>
        <w:gridCol w:w="211"/>
        <w:gridCol w:w="721"/>
        <w:gridCol w:w="271"/>
        <w:gridCol w:w="109"/>
        <w:gridCol w:w="109"/>
        <w:gridCol w:w="109"/>
        <w:gridCol w:w="211"/>
        <w:gridCol w:w="721"/>
        <w:gridCol w:w="271"/>
        <w:gridCol w:w="109"/>
        <w:gridCol w:w="109"/>
        <w:gridCol w:w="109"/>
        <w:gridCol w:w="211"/>
        <w:gridCol w:w="616"/>
        <w:gridCol w:w="109"/>
        <w:gridCol w:w="109"/>
        <w:gridCol w:w="109"/>
        <w:gridCol w:w="109"/>
        <w:gridCol w:w="180"/>
        <w:gridCol w:w="181"/>
        <w:gridCol w:w="316"/>
      </w:tblGrid>
      <w:tr>
        <w:trPr/>
        <w:tc>
          <w:tcPr>
            <w:tcW w:w="843"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3" w:type="dxa"/>
            <w:gridSpan w:val="9"/>
            <w:tcBorders/>
            <w:tcMar>
              <w:top w:w="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8"/>
              </w:rPr>
            </w:pPr>
            <w:r>
              <w:rPr>
                <w:rFonts w:ascii="Times New Roman;serif" w:hAnsi="Times New Roman;serif"/>
                <w:b/>
                <w:color w:val="000000"/>
                <w:sz w:val="18"/>
              </w:rPr>
              <w:t>For the 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0" w:type="dxa"/>
            <w:gridSpan w:val="9"/>
            <w:tcBorders/>
            <w:tcMar>
              <w:top w:w="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8"/>
              </w:rPr>
            </w:pPr>
            <w:r>
              <w:rPr>
                <w:rFonts w:ascii="Times New Roman;serif" w:hAnsi="Times New Roman;serif"/>
                <w:b/>
                <w:color w:val="000000"/>
                <w:sz w:val="18"/>
              </w:rPr>
              <w:t>Change</w:t>
            </w:r>
          </w:p>
        </w:tc>
      </w:tr>
      <w:tr>
        <w:trPr/>
        <w:tc>
          <w:tcPr>
            <w:tcW w:w="2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8"/>
              </w:rPr>
            </w:pPr>
            <w:r>
              <w:rPr>
                <w:rFonts w:ascii="Times New Roman;serif" w:hAnsi="Times New Roman;serif"/>
                <w:b/>
                <w:color w:val="000000"/>
                <w:sz w:val="18"/>
              </w:rPr>
              <w:t>June 28,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300" w:before="0" w:after="283"/>
              <w:jc w:val="center"/>
              <w:rPr>
                <w:rFonts w:ascii="Times New Roman;serif" w:hAnsi="Times New Roman;serif"/>
                <w:b/>
                <w:color w:val="000000"/>
                <w:sz w:val="18"/>
              </w:rPr>
            </w:pPr>
            <w:r>
              <w:rPr>
                <w:rFonts w:ascii="Times New Roman;serif" w:hAnsi="Times New Roman;serif"/>
                <w:b/>
                <w:color w:val="000000"/>
                <w:sz w:val="18"/>
              </w:rPr>
              <w:t>June 29,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300"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300" w:before="0" w:after="283"/>
              <w:jc w:val="center"/>
              <w:rPr>
                <w:rFonts w:ascii="Times New Roman;serif" w:hAnsi="Times New Roman;serif"/>
                <w:b/>
                <w:color w:val="000000"/>
                <w:sz w:val="18"/>
              </w:rPr>
            </w:pPr>
            <w:r>
              <w:rPr>
                <w:rFonts w:ascii="Times New Roman;serif" w:hAnsi="Times New Roman;serif"/>
                <w:b/>
                <w:color w:val="000000"/>
                <w:sz w:val="18"/>
              </w:rPr>
              <w:t>%</w:t>
            </w:r>
          </w:p>
        </w:tc>
      </w:tr>
      <w:tr>
        <w:trPr/>
        <w:tc>
          <w:tcPr>
            <w:tcW w:w="2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0"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val="false"/>
                <w:color w:val="000000"/>
                <w:sz w:val="18"/>
              </w:rPr>
            </w:pPr>
            <w:r>
              <w:rPr>
                <w:rFonts w:ascii="Times New Roman;serif" w:hAnsi="Times New Roman;serif"/>
                <w:b w:val="false"/>
                <w:color w:val="000000"/>
                <w:sz w:val="18"/>
              </w:rPr>
              <w:t>(dollars in thousands)</w:t>
            </w:r>
          </w:p>
        </w:tc>
      </w:tr>
      <w:tr>
        <w:trPr/>
        <w:tc>
          <w:tcPr>
            <w:tcW w:w="2325"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211"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52,147 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44,722 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7,425 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316"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32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Percentage of total revenue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271"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271"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center"/>
        <w:rPr/>
      </w:pPr>
      <w:r>
        <w:rPr/>
      </w:r>
    </w:p>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increase in research and development expenses for the three months ended June 28, 2025, as compared to the three months ended June 29, 2024, is due to the following:</w:t>
      </w:r>
    </w:p>
    <w:tbl>
      <w:tblPr>
        <w:tblW w:w="6599" w:type="dxa"/>
        <w:jc w:val="center"/>
        <w:tblInd w:w="0" w:type="dxa"/>
        <w:tblLayout w:type="fixed"/>
        <w:tblCellMar>
          <w:top w:w="28" w:type="dxa"/>
          <w:left w:w="28" w:type="dxa"/>
          <w:bottom w:w="28" w:type="dxa"/>
          <w:right w:w="28" w:type="dxa"/>
        </w:tblCellMar>
      </w:tblPr>
      <w:tblGrid>
        <w:gridCol w:w="1965"/>
        <w:gridCol w:w="1730"/>
        <w:gridCol w:w="1735"/>
        <w:gridCol w:w="251"/>
        <w:gridCol w:w="735"/>
        <w:gridCol w:w="183"/>
      </w:tblGrid>
      <w:tr>
        <w:trPr/>
        <w:tc>
          <w:tcPr>
            <w:tcW w:w="1965" w:type="dxa"/>
            <w:tcBorders/>
            <w:vAlign w:val="center"/>
          </w:tcPr>
          <w:p>
            <w:pPr>
              <w:pStyle w:val="TableContents"/>
              <w:bidi w:val="0"/>
              <w:spacing w:before="0" w:after="283"/>
              <w:jc w:val="left"/>
              <w:rPr>
                <w:sz w:val="4"/>
                <w:szCs w:val="4"/>
              </w:rPr>
            </w:pPr>
            <w:r>
              <w:rPr>
                <w:sz w:val="4"/>
                <w:szCs w:val="4"/>
              </w:rPr>
            </w:r>
          </w:p>
        </w:tc>
        <w:tc>
          <w:tcPr>
            <w:tcW w:w="1730" w:type="dxa"/>
            <w:tcBorders/>
            <w:vAlign w:val="center"/>
          </w:tcPr>
          <w:p>
            <w:pPr>
              <w:pStyle w:val="TableContents"/>
              <w:bidi w:val="0"/>
              <w:spacing w:before="0" w:after="283"/>
              <w:jc w:val="left"/>
              <w:rPr>
                <w:sz w:val="4"/>
                <w:szCs w:val="4"/>
              </w:rPr>
            </w:pPr>
            <w:r>
              <w:rPr>
                <w:sz w:val="4"/>
                <w:szCs w:val="4"/>
              </w:rPr>
            </w:r>
          </w:p>
        </w:tc>
        <w:tc>
          <w:tcPr>
            <w:tcW w:w="1735"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r>
      <w:tr>
        <w:trPr/>
        <w:tc>
          <w:tcPr>
            <w:tcW w:w="54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8"/>
              </w:rPr>
            </w:pPr>
            <w:r>
              <w:rPr>
                <w:rFonts w:ascii="Times New Roman;serif" w:hAnsi="Times New Roman;serif"/>
                <w:b/>
                <w:color w:val="000000"/>
                <w:sz w:val="18"/>
              </w:rPr>
              <w:t>Change</w:t>
            </w:r>
          </w:p>
        </w:tc>
      </w:tr>
      <w:tr>
        <w:trPr/>
        <w:tc>
          <w:tcPr>
            <w:tcW w:w="54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val="false"/>
                <w:color w:val="000000"/>
                <w:sz w:val="18"/>
              </w:rPr>
            </w:pPr>
            <w:r>
              <w:rPr>
                <w:rFonts w:ascii="Times New Roman;serif" w:hAnsi="Times New Roman;serif"/>
                <w:b w:val="false"/>
                <w:color w:val="000000"/>
                <w:sz w:val="18"/>
              </w:rPr>
              <w:t>(in thousands)</w:t>
            </w:r>
          </w:p>
        </w:tc>
      </w:tr>
      <w:tr>
        <w:trPr/>
        <w:tc>
          <w:tcPr>
            <w:tcW w:w="543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Employee-related costs</w:t>
            </w:r>
          </w:p>
        </w:tc>
        <w:tc>
          <w:tcPr>
            <w:tcW w:w="251"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5"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(390)</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Prototyping-related costs, allocated overhead expenses, and other</w:t>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7,815 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7,425 </w:t>
            </w:r>
          </w:p>
        </w:tc>
        <w:tc>
          <w:tcPr>
            <w:tcW w:w="1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Employee-related costs decreased for the three months ended June 28, 2025, as compared to the three months ended June 29, 2024. The primary driver in the decrease to employee-related costs for the three months ended June 28, 2025, as compared to the three months ended June 29, 2024, was from an increase in engineering resources assigned to customer projects, which was primarily related to the 2025 MAA.</w:t>
      </w:r>
    </w:p>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Prototyping-related costs, allocated overhead expenses, and other expenses increased for the three months ended June 28, 2025, as compared to the three months ended June 29, 2024, primarily from an increase in amortization expense attributable to the intangible assets that we acquired through our asset and business combination transactions.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84785"/>
                <wp:effectExtent l="0" t="0" r="0" b="0"/>
                <wp:wrapNone/>
                <wp:docPr id="37" name="Frame37"/>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88" w:before="60" w:after="283"/>
        <w:ind w:left="0" w:right="0" w:firstLine="360"/>
        <w:jc w:val="left"/>
        <w:rPr/>
      </w:pPr>
      <w:hyperlink w:anchor="i123540df82f04e0eb97811cc101df5ff_7">
        <w:r>
          <w:rPr>
            <w:rStyle w:val="InternetLink"/>
            <w:rFonts w:ascii="Times New Roman;serif" w:hAnsi="Times New Roman;serif"/>
            <w:b w:val="false"/>
            <w:color w:val="0000FF"/>
            <w:sz w:val="20"/>
            <w:u w:val="single"/>
          </w:rPr>
          <w:t>Table of Contents</w:t>
        </w:r>
      </w:hyperlink>
    </w:p>
    <w:tbl>
      <w:tblPr>
        <w:tblW w:w="7640" w:type="dxa"/>
        <w:jc w:val="left"/>
        <w:tblInd w:w="0" w:type="dxa"/>
        <w:tblLayout w:type="fixed"/>
        <w:tblCellMar>
          <w:top w:w="28" w:type="dxa"/>
          <w:left w:w="28" w:type="dxa"/>
          <w:bottom w:w="28" w:type="dxa"/>
          <w:right w:w="28" w:type="dxa"/>
        </w:tblCellMar>
      </w:tblPr>
      <w:tblGrid>
        <w:gridCol w:w="843"/>
        <w:gridCol w:w="739"/>
        <w:gridCol w:w="743"/>
        <w:gridCol w:w="211"/>
        <w:gridCol w:w="826"/>
        <w:gridCol w:w="271"/>
        <w:gridCol w:w="109"/>
        <w:gridCol w:w="109"/>
        <w:gridCol w:w="109"/>
        <w:gridCol w:w="211"/>
        <w:gridCol w:w="826"/>
        <w:gridCol w:w="271"/>
        <w:gridCol w:w="109"/>
        <w:gridCol w:w="109"/>
        <w:gridCol w:w="109"/>
        <w:gridCol w:w="211"/>
        <w:gridCol w:w="721"/>
        <w:gridCol w:w="109"/>
        <w:gridCol w:w="109"/>
        <w:gridCol w:w="109"/>
        <w:gridCol w:w="109"/>
        <w:gridCol w:w="180"/>
        <w:gridCol w:w="181"/>
        <w:gridCol w:w="316"/>
      </w:tblGrid>
      <w:tr>
        <w:trPr/>
        <w:tc>
          <w:tcPr>
            <w:tcW w:w="843"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3" w:type="dxa"/>
            <w:gridSpan w:val="9"/>
            <w:tcBorders/>
            <w:tcMar>
              <w:top w:w="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8"/>
              </w:rPr>
            </w:pPr>
            <w:r>
              <w:rPr>
                <w:rFonts w:ascii="Times New Roman;serif" w:hAnsi="Times New Roman;serif"/>
                <w:b/>
                <w:color w:val="000000"/>
                <w:sz w:val="18"/>
              </w:rPr>
              <w:t>For the Nine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5" w:type="dxa"/>
            <w:gridSpan w:val="9"/>
            <w:tcBorders/>
            <w:tcMar>
              <w:top w:w="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8"/>
              </w:rPr>
            </w:pPr>
            <w:r>
              <w:rPr>
                <w:rFonts w:ascii="Times New Roman;serif" w:hAnsi="Times New Roman;serif"/>
                <w:b/>
                <w:color w:val="000000"/>
                <w:sz w:val="18"/>
              </w:rPr>
              <w:t>Change</w:t>
            </w:r>
          </w:p>
        </w:tc>
      </w:tr>
      <w:tr>
        <w:trPr/>
        <w:tc>
          <w:tcPr>
            <w:tcW w:w="2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8"/>
              </w:rPr>
            </w:pPr>
            <w:r>
              <w:rPr>
                <w:rFonts w:ascii="Times New Roman;serif" w:hAnsi="Times New Roman;serif"/>
                <w:b/>
                <w:color w:val="000000"/>
                <w:sz w:val="18"/>
              </w:rPr>
              <w:t>June 28,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300" w:before="0" w:after="283"/>
              <w:jc w:val="center"/>
              <w:rPr>
                <w:rFonts w:ascii="Times New Roman;serif" w:hAnsi="Times New Roman;serif"/>
                <w:b/>
                <w:color w:val="000000"/>
                <w:sz w:val="18"/>
              </w:rPr>
            </w:pPr>
            <w:r>
              <w:rPr>
                <w:rFonts w:ascii="Times New Roman;serif" w:hAnsi="Times New Roman;serif"/>
                <w:b/>
                <w:color w:val="000000"/>
                <w:sz w:val="18"/>
              </w:rPr>
              <w:t>June 29,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300"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300" w:before="0" w:after="283"/>
              <w:jc w:val="center"/>
              <w:rPr>
                <w:rFonts w:ascii="Times New Roman;serif" w:hAnsi="Times New Roman;serif"/>
                <w:b/>
                <w:color w:val="000000"/>
                <w:sz w:val="18"/>
              </w:rPr>
            </w:pPr>
            <w:r>
              <w:rPr>
                <w:rFonts w:ascii="Times New Roman;serif" w:hAnsi="Times New Roman;serif"/>
                <w:b/>
                <w:color w:val="000000"/>
                <w:sz w:val="18"/>
              </w:rPr>
              <w:t>%</w:t>
            </w:r>
          </w:p>
        </w:tc>
      </w:tr>
      <w:tr>
        <w:trPr/>
        <w:tc>
          <w:tcPr>
            <w:tcW w:w="2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5"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val="false"/>
                <w:color w:val="000000"/>
                <w:sz w:val="18"/>
              </w:rPr>
            </w:pPr>
            <w:r>
              <w:rPr>
                <w:rFonts w:ascii="Times New Roman;serif" w:hAnsi="Times New Roman;serif"/>
                <w:b w:val="false"/>
                <w:color w:val="000000"/>
                <w:sz w:val="18"/>
              </w:rPr>
              <w:t>(dollars in thousands)</w:t>
            </w:r>
          </w:p>
        </w:tc>
      </w:tr>
      <w:tr>
        <w:trPr/>
        <w:tc>
          <w:tcPr>
            <w:tcW w:w="2325"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211"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157,279 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133,327 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23,952 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316"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32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Percentage of total revenue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271"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271"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increase in research and development expenses for the nine months ended June 28, 2025, as compared to the nine months ended June 29, 2024, is due to the following:</w:t>
      </w:r>
    </w:p>
    <w:tbl>
      <w:tblPr>
        <w:tblW w:w="6600" w:type="dxa"/>
        <w:jc w:val="left"/>
        <w:tblInd w:w="0" w:type="dxa"/>
        <w:tblLayout w:type="fixed"/>
        <w:tblCellMar>
          <w:top w:w="28" w:type="dxa"/>
          <w:left w:w="28" w:type="dxa"/>
          <w:bottom w:w="28" w:type="dxa"/>
          <w:right w:w="28" w:type="dxa"/>
        </w:tblCellMar>
      </w:tblPr>
      <w:tblGrid>
        <w:gridCol w:w="1965"/>
        <w:gridCol w:w="1730"/>
        <w:gridCol w:w="1735"/>
        <w:gridCol w:w="227"/>
        <w:gridCol w:w="777"/>
        <w:gridCol w:w="166"/>
      </w:tblGrid>
      <w:tr>
        <w:trPr/>
        <w:tc>
          <w:tcPr>
            <w:tcW w:w="1965" w:type="dxa"/>
            <w:tcBorders/>
            <w:vAlign w:val="center"/>
          </w:tcPr>
          <w:p>
            <w:pPr>
              <w:pStyle w:val="TableContents"/>
              <w:bidi w:val="0"/>
              <w:spacing w:before="0" w:after="283"/>
              <w:jc w:val="left"/>
              <w:rPr>
                <w:sz w:val="4"/>
                <w:szCs w:val="4"/>
              </w:rPr>
            </w:pPr>
            <w:r>
              <w:rPr>
                <w:sz w:val="4"/>
                <w:szCs w:val="4"/>
              </w:rPr>
            </w:r>
          </w:p>
        </w:tc>
        <w:tc>
          <w:tcPr>
            <w:tcW w:w="1730" w:type="dxa"/>
            <w:tcBorders/>
            <w:vAlign w:val="center"/>
          </w:tcPr>
          <w:p>
            <w:pPr>
              <w:pStyle w:val="TableContents"/>
              <w:bidi w:val="0"/>
              <w:spacing w:before="0" w:after="283"/>
              <w:jc w:val="left"/>
              <w:rPr>
                <w:sz w:val="4"/>
                <w:szCs w:val="4"/>
              </w:rPr>
            </w:pPr>
            <w:r>
              <w:rPr>
                <w:sz w:val="4"/>
                <w:szCs w:val="4"/>
              </w:rPr>
            </w:r>
          </w:p>
        </w:tc>
        <w:tc>
          <w:tcPr>
            <w:tcW w:w="1735"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54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8"/>
              </w:rPr>
            </w:pPr>
            <w:r>
              <w:rPr>
                <w:rFonts w:ascii="Times New Roman;serif" w:hAnsi="Times New Roman;serif"/>
                <w:b/>
                <w:color w:val="000000"/>
                <w:sz w:val="18"/>
              </w:rPr>
              <w:t>Change</w:t>
            </w:r>
          </w:p>
        </w:tc>
      </w:tr>
      <w:tr>
        <w:trPr/>
        <w:tc>
          <w:tcPr>
            <w:tcW w:w="54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val="false"/>
                <w:color w:val="000000"/>
                <w:sz w:val="18"/>
              </w:rPr>
            </w:pPr>
            <w:r>
              <w:rPr>
                <w:rFonts w:ascii="Times New Roman;serif" w:hAnsi="Times New Roman;serif"/>
                <w:b w:val="false"/>
                <w:color w:val="000000"/>
                <w:sz w:val="18"/>
              </w:rPr>
              <w:t>(in thousands)</w:t>
            </w:r>
          </w:p>
        </w:tc>
      </w:tr>
      <w:tr>
        <w:trPr/>
        <w:tc>
          <w:tcPr>
            <w:tcW w:w="543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Employee-related costs</w:t>
            </w:r>
          </w:p>
        </w:tc>
        <w:tc>
          <w:tcPr>
            <w:tcW w:w="227"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7"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2,579 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Prototyping-related costs, allocated overhead expenses, and other</w:t>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21,373 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23,952 </w:t>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Employee-related costs increased for the nine months ended June 28, 2025, as compared to the nine months ended June 29, 2024. The primary driver for the increase in employee-related costs for the nine months ended June 28, 2025, as compared to the nine months ended June 29, 2024, is from an increase in engineering resources assigned to customer projects, which was primarily related to the 2025 MAA. There was also an increase in the cost for contractors and consultants for the nine months ended June 28, 2025, as compared to the nine months ended June 29, 2024, which we use to support our growth.</w:t>
      </w:r>
    </w:p>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Prototyping-related costs, allocated overhead expenses, and other expenses increased for the nine months ended June 28, 2025, as compared to the nine months ended June 29, 2024, primarily from an increase in prototype expenses as we implement efforts to expand our current product offerings, as well as an increase in amortization expense attributable to the intangible assets that we acquired through our asset and business combination transactions.</w:t>
      </w:r>
    </w:p>
    <w:p>
      <w:pPr>
        <w:pStyle w:val="TextBody"/>
        <w:bidi w:val="0"/>
        <w:spacing w:lineRule="auto" w:line="288" w:before="120" w:after="60"/>
        <w:jc w:val="left"/>
        <w:rPr>
          <w:rFonts w:ascii="Times New Roman;serif" w:hAnsi="Times New Roman;serif"/>
          <w:b w:val="false"/>
          <w:i/>
          <w:color w:val="000000"/>
          <w:sz w:val="20"/>
        </w:rPr>
      </w:pPr>
      <w:r>
        <w:rPr>
          <w:rFonts w:ascii="Times New Roman;serif" w:hAnsi="Times New Roman;serif"/>
          <w:b w:val="false"/>
          <w:i/>
          <w:color w:val="000000"/>
          <w:sz w:val="20"/>
        </w:rPr>
        <w:t>Selling, General, and Administrative Expenses</w:t>
      </w:r>
    </w:p>
    <w:tbl>
      <w:tblPr>
        <w:tblW w:w="8104" w:type="dxa"/>
        <w:jc w:val="center"/>
        <w:tblInd w:w="0" w:type="dxa"/>
        <w:tblLayout w:type="fixed"/>
        <w:tblCellMar>
          <w:top w:w="28" w:type="dxa"/>
          <w:left w:w="28" w:type="dxa"/>
          <w:bottom w:w="28" w:type="dxa"/>
          <w:right w:w="28" w:type="dxa"/>
        </w:tblCellMar>
      </w:tblPr>
      <w:tblGrid>
        <w:gridCol w:w="1087"/>
        <w:gridCol w:w="955"/>
        <w:gridCol w:w="957"/>
        <w:gridCol w:w="211"/>
        <w:gridCol w:w="721"/>
        <w:gridCol w:w="271"/>
        <w:gridCol w:w="109"/>
        <w:gridCol w:w="109"/>
        <w:gridCol w:w="109"/>
        <w:gridCol w:w="211"/>
        <w:gridCol w:w="721"/>
        <w:gridCol w:w="271"/>
        <w:gridCol w:w="109"/>
        <w:gridCol w:w="109"/>
        <w:gridCol w:w="109"/>
        <w:gridCol w:w="211"/>
        <w:gridCol w:w="721"/>
        <w:gridCol w:w="109"/>
        <w:gridCol w:w="109"/>
        <w:gridCol w:w="109"/>
        <w:gridCol w:w="109"/>
        <w:gridCol w:w="180"/>
        <w:gridCol w:w="181"/>
        <w:gridCol w:w="316"/>
      </w:tblGrid>
      <w:tr>
        <w:trPr/>
        <w:tc>
          <w:tcPr>
            <w:tcW w:w="1087"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95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3" w:type="dxa"/>
            <w:gridSpan w:val="9"/>
            <w:tcBorders/>
            <w:tcMar>
              <w:top w:w="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8"/>
              </w:rPr>
            </w:pPr>
            <w:r>
              <w:rPr>
                <w:rFonts w:ascii="Times New Roman;serif" w:hAnsi="Times New Roman;serif"/>
                <w:b/>
                <w:color w:val="000000"/>
                <w:sz w:val="18"/>
              </w:rPr>
              <w:t>For the 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5" w:type="dxa"/>
            <w:gridSpan w:val="9"/>
            <w:tcBorders/>
            <w:tcMar>
              <w:top w:w="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8"/>
              </w:rPr>
            </w:pPr>
            <w:r>
              <w:rPr>
                <w:rFonts w:ascii="Times New Roman;serif" w:hAnsi="Times New Roman;serif"/>
                <w:b/>
                <w:color w:val="000000"/>
                <w:sz w:val="18"/>
              </w:rPr>
              <w:t>Change</w:t>
            </w:r>
          </w:p>
        </w:tc>
      </w:tr>
      <w:tr>
        <w:trPr/>
        <w:tc>
          <w:tcPr>
            <w:tcW w:w="2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8"/>
              </w:rPr>
            </w:pPr>
            <w:r>
              <w:rPr>
                <w:rFonts w:ascii="Times New Roman;serif" w:hAnsi="Times New Roman;serif"/>
                <w:b/>
                <w:color w:val="000000"/>
                <w:sz w:val="18"/>
              </w:rPr>
              <w:t>June 28,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300" w:before="0" w:after="283"/>
              <w:jc w:val="center"/>
              <w:rPr>
                <w:rFonts w:ascii="Times New Roman;serif" w:hAnsi="Times New Roman;serif"/>
                <w:b/>
                <w:color w:val="000000"/>
                <w:sz w:val="18"/>
              </w:rPr>
            </w:pPr>
            <w:r>
              <w:rPr>
                <w:rFonts w:ascii="Times New Roman;serif" w:hAnsi="Times New Roman;serif"/>
                <w:b/>
                <w:color w:val="000000"/>
                <w:sz w:val="18"/>
              </w:rPr>
              <w:t>June 29,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300"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300" w:before="0" w:after="283"/>
              <w:jc w:val="center"/>
              <w:rPr>
                <w:rFonts w:ascii="Times New Roman;serif" w:hAnsi="Times New Roman;serif"/>
                <w:b/>
                <w:color w:val="000000"/>
                <w:sz w:val="18"/>
              </w:rPr>
            </w:pPr>
            <w:r>
              <w:rPr>
                <w:rFonts w:ascii="Times New Roman;serif" w:hAnsi="Times New Roman;serif"/>
                <w:b/>
                <w:color w:val="000000"/>
                <w:sz w:val="18"/>
              </w:rPr>
              <w:t>%</w:t>
            </w:r>
          </w:p>
        </w:tc>
      </w:tr>
      <w:tr>
        <w:trPr/>
        <w:tc>
          <w:tcPr>
            <w:tcW w:w="2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5"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val="false"/>
                <w:color w:val="000000"/>
                <w:sz w:val="18"/>
              </w:rPr>
            </w:pPr>
            <w:r>
              <w:rPr>
                <w:rFonts w:ascii="Times New Roman;serif" w:hAnsi="Times New Roman;serif"/>
                <w:b w:val="false"/>
                <w:color w:val="000000"/>
                <w:sz w:val="18"/>
              </w:rPr>
              <w:t>(dollars in thousands)</w:t>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211"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75,670 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47,871 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27,799 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316"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Percentage of total revenue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271"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271"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center"/>
        <w:rPr/>
      </w:pPr>
      <w:r>
        <w:rPr/>
      </w:r>
    </w:p>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increase in selling, general, and administrative expenses for the three months ended June 28, 2025, as compared to the three months ended June 29, 2024, is due to the following: </w:t>
      </w:r>
    </w:p>
    <w:tbl>
      <w:tblPr>
        <w:tblW w:w="4469" w:type="dxa"/>
        <w:jc w:val="center"/>
        <w:tblInd w:w="0" w:type="dxa"/>
        <w:tblLayout w:type="fixed"/>
        <w:tblCellMar>
          <w:top w:w="28" w:type="dxa"/>
          <w:left w:w="28" w:type="dxa"/>
          <w:bottom w:w="28" w:type="dxa"/>
          <w:right w:w="28" w:type="dxa"/>
        </w:tblCellMar>
      </w:tblPr>
      <w:tblGrid>
        <w:gridCol w:w="1194"/>
        <w:gridCol w:w="1051"/>
        <w:gridCol w:w="1054"/>
        <w:gridCol w:w="227"/>
        <w:gridCol w:w="777"/>
        <w:gridCol w:w="166"/>
      </w:tblGrid>
      <w:tr>
        <w:trPr/>
        <w:tc>
          <w:tcPr>
            <w:tcW w:w="1194"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8"/>
              </w:rPr>
            </w:pPr>
            <w:r>
              <w:rPr>
                <w:rFonts w:ascii="Times New Roman;serif" w:hAnsi="Times New Roman;serif"/>
                <w:b/>
                <w:color w:val="000000"/>
                <w:sz w:val="18"/>
              </w:rPr>
              <w:t>Change</w:t>
            </w:r>
          </w:p>
        </w:tc>
      </w:tr>
      <w:tr>
        <w:trPr/>
        <w:tc>
          <w:tcPr>
            <w:tcW w:w="32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val="false"/>
                <w:color w:val="000000"/>
                <w:sz w:val="18"/>
              </w:rPr>
            </w:pPr>
            <w:r>
              <w:rPr>
                <w:rFonts w:ascii="Times New Roman;serif" w:hAnsi="Times New Roman;serif"/>
                <w:b w:val="false"/>
                <w:color w:val="000000"/>
                <w:sz w:val="18"/>
              </w:rPr>
              <w:t>(in thousands)</w:t>
            </w:r>
          </w:p>
        </w:tc>
      </w:tr>
      <w:tr>
        <w:trPr/>
        <w:tc>
          <w:tcPr>
            <w:tcW w:w="329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Employee-related costs</w:t>
            </w:r>
          </w:p>
        </w:tc>
        <w:tc>
          <w:tcPr>
            <w:tcW w:w="227"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7"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24,895 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Allocated overhead expenses and other</w:t>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2,904 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27,799 </w:t>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Employee-related costs increased in the three months ended June 28, 2025, as compared to the three months ended June 29, 2024, primarily as a result of our full-time employee and contractor headcount growth within our selling, general, and administrative functions. We increased our headcount primarily to support our rapid acceleration of System Deployments and business transformation. We incurred incremental costs related to building both shorter-term as well as permanent processes and infrastructure to ramp partnerships and operations.</w:t>
      </w:r>
    </w:p>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Allocated overhead and other expenses increased in the three months ended June 28, 2025, as compared to the three months ended June 29, 2024, primarily due to an increase in information technology related costs to support growth within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84785"/>
                <wp:effectExtent l="0" t="0" r="0" b="0"/>
                <wp:wrapNone/>
                <wp:docPr id="38" name="Frame38"/>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88" w:before="60" w:after="283"/>
        <w:ind w:left="0" w:right="0" w:firstLine="360"/>
        <w:jc w:val="left"/>
        <w:rPr/>
      </w:pPr>
      <w:hyperlink w:anchor="i123540df82f04e0eb97811cc101df5ff_7">
        <w:r>
          <w:rPr>
            <w:rStyle w:val="InternetLink"/>
            <w:rFonts w:ascii="Times New Roman;serif" w:hAnsi="Times New Roman;serif"/>
            <w:b w:val="false"/>
            <w:color w:val="0000FF"/>
            <w:sz w:val="20"/>
            <w:u w:val="single"/>
          </w:rPr>
          <w:t>Table of Contents</w:t>
        </w:r>
      </w:hyperlink>
    </w:p>
    <w:p>
      <w:pPr>
        <w:pStyle w:val="TextBody"/>
        <w:bidi w:val="0"/>
        <w:spacing w:lineRule="auto" w:line="288" w:before="60" w:after="283"/>
        <w:jc w:val="left"/>
        <w:rPr>
          <w:rFonts w:ascii="Times New Roman;serif" w:hAnsi="Times New Roman;serif"/>
          <w:b w:val="false"/>
          <w:color w:val="000000"/>
          <w:sz w:val="20"/>
        </w:rPr>
      </w:pPr>
      <w:r>
        <w:rPr>
          <w:rFonts w:ascii="Times New Roman;serif" w:hAnsi="Times New Roman;serif"/>
          <w:b w:val="false"/>
          <w:color w:val="000000"/>
          <w:sz w:val="20"/>
        </w:rPr>
        <w:t>our employee base and infrastructure, as well as an increase in legal expenses, primarily attributable to increased professional services fees related to strategic acquisitions and our internal controls remediation.</w:t>
      </w:r>
    </w:p>
    <w:tbl>
      <w:tblPr>
        <w:tblW w:w="8314" w:type="dxa"/>
        <w:jc w:val="left"/>
        <w:tblInd w:w="0" w:type="dxa"/>
        <w:tblLayout w:type="fixed"/>
        <w:tblCellMar>
          <w:top w:w="28" w:type="dxa"/>
          <w:left w:w="28" w:type="dxa"/>
          <w:bottom w:w="28" w:type="dxa"/>
          <w:right w:w="28" w:type="dxa"/>
        </w:tblCellMar>
      </w:tblPr>
      <w:tblGrid>
        <w:gridCol w:w="1087"/>
        <w:gridCol w:w="955"/>
        <w:gridCol w:w="957"/>
        <w:gridCol w:w="211"/>
        <w:gridCol w:w="826"/>
        <w:gridCol w:w="271"/>
        <w:gridCol w:w="109"/>
        <w:gridCol w:w="109"/>
        <w:gridCol w:w="109"/>
        <w:gridCol w:w="211"/>
        <w:gridCol w:w="826"/>
        <w:gridCol w:w="271"/>
        <w:gridCol w:w="109"/>
        <w:gridCol w:w="109"/>
        <w:gridCol w:w="109"/>
        <w:gridCol w:w="211"/>
        <w:gridCol w:w="721"/>
        <w:gridCol w:w="109"/>
        <w:gridCol w:w="109"/>
        <w:gridCol w:w="109"/>
        <w:gridCol w:w="109"/>
        <w:gridCol w:w="180"/>
        <w:gridCol w:w="181"/>
        <w:gridCol w:w="316"/>
      </w:tblGrid>
      <w:tr>
        <w:trPr/>
        <w:tc>
          <w:tcPr>
            <w:tcW w:w="1087"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95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3" w:type="dxa"/>
            <w:gridSpan w:val="9"/>
            <w:tcBorders/>
            <w:tcMar>
              <w:top w:w="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8"/>
              </w:rPr>
            </w:pPr>
            <w:r>
              <w:rPr>
                <w:rFonts w:ascii="Times New Roman;serif" w:hAnsi="Times New Roman;serif"/>
                <w:b/>
                <w:color w:val="000000"/>
                <w:sz w:val="18"/>
              </w:rPr>
              <w:t>For the Nine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5" w:type="dxa"/>
            <w:gridSpan w:val="9"/>
            <w:tcBorders/>
            <w:tcMar>
              <w:top w:w="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8"/>
              </w:rPr>
            </w:pPr>
            <w:r>
              <w:rPr>
                <w:rFonts w:ascii="Times New Roman;serif" w:hAnsi="Times New Roman;serif"/>
                <w:b/>
                <w:color w:val="000000"/>
                <w:sz w:val="18"/>
              </w:rPr>
              <w:t>Change</w:t>
            </w:r>
          </w:p>
        </w:tc>
      </w:tr>
      <w:tr>
        <w:trPr/>
        <w:tc>
          <w:tcPr>
            <w:tcW w:w="2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8"/>
              </w:rPr>
            </w:pPr>
            <w:r>
              <w:rPr>
                <w:rFonts w:ascii="Times New Roman;serif" w:hAnsi="Times New Roman;serif"/>
                <w:b/>
                <w:color w:val="000000"/>
                <w:sz w:val="18"/>
              </w:rPr>
              <w:t>June 28,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300" w:before="0" w:after="283"/>
              <w:jc w:val="center"/>
              <w:rPr>
                <w:rFonts w:ascii="Times New Roman;serif" w:hAnsi="Times New Roman;serif"/>
                <w:b/>
                <w:color w:val="000000"/>
                <w:sz w:val="18"/>
              </w:rPr>
            </w:pPr>
            <w:r>
              <w:rPr>
                <w:rFonts w:ascii="Times New Roman;serif" w:hAnsi="Times New Roman;serif"/>
                <w:b/>
                <w:color w:val="000000"/>
                <w:sz w:val="18"/>
              </w:rPr>
              <w:t>June 29,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300"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300" w:before="0" w:after="283"/>
              <w:jc w:val="center"/>
              <w:rPr>
                <w:rFonts w:ascii="Times New Roman;serif" w:hAnsi="Times New Roman;serif"/>
                <w:b/>
                <w:color w:val="000000"/>
                <w:sz w:val="18"/>
              </w:rPr>
            </w:pPr>
            <w:r>
              <w:rPr>
                <w:rFonts w:ascii="Times New Roman;serif" w:hAnsi="Times New Roman;serif"/>
                <w:b/>
                <w:color w:val="000000"/>
                <w:sz w:val="18"/>
              </w:rPr>
              <w:t>%</w:t>
            </w:r>
          </w:p>
        </w:tc>
      </w:tr>
      <w:tr>
        <w:trPr/>
        <w:tc>
          <w:tcPr>
            <w:tcW w:w="2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5"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val="false"/>
                <w:color w:val="000000"/>
                <w:sz w:val="18"/>
              </w:rPr>
            </w:pPr>
            <w:r>
              <w:rPr>
                <w:rFonts w:ascii="Times New Roman;serif" w:hAnsi="Times New Roman;serif"/>
                <w:b w:val="false"/>
                <w:color w:val="000000"/>
                <w:sz w:val="18"/>
              </w:rPr>
              <w:t>(dollars in thousands)</w:t>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211"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215,092 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143,535 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71,557 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316"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Percentage of total revenue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271"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271"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increase in selling, general, and administrative expenses for the nine months ended June 28, 2025, as compared to the nine months ended June 29, 2024, is due to the following: </w:t>
      </w:r>
    </w:p>
    <w:tbl>
      <w:tblPr>
        <w:tblW w:w="4469" w:type="dxa"/>
        <w:jc w:val="left"/>
        <w:tblInd w:w="0" w:type="dxa"/>
        <w:tblLayout w:type="fixed"/>
        <w:tblCellMar>
          <w:top w:w="28" w:type="dxa"/>
          <w:left w:w="28" w:type="dxa"/>
          <w:bottom w:w="28" w:type="dxa"/>
          <w:right w:w="28" w:type="dxa"/>
        </w:tblCellMar>
      </w:tblPr>
      <w:tblGrid>
        <w:gridCol w:w="1194"/>
        <w:gridCol w:w="1051"/>
        <w:gridCol w:w="1054"/>
        <w:gridCol w:w="227"/>
        <w:gridCol w:w="777"/>
        <w:gridCol w:w="166"/>
      </w:tblGrid>
      <w:tr>
        <w:trPr/>
        <w:tc>
          <w:tcPr>
            <w:tcW w:w="1194"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8"/>
              </w:rPr>
            </w:pPr>
            <w:r>
              <w:rPr>
                <w:rFonts w:ascii="Times New Roman;serif" w:hAnsi="Times New Roman;serif"/>
                <w:b/>
                <w:color w:val="000000"/>
                <w:sz w:val="18"/>
              </w:rPr>
              <w:t>Change</w:t>
            </w:r>
          </w:p>
        </w:tc>
      </w:tr>
      <w:tr>
        <w:trPr/>
        <w:tc>
          <w:tcPr>
            <w:tcW w:w="32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val="false"/>
                <w:color w:val="000000"/>
                <w:sz w:val="18"/>
              </w:rPr>
            </w:pPr>
            <w:r>
              <w:rPr>
                <w:rFonts w:ascii="Times New Roman;serif" w:hAnsi="Times New Roman;serif"/>
                <w:b w:val="false"/>
                <w:color w:val="000000"/>
                <w:sz w:val="18"/>
              </w:rPr>
              <w:t>(in thousands)</w:t>
            </w:r>
          </w:p>
        </w:tc>
      </w:tr>
      <w:tr>
        <w:trPr/>
        <w:tc>
          <w:tcPr>
            <w:tcW w:w="329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Employee-related costs</w:t>
            </w:r>
          </w:p>
        </w:tc>
        <w:tc>
          <w:tcPr>
            <w:tcW w:w="227"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7"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51,448 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Allocated overhead expenses and other</w:t>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20,109 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71,557 </w:t>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Employee-related costs increased in the nine months ended June 28, 2025, as compared to the nine months ended June 29, 2024, primarily as a result of our full-time employee and contractor headcount growth within our selling, general, and administrative functions. We increased our headcount primarily to support our rapid acceleration of System Deployments and business transformation. We incurred incremental costs related to building both shorter-term as well as permanent processes and infrastructure to ramp partnerships and operations.</w:t>
      </w:r>
    </w:p>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Allocated overhead and other expenses increased in the nine months ended June 28, 2025, as compared to the nine months ended June 29, 2024, primarily due to an increase in information technology related costs to support growth within our employee base and infrastructure, as well as an increase in audit, tax, and legal expenses, primarily attributable to increased professional services fees related to strategic acquisitions and our internal controls remediation.</w:t>
      </w:r>
    </w:p>
    <w:p>
      <w:pPr>
        <w:pStyle w:val="TextBody"/>
        <w:bidi w:val="0"/>
        <w:spacing w:lineRule="auto" w:line="288" w:before="120" w:after="60"/>
        <w:jc w:val="left"/>
        <w:rPr>
          <w:rFonts w:ascii="Times New Roman;serif" w:hAnsi="Times New Roman;serif"/>
          <w:b w:val="false"/>
          <w:i/>
          <w:color w:val="000000"/>
          <w:sz w:val="20"/>
        </w:rPr>
      </w:pPr>
      <w:r>
        <w:rPr>
          <w:rFonts w:ascii="Times New Roman;serif" w:hAnsi="Times New Roman;serif"/>
          <w:b w:val="false"/>
          <w:i/>
          <w:color w:val="000000"/>
          <w:sz w:val="20"/>
        </w:rPr>
        <w:t>Restructuring Charges</w:t>
      </w:r>
    </w:p>
    <w:tbl>
      <w:tblPr>
        <w:tblW w:w="7485" w:type="dxa"/>
        <w:jc w:val="left"/>
        <w:tblInd w:w="0" w:type="dxa"/>
        <w:tblLayout w:type="fixed"/>
        <w:tblCellMar>
          <w:top w:w="28" w:type="dxa"/>
          <w:left w:w="28" w:type="dxa"/>
          <w:bottom w:w="28" w:type="dxa"/>
          <w:right w:w="28" w:type="dxa"/>
        </w:tblCellMar>
      </w:tblPr>
      <w:tblGrid>
        <w:gridCol w:w="842"/>
        <w:gridCol w:w="740"/>
        <w:gridCol w:w="742"/>
        <w:gridCol w:w="211"/>
        <w:gridCol w:w="721"/>
        <w:gridCol w:w="271"/>
        <w:gridCol w:w="109"/>
        <w:gridCol w:w="109"/>
        <w:gridCol w:w="109"/>
        <w:gridCol w:w="274"/>
        <w:gridCol w:w="528"/>
        <w:gridCol w:w="352"/>
        <w:gridCol w:w="109"/>
        <w:gridCol w:w="109"/>
        <w:gridCol w:w="109"/>
        <w:gridCol w:w="211"/>
        <w:gridCol w:w="721"/>
        <w:gridCol w:w="109"/>
        <w:gridCol w:w="109"/>
        <w:gridCol w:w="109"/>
        <w:gridCol w:w="109"/>
        <w:gridCol w:w="233"/>
        <w:gridCol w:w="233"/>
        <w:gridCol w:w="316"/>
      </w:tblGrid>
      <w:tr>
        <w:trPr/>
        <w:tc>
          <w:tcPr>
            <w:tcW w:w="842"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4" w:type="dxa"/>
            <w:gridSpan w:val="9"/>
            <w:tcBorders/>
            <w:tcMar>
              <w:top w:w="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8"/>
              </w:rPr>
            </w:pPr>
            <w:r>
              <w:rPr>
                <w:rFonts w:ascii="Times New Roman;serif" w:hAnsi="Times New Roman;serif"/>
                <w:b/>
                <w:color w:val="000000"/>
                <w:sz w:val="18"/>
              </w:rPr>
              <w:t>For the 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0" w:type="dxa"/>
            <w:gridSpan w:val="9"/>
            <w:tcBorders/>
            <w:tcMar>
              <w:top w:w="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8"/>
              </w:rPr>
            </w:pPr>
            <w:r>
              <w:rPr>
                <w:rFonts w:ascii="Times New Roman;serif" w:hAnsi="Times New Roman;serif"/>
                <w:b/>
                <w:color w:val="000000"/>
                <w:sz w:val="18"/>
              </w:rPr>
              <w:t>Change</w:t>
            </w:r>
          </w:p>
        </w:tc>
      </w:tr>
      <w:tr>
        <w:trPr/>
        <w:tc>
          <w:tcPr>
            <w:tcW w:w="2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8"/>
              </w:rPr>
            </w:pPr>
            <w:r>
              <w:rPr>
                <w:rFonts w:ascii="Times New Roman;serif" w:hAnsi="Times New Roman;serif"/>
                <w:b/>
                <w:color w:val="000000"/>
                <w:sz w:val="18"/>
              </w:rPr>
              <w:t>June 28,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300" w:before="0" w:after="283"/>
              <w:jc w:val="center"/>
              <w:rPr>
                <w:rFonts w:ascii="Times New Roman;serif" w:hAnsi="Times New Roman;serif"/>
                <w:b/>
                <w:color w:val="000000"/>
                <w:sz w:val="18"/>
              </w:rPr>
            </w:pPr>
            <w:r>
              <w:rPr>
                <w:rFonts w:ascii="Times New Roman;serif" w:hAnsi="Times New Roman;serif"/>
                <w:b/>
                <w:color w:val="000000"/>
                <w:sz w:val="18"/>
              </w:rPr>
              <w:t>June 29,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300"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300" w:before="0" w:after="283"/>
              <w:jc w:val="center"/>
              <w:rPr>
                <w:rFonts w:ascii="Times New Roman;serif" w:hAnsi="Times New Roman;serif"/>
                <w:b/>
                <w:color w:val="000000"/>
                <w:sz w:val="18"/>
              </w:rPr>
            </w:pPr>
            <w:r>
              <w:rPr>
                <w:rFonts w:ascii="Times New Roman;serif" w:hAnsi="Times New Roman;serif"/>
                <w:b/>
                <w:color w:val="000000"/>
                <w:sz w:val="18"/>
              </w:rPr>
              <w:t>%</w:t>
            </w:r>
          </w:p>
        </w:tc>
      </w:tr>
      <w:tr>
        <w:trPr/>
        <w:tc>
          <w:tcPr>
            <w:tcW w:w="2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1"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val="false"/>
                <w:color w:val="000000"/>
                <w:sz w:val="18"/>
              </w:rPr>
            </w:pPr>
            <w:r>
              <w:rPr>
                <w:rFonts w:ascii="Times New Roman;serif" w:hAnsi="Times New Roman;serif"/>
                <w:b w:val="false"/>
                <w:color w:val="000000"/>
                <w:sz w:val="18"/>
              </w:rPr>
              <w:t>(dollars in thousands)</w:t>
            </w:r>
          </w:p>
        </w:tc>
      </w:tr>
      <w:tr>
        <w:trPr/>
        <w:tc>
          <w:tcPr>
            <w:tcW w:w="232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Charges</w:t>
            </w:r>
          </w:p>
        </w:tc>
        <w:tc>
          <w:tcPr>
            <w:tcW w:w="211"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16,361 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8"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3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16,361 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316"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32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Percentage of total revenue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271"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352"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incurred $16.4 million of restructuring charges for the three months ended June 28, 2025 resulting from severance and other benefits expense primarily related to the reduction of workforce across all areas of the employees that joined the Company’s workforce in connection with the ASR Acquisition.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84785"/>
                <wp:effectExtent l="0" t="0" r="0" b="0"/>
                <wp:wrapNone/>
                <wp:docPr id="39" name="Frame39"/>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88" w:before="60" w:after="283"/>
        <w:ind w:left="0" w:right="0" w:firstLine="360"/>
        <w:jc w:val="left"/>
        <w:rPr/>
      </w:pPr>
      <w:hyperlink w:anchor="i123540df82f04e0eb97811cc101df5ff_7">
        <w:r>
          <w:rPr>
            <w:rStyle w:val="InternetLink"/>
            <w:rFonts w:ascii="Times New Roman;serif" w:hAnsi="Times New Roman;serif"/>
            <w:b w:val="false"/>
            <w:color w:val="0000FF"/>
            <w:sz w:val="20"/>
            <w:u w:val="single"/>
          </w:rPr>
          <w:t>Table of Contents</w:t>
        </w:r>
      </w:hyperlink>
    </w:p>
    <w:tbl>
      <w:tblPr>
        <w:tblW w:w="7485" w:type="dxa"/>
        <w:jc w:val="left"/>
        <w:tblInd w:w="0" w:type="dxa"/>
        <w:tblLayout w:type="fixed"/>
        <w:tblCellMar>
          <w:top w:w="28" w:type="dxa"/>
          <w:left w:w="28" w:type="dxa"/>
          <w:bottom w:w="28" w:type="dxa"/>
          <w:right w:w="28" w:type="dxa"/>
        </w:tblCellMar>
      </w:tblPr>
      <w:tblGrid>
        <w:gridCol w:w="842"/>
        <w:gridCol w:w="740"/>
        <w:gridCol w:w="742"/>
        <w:gridCol w:w="211"/>
        <w:gridCol w:w="721"/>
        <w:gridCol w:w="271"/>
        <w:gridCol w:w="109"/>
        <w:gridCol w:w="109"/>
        <w:gridCol w:w="109"/>
        <w:gridCol w:w="274"/>
        <w:gridCol w:w="528"/>
        <w:gridCol w:w="352"/>
        <w:gridCol w:w="109"/>
        <w:gridCol w:w="109"/>
        <w:gridCol w:w="109"/>
        <w:gridCol w:w="211"/>
        <w:gridCol w:w="721"/>
        <w:gridCol w:w="109"/>
        <w:gridCol w:w="109"/>
        <w:gridCol w:w="109"/>
        <w:gridCol w:w="109"/>
        <w:gridCol w:w="233"/>
        <w:gridCol w:w="233"/>
        <w:gridCol w:w="316"/>
      </w:tblGrid>
      <w:tr>
        <w:trPr/>
        <w:tc>
          <w:tcPr>
            <w:tcW w:w="842"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4" w:type="dxa"/>
            <w:gridSpan w:val="9"/>
            <w:tcBorders/>
            <w:tcMar>
              <w:top w:w="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8"/>
              </w:rPr>
            </w:pPr>
            <w:r>
              <w:rPr>
                <w:rFonts w:ascii="Times New Roman;serif" w:hAnsi="Times New Roman;serif"/>
                <w:b/>
                <w:color w:val="000000"/>
                <w:sz w:val="18"/>
              </w:rPr>
              <w:t>For the Nine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0" w:type="dxa"/>
            <w:gridSpan w:val="9"/>
            <w:tcBorders/>
            <w:tcMar>
              <w:top w:w="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8"/>
              </w:rPr>
            </w:pPr>
            <w:r>
              <w:rPr>
                <w:rFonts w:ascii="Times New Roman;serif" w:hAnsi="Times New Roman;serif"/>
                <w:b/>
                <w:color w:val="000000"/>
                <w:sz w:val="18"/>
              </w:rPr>
              <w:t>Change</w:t>
            </w:r>
          </w:p>
        </w:tc>
      </w:tr>
      <w:tr>
        <w:trPr/>
        <w:tc>
          <w:tcPr>
            <w:tcW w:w="2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8"/>
              </w:rPr>
            </w:pPr>
            <w:r>
              <w:rPr>
                <w:rFonts w:ascii="Times New Roman;serif" w:hAnsi="Times New Roman;serif"/>
                <w:b/>
                <w:color w:val="000000"/>
                <w:sz w:val="18"/>
              </w:rPr>
              <w:t>June 28,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300" w:before="0" w:after="283"/>
              <w:jc w:val="center"/>
              <w:rPr>
                <w:rFonts w:ascii="Times New Roman;serif" w:hAnsi="Times New Roman;serif"/>
                <w:b/>
                <w:color w:val="000000"/>
                <w:sz w:val="18"/>
              </w:rPr>
            </w:pPr>
            <w:r>
              <w:rPr>
                <w:rFonts w:ascii="Times New Roman;serif" w:hAnsi="Times New Roman;serif"/>
                <w:b/>
                <w:color w:val="000000"/>
                <w:sz w:val="18"/>
              </w:rPr>
              <w:t>June 29,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300"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300" w:before="0" w:after="283"/>
              <w:jc w:val="center"/>
              <w:rPr>
                <w:rFonts w:ascii="Times New Roman;serif" w:hAnsi="Times New Roman;serif"/>
                <w:b/>
                <w:color w:val="000000"/>
                <w:sz w:val="18"/>
              </w:rPr>
            </w:pPr>
            <w:r>
              <w:rPr>
                <w:rFonts w:ascii="Times New Roman;serif" w:hAnsi="Times New Roman;serif"/>
                <w:b/>
                <w:color w:val="000000"/>
                <w:sz w:val="18"/>
              </w:rPr>
              <w:t>%</w:t>
            </w:r>
          </w:p>
        </w:tc>
      </w:tr>
      <w:tr>
        <w:trPr/>
        <w:tc>
          <w:tcPr>
            <w:tcW w:w="2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1"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val="false"/>
                <w:color w:val="000000"/>
                <w:sz w:val="18"/>
              </w:rPr>
            </w:pPr>
            <w:r>
              <w:rPr>
                <w:rFonts w:ascii="Times New Roman;serif" w:hAnsi="Times New Roman;serif"/>
                <w:b w:val="false"/>
                <w:color w:val="000000"/>
                <w:sz w:val="18"/>
              </w:rPr>
              <w:t>(dollars in thousands)</w:t>
            </w:r>
          </w:p>
        </w:tc>
      </w:tr>
      <w:tr>
        <w:trPr/>
        <w:tc>
          <w:tcPr>
            <w:tcW w:w="232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Charges</w:t>
            </w:r>
          </w:p>
        </w:tc>
        <w:tc>
          <w:tcPr>
            <w:tcW w:w="211"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16,361 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8"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3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16,361 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316"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32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Percentage of total revenue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271"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352"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incurred $16.4 million of restructuring charges for the nine months ended June 28, 2025 resulting from severance and other benefits expense primarily related to the reduction of workforce across all areas of the employees that joined the Company’s workforce in connection with the ASR Acquisition.</w:t>
      </w:r>
    </w:p>
    <w:p>
      <w:pPr>
        <w:pStyle w:val="TextBody"/>
        <w:bidi w:val="0"/>
        <w:spacing w:lineRule="auto" w:line="288" w:before="120" w:after="60"/>
        <w:jc w:val="left"/>
        <w:rPr>
          <w:rFonts w:ascii="Times New Roman;serif" w:hAnsi="Times New Roman;serif"/>
          <w:b w:val="false"/>
          <w:i/>
          <w:color w:val="000000"/>
          <w:sz w:val="20"/>
        </w:rPr>
      </w:pPr>
      <w:r>
        <w:rPr>
          <w:rFonts w:ascii="Times New Roman;serif" w:hAnsi="Times New Roman;serif"/>
          <w:b w:val="false"/>
          <w:i/>
          <w:color w:val="000000"/>
          <w:sz w:val="20"/>
        </w:rPr>
        <w:t>Other income, net</w:t>
      </w:r>
    </w:p>
    <w:tbl>
      <w:tblPr>
        <w:tblW w:w="7427" w:type="dxa"/>
        <w:jc w:val="center"/>
        <w:tblInd w:w="0" w:type="dxa"/>
        <w:tblLayout w:type="fixed"/>
        <w:tblCellMar>
          <w:top w:w="28" w:type="dxa"/>
          <w:left w:w="28" w:type="dxa"/>
          <w:bottom w:w="28" w:type="dxa"/>
          <w:right w:w="28" w:type="dxa"/>
        </w:tblCellMar>
      </w:tblPr>
      <w:tblGrid>
        <w:gridCol w:w="840"/>
        <w:gridCol w:w="741"/>
        <w:gridCol w:w="744"/>
        <w:gridCol w:w="222"/>
        <w:gridCol w:w="648"/>
        <w:gridCol w:w="285"/>
        <w:gridCol w:w="109"/>
        <w:gridCol w:w="109"/>
        <w:gridCol w:w="109"/>
        <w:gridCol w:w="211"/>
        <w:gridCol w:w="721"/>
        <w:gridCol w:w="271"/>
        <w:gridCol w:w="109"/>
        <w:gridCol w:w="109"/>
        <w:gridCol w:w="109"/>
        <w:gridCol w:w="211"/>
        <w:gridCol w:w="691"/>
        <w:gridCol w:w="109"/>
        <w:gridCol w:w="109"/>
        <w:gridCol w:w="109"/>
        <w:gridCol w:w="109"/>
        <w:gridCol w:w="218"/>
        <w:gridCol w:w="218"/>
        <w:gridCol w:w="316"/>
      </w:tblGrid>
      <w:tr>
        <w:trPr/>
        <w:tc>
          <w:tcPr>
            <w:tcW w:w="840"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5" w:type="dxa"/>
            <w:gridSpan w:val="9"/>
            <w:tcBorders/>
            <w:tcMar>
              <w:top w:w="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8"/>
              </w:rPr>
            </w:pPr>
            <w:r>
              <w:rPr>
                <w:rFonts w:ascii="Times New Roman;serif" w:hAnsi="Times New Roman;serif"/>
                <w:b/>
                <w:color w:val="000000"/>
                <w:sz w:val="18"/>
              </w:rPr>
              <w:t>For the 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0" w:type="dxa"/>
            <w:gridSpan w:val="9"/>
            <w:tcBorders/>
            <w:tcMar>
              <w:top w:w="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8"/>
              </w:rPr>
            </w:pPr>
            <w:r>
              <w:rPr>
                <w:rFonts w:ascii="Times New Roman;serif" w:hAnsi="Times New Roman;serif"/>
                <w:b/>
                <w:color w:val="000000"/>
                <w:sz w:val="18"/>
              </w:rPr>
              <w:t>Change</w:t>
            </w:r>
          </w:p>
        </w:tc>
      </w:tr>
      <w:tr>
        <w:trPr/>
        <w:tc>
          <w:tcPr>
            <w:tcW w:w="2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8"/>
              </w:rPr>
            </w:pPr>
            <w:r>
              <w:rPr>
                <w:rFonts w:ascii="Times New Roman;serif" w:hAnsi="Times New Roman;serif"/>
                <w:b/>
                <w:color w:val="000000"/>
                <w:sz w:val="18"/>
              </w:rPr>
              <w:t>June 28,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300" w:before="0" w:after="283"/>
              <w:jc w:val="center"/>
              <w:rPr>
                <w:rFonts w:ascii="Times New Roman;serif" w:hAnsi="Times New Roman;serif"/>
                <w:b/>
                <w:color w:val="000000"/>
                <w:sz w:val="18"/>
              </w:rPr>
            </w:pPr>
            <w:r>
              <w:rPr>
                <w:rFonts w:ascii="Times New Roman;serif" w:hAnsi="Times New Roman;serif"/>
                <w:b/>
                <w:color w:val="000000"/>
                <w:sz w:val="18"/>
              </w:rPr>
              <w:t>June 29,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300"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300" w:before="0" w:after="283"/>
              <w:jc w:val="center"/>
              <w:rPr>
                <w:rFonts w:ascii="Times New Roman;serif" w:hAnsi="Times New Roman;serif"/>
                <w:b/>
                <w:color w:val="000000"/>
                <w:sz w:val="18"/>
              </w:rPr>
            </w:pPr>
            <w:r>
              <w:rPr>
                <w:rFonts w:ascii="Times New Roman;serif" w:hAnsi="Times New Roman;serif"/>
                <w:b/>
                <w:color w:val="000000"/>
                <w:sz w:val="18"/>
              </w:rPr>
              <w:t>%</w:t>
            </w:r>
          </w:p>
        </w:tc>
      </w:tr>
      <w:tr>
        <w:trPr/>
        <w:tc>
          <w:tcPr>
            <w:tcW w:w="2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2"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val="false"/>
                <w:color w:val="000000"/>
                <w:sz w:val="18"/>
              </w:rPr>
            </w:pPr>
            <w:r>
              <w:rPr>
                <w:rFonts w:ascii="Times New Roman;serif" w:hAnsi="Times New Roman;serif"/>
                <w:b w:val="false"/>
                <w:color w:val="000000"/>
                <w:sz w:val="18"/>
              </w:rPr>
              <w:t>(dollars in thousands)</w:t>
            </w:r>
          </w:p>
        </w:tc>
      </w:tr>
      <w:tr>
        <w:trPr/>
        <w:tc>
          <w:tcPr>
            <w:tcW w:w="2325"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222"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8"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8,451 </w:t>
            </w:r>
          </w:p>
        </w:tc>
        <w:tc>
          <w:tcPr>
            <w:tcW w:w="2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11,615 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(3,164)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c>
          <w:tcPr>
            <w:tcW w:w="316"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32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Percentage of total revenue</w:t>
            </w:r>
          </w:p>
        </w:tc>
        <w:tc>
          <w:tcPr>
            <w:tcW w:w="870"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285"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271"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decrease in other income, net for the three months ended June 28, 2025, as compared to the three months ended June 29, 2024, was due to higher interest earned on invested cash balances as a result of increased interest rates, which was offset by a lower cash balance.</w:t>
      </w:r>
    </w:p>
    <w:tbl>
      <w:tblPr>
        <w:tblW w:w="7070" w:type="dxa"/>
        <w:jc w:val="left"/>
        <w:tblInd w:w="0" w:type="dxa"/>
        <w:tblLayout w:type="fixed"/>
        <w:tblCellMar>
          <w:top w:w="28" w:type="dxa"/>
          <w:left w:w="28" w:type="dxa"/>
          <w:bottom w:w="28" w:type="dxa"/>
          <w:right w:w="28" w:type="dxa"/>
        </w:tblCellMar>
      </w:tblPr>
      <w:tblGrid>
        <w:gridCol w:w="840"/>
        <w:gridCol w:w="741"/>
        <w:gridCol w:w="744"/>
        <w:gridCol w:w="211"/>
        <w:gridCol w:w="721"/>
        <w:gridCol w:w="271"/>
        <w:gridCol w:w="109"/>
        <w:gridCol w:w="109"/>
        <w:gridCol w:w="109"/>
        <w:gridCol w:w="211"/>
        <w:gridCol w:w="721"/>
        <w:gridCol w:w="271"/>
        <w:gridCol w:w="109"/>
        <w:gridCol w:w="109"/>
        <w:gridCol w:w="109"/>
        <w:gridCol w:w="211"/>
        <w:gridCol w:w="466"/>
        <w:gridCol w:w="109"/>
        <w:gridCol w:w="109"/>
        <w:gridCol w:w="109"/>
        <w:gridCol w:w="109"/>
        <w:gridCol w:w="128"/>
        <w:gridCol w:w="128"/>
        <w:gridCol w:w="316"/>
      </w:tblGrid>
      <w:tr>
        <w:trPr/>
        <w:tc>
          <w:tcPr>
            <w:tcW w:w="840"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3" w:type="dxa"/>
            <w:gridSpan w:val="9"/>
            <w:tcBorders/>
            <w:tcMar>
              <w:top w:w="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8"/>
              </w:rPr>
            </w:pPr>
            <w:r>
              <w:rPr>
                <w:rFonts w:ascii="Times New Roman;serif" w:hAnsi="Times New Roman;serif"/>
                <w:b/>
                <w:color w:val="000000"/>
                <w:sz w:val="18"/>
              </w:rPr>
              <w:t>For the Nine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5" w:type="dxa"/>
            <w:gridSpan w:val="9"/>
            <w:tcBorders/>
            <w:tcMar>
              <w:top w:w="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8"/>
              </w:rPr>
            </w:pPr>
            <w:r>
              <w:rPr>
                <w:rFonts w:ascii="Times New Roman;serif" w:hAnsi="Times New Roman;serif"/>
                <w:b/>
                <w:color w:val="000000"/>
                <w:sz w:val="18"/>
              </w:rPr>
              <w:t>Change</w:t>
            </w:r>
          </w:p>
        </w:tc>
      </w:tr>
      <w:tr>
        <w:trPr/>
        <w:tc>
          <w:tcPr>
            <w:tcW w:w="2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8"/>
              </w:rPr>
            </w:pPr>
            <w:r>
              <w:rPr>
                <w:rFonts w:ascii="Times New Roman;serif" w:hAnsi="Times New Roman;serif"/>
                <w:b/>
                <w:color w:val="000000"/>
                <w:sz w:val="18"/>
              </w:rPr>
              <w:t>June 28,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300" w:before="0" w:after="283"/>
              <w:jc w:val="center"/>
              <w:rPr>
                <w:rFonts w:ascii="Times New Roman;serif" w:hAnsi="Times New Roman;serif"/>
                <w:b/>
                <w:color w:val="000000"/>
                <w:sz w:val="18"/>
              </w:rPr>
            </w:pPr>
            <w:r>
              <w:rPr>
                <w:rFonts w:ascii="Times New Roman;serif" w:hAnsi="Times New Roman;serif"/>
                <w:b/>
                <w:color w:val="000000"/>
                <w:sz w:val="18"/>
              </w:rPr>
              <w:t>June 29,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300"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300" w:before="0" w:after="283"/>
              <w:jc w:val="center"/>
              <w:rPr>
                <w:rFonts w:ascii="Times New Roman;serif" w:hAnsi="Times New Roman;serif"/>
                <w:b/>
                <w:color w:val="000000"/>
                <w:sz w:val="18"/>
              </w:rPr>
            </w:pPr>
            <w:r>
              <w:rPr>
                <w:rFonts w:ascii="Times New Roman;serif" w:hAnsi="Times New Roman;serif"/>
                <w:b/>
                <w:color w:val="000000"/>
                <w:sz w:val="18"/>
              </w:rPr>
              <w:t>%</w:t>
            </w:r>
          </w:p>
        </w:tc>
      </w:tr>
      <w:tr>
        <w:trPr/>
        <w:tc>
          <w:tcPr>
            <w:tcW w:w="2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5"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val="false"/>
                <w:color w:val="000000"/>
                <w:sz w:val="18"/>
              </w:rPr>
            </w:pPr>
            <w:r>
              <w:rPr>
                <w:rFonts w:ascii="Times New Roman;serif" w:hAnsi="Times New Roman;serif"/>
                <w:b w:val="false"/>
                <w:color w:val="000000"/>
                <w:sz w:val="18"/>
              </w:rPr>
              <w:t>(dollars in thousands)</w:t>
            </w:r>
          </w:p>
        </w:tc>
      </w:tr>
      <w:tr>
        <w:trPr/>
        <w:tc>
          <w:tcPr>
            <w:tcW w:w="2325"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211"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27,987 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27,626 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361 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316"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32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Percentage of total revenue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271"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271"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increase in other income, net for the nine months ended June 28, 2025, as compared to the nine months ended June 29, 2024, was due to higher interest earned on invested cash balances as a result of increased interest rates as well as other income earned on the fair value adjustment recorded for the nine months ended June 28, 2025 related to our derivative instrument.</w:t>
      </w:r>
    </w:p>
    <w:p>
      <w:pPr>
        <w:pStyle w:val="TextBody"/>
        <w:bidi w:val="0"/>
        <w:spacing w:lineRule="auto" w:line="288" w:before="120" w:after="60"/>
        <w:jc w:val="left"/>
        <w:rPr>
          <w:rFonts w:ascii="Times New Roman;serif" w:hAnsi="Times New Roman;serif"/>
          <w:b w:val="false"/>
          <w:i/>
          <w:color w:val="000000"/>
          <w:sz w:val="20"/>
        </w:rPr>
      </w:pPr>
      <w:r>
        <w:rPr>
          <w:rFonts w:ascii="Times New Roman;serif" w:hAnsi="Times New Roman;serif"/>
          <w:b w:val="false"/>
          <w:i/>
          <w:color w:val="000000"/>
          <w:sz w:val="20"/>
        </w:rPr>
        <w:t>Income Taxes</w:t>
      </w:r>
    </w:p>
    <w:tbl>
      <w:tblPr>
        <w:tblW w:w="7221" w:type="dxa"/>
        <w:jc w:val="left"/>
        <w:tblInd w:w="0" w:type="dxa"/>
        <w:tblLayout w:type="fixed"/>
        <w:tblCellMar>
          <w:top w:w="28" w:type="dxa"/>
          <w:left w:w="28" w:type="dxa"/>
          <w:bottom w:w="28" w:type="dxa"/>
          <w:right w:w="28" w:type="dxa"/>
        </w:tblCellMar>
      </w:tblPr>
      <w:tblGrid>
        <w:gridCol w:w="842"/>
        <w:gridCol w:w="738"/>
        <w:gridCol w:w="744"/>
        <w:gridCol w:w="322"/>
        <w:gridCol w:w="667"/>
        <w:gridCol w:w="166"/>
        <w:gridCol w:w="132"/>
        <w:gridCol w:w="132"/>
        <w:gridCol w:w="132"/>
        <w:gridCol w:w="282"/>
        <w:gridCol w:w="726"/>
        <w:gridCol w:w="146"/>
        <w:gridCol w:w="109"/>
        <w:gridCol w:w="109"/>
        <w:gridCol w:w="109"/>
        <w:gridCol w:w="211"/>
        <w:gridCol w:w="466"/>
        <w:gridCol w:w="109"/>
        <w:gridCol w:w="109"/>
        <w:gridCol w:w="109"/>
        <w:gridCol w:w="109"/>
        <w:gridCol w:w="218"/>
        <w:gridCol w:w="218"/>
        <w:gridCol w:w="316"/>
      </w:tblGrid>
      <w:tr>
        <w:trPr/>
        <w:tc>
          <w:tcPr>
            <w:tcW w:w="842"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5" w:type="dxa"/>
            <w:gridSpan w:val="9"/>
            <w:tcBorders/>
            <w:tcMar>
              <w:top w:w="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8"/>
              </w:rPr>
            </w:pPr>
            <w:r>
              <w:rPr>
                <w:rFonts w:ascii="Times New Roman;serif" w:hAnsi="Times New Roman;serif"/>
                <w:b/>
                <w:color w:val="000000"/>
                <w:sz w:val="18"/>
              </w:rPr>
              <w:t>For the 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5" w:type="dxa"/>
            <w:gridSpan w:val="9"/>
            <w:tcBorders/>
            <w:tcMar>
              <w:top w:w="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8"/>
              </w:rPr>
            </w:pPr>
            <w:r>
              <w:rPr>
                <w:rFonts w:ascii="Times New Roman;serif" w:hAnsi="Times New Roman;serif"/>
                <w:b/>
                <w:color w:val="000000"/>
                <w:sz w:val="18"/>
              </w:rPr>
              <w:t>Change</w:t>
            </w:r>
          </w:p>
        </w:tc>
      </w:tr>
      <w:tr>
        <w:trPr/>
        <w:tc>
          <w:tcPr>
            <w:tcW w:w="2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8"/>
              </w:rPr>
            </w:pPr>
            <w:r>
              <w:rPr>
                <w:rFonts w:ascii="Times New Roman;serif" w:hAnsi="Times New Roman;serif"/>
                <w:b/>
                <w:color w:val="000000"/>
                <w:sz w:val="18"/>
              </w:rPr>
              <w:t>June 28, 2025</w:t>
            </w:r>
          </w:p>
        </w:tc>
        <w:tc>
          <w:tcPr>
            <w:tcW w:w="3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300" w:before="0" w:after="283"/>
              <w:jc w:val="center"/>
              <w:rPr>
                <w:rFonts w:ascii="Times New Roman;serif" w:hAnsi="Times New Roman;serif"/>
                <w:b/>
                <w:color w:val="000000"/>
                <w:sz w:val="18"/>
              </w:rPr>
            </w:pPr>
            <w:r>
              <w:rPr>
                <w:rFonts w:ascii="Times New Roman;serif" w:hAnsi="Times New Roman;serif"/>
                <w:b/>
                <w:color w:val="000000"/>
                <w:sz w:val="18"/>
              </w:rPr>
              <w:t>June 29,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300"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300" w:before="0" w:after="283"/>
              <w:jc w:val="center"/>
              <w:rPr>
                <w:rFonts w:ascii="Times New Roman;serif" w:hAnsi="Times New Roman;serif"/>
                <w:b/>
                <w:color w:val="000000"/>
                <w:sz w:val="18"/>
              </w:rPr>
            </w:pPr>
            <w:r>
              <w:rPr>
                <w:rFonts w:ascii="Times New Roman;serif" w:hAnsi="Times New Roman;serif"/>
                <w:b/>
                <w:color w:val="000000"/>
                <w:sz w:val="18"/>
              </w:rPr>
              <w:t>%</w:t>
            </w:r>
          </w:p>
        </w:tc>
      </w:tr>
      <w:tr>
        <w:trPr/>
        <w:tc>
          <w:tcPr>
            <w:tcW w:w="2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7"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val="false"/>
                <w:color w:val="000000"/>
                <w:sz w:val="18"/>
              </w:rPr>
            </w:pPr>
            <w:r>
              <w:rPr>
                <w:rFonts w:ascii="Times New Roman;serif" w:hAnsi="Times New Roman;serif"/>
                <w:b w:val="false"/>
                <w:color w:val="000000"/>
                <w:sz w:val="18"/>
              </w:rPr>
              <w:t>(dollars in thousands)</w:t>
            </w:r>
          </w:p>
        </w:tc>
      </w:tr>
      <w:tr>
        <w:trPr/>
        <w:tc>
          <w:tcPr>
            <w:tcW w:w="232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322"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7"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(44)</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6"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(182)</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138 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(76)</w:t>
            </w:r>
          </w:p>
        </w:tc>
        <w:tc>
          <w:tcPr>
            <w:tcW w:w="316"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32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Percentage of total revenue</w:t>
            </w:r>
          </w:p>
        </w:tc>
        <w:tc>
          <w:tcPr>
            <w:tcW w:w="115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nil</w:t>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nil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decrease in income tax expense for the three months ended June 28, 2025, as compared to the three months ended June 29, 2024, is attributable to the expense related to current state income taxes offset by a benefit in international taxes and by the partial release of the valuation allowance in connection with the ASR Acquisition.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84785"/>
                <wp:effectExtent l="0" t="0" r="0" b="0"/>
                <wp:wrapNone/>
                <wp:docPr id="40" name="Frame40"/>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288" w:before="60" w:after="283"/>
        <w:ind w:left="0" w:right="0" w:firstLine="360"/>
        <w:jc w:val="left"/>
        <w:rPr/>
      </w:pPr>
      <w:hyperlink w:anchor="i123540df82f04e0eb97811cc101df5ff_7">
        <w:r>
          <w:rPr>
            <w:rStyle w:val="InternetLink"/>
            <w:rFonts w:ascii="Times New Roman;serif" w:hAnsi="Times New Roman;serif"/>
            <w:b w:val="false"/>
            <w:color w:val="0000FF"/>
            <w:sz w:val="20"/>
            <w:u w:val="single"/>
          </w:rPr>
          <w:t>Table of Contents</w:t>
        </w:r>
      </w:hyperlink>
    </w:p>
    <w:tbl>
      <w:tblPr>
        <w:tblW w:w="7670" w:type="dxa"/>
        <w:jc w:val="left"/>
        <w:tblInd w:w="0" w:type="dxa"/>
        <w:tblLayout w:type="fixed"/>
        <w:tblCellMar>
          <w:top w:w="28" w:type="dxa"/>
          <w:left w:w="28" w:type="dxa"/>
          <w:bottom w:w="28" w:type="dxa"/>
          <w:right w:w="28" w:type="dxa"/>
        </w:tblCellMar>
      </w:tblPr>
      <w:tblGrid>
        <w:gridCol w:w="889"/>
        <w:gridCol w:w="784"/>
        <w:gridCol w:w="787"/>
        <w:gridCol w:w="260"/>
        <w:gridCol w:w="761"/>
        <w:gridCol w:w="134"/>
        <w:gridCol w:w="116"/>
        <w:gridCol w:w="116"/>
        <w:gridCol w:w="116"/>
        <w:gridCol w:w="283"/>
        <w:gridCol w:w="726"/>
        <w:gridCol w:w="146"/>
        <w:gridCol w:w="109"/>
        <w:gridCol w:w="109"/>
        <w:gridCol w:w="109"/>
        <w:gridCol w:w="211"/>
        <w:gridCol w:w="616"/>
        <w:gridCol w:w="109"/>
        <w:gridCol w:w="109"/>
        <w:gridCol w:w="109"/>
        <w:gridCol w:w="109"/>
        <w:gridCol w:w="323"/>
        <w:gridCol w:w="323"/>
        <w:gridCol w:w="316"/>
      </w:tblGrid>
      <w:tr>
        <w:trPr/>
        <w:tc>
          <w:tcPr>
            <w:tcW w:w="889"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4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8" w:type="dxa"/>
            <w:gridSpan w:val="9"/>
            <w:tcBorders/>
            <w:tcMar>
              <w:top w:w="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8"/>
              </w:rPr>
            </w:pPr>
            <w:r>
              <w:rPr>
                <w:rFonts w:ascii="Times New Roman;serif" w:hAnsi="Times New Roman;serif"/>
                <w:b/>
                <w:color w:val="000000"/>
                <w:sz w:val="18"/>
              </w:rPr>
              <w:t>For the Nine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5" w:type="dxa"/>
            <w:gridSpan w:val="9"/>
            <w:tcBorders/>
            <w:tcMar>
              <w:top w:w="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8"/>
              </w:rPr>
            </w:pPr>
            <w:r>
              <w:rPr>
                <w:rFonts w:ascii="Times New Roman;serif" w:hAnsi="Times New Roman;serif"/>
                <w:b/>
                <w:color w:val="000000"/>
                <w:sz w:val="18"/>
              </w:rPr>
              <w:t>Change</w:t>
            </w:r>
          </w:p>
        </w:tc>
      </w:tr>
      <w:tr>
        <w:trPr/>
        <w:tc>
          <w:tcPr>
            <w:tcW w:w="24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8"/>
              </w:rPr>
            </w:pPr>
            <w:r>
              <w:rPr>
                <w:rFonts w:ascii="Times New Roman;serif" w:hAnsi="Times New Roman;serif"/>
                <w:b/>
                <w:color w:val="000000"/>
                <w:sz w:val="18"/>
              </w:rPr>
              <w:t>June 28, 2025</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300" w:before="0" w:after="283"/>
              <w:jc w:val="center"/>
              <w:rPr>
                <w:rFonts w:ascii="Times New Roman;serif" w:hAnsi="Times New Roman;serif"/>
                <w:b/>
                <w:color w:val="000000"/>
                <w:sz w:val="18"/>
              </w:rPr>
            </w:pPr>
            <w:r>
              <w:rPr>
                <w:rFonts w:ascii="Times New Roman;serif" w:hAnsi="Times New Roman;serif"/>
                <w:b/>
                <w:color w:val="000000"/>
                <w:sz w:val="18"/>
              </w:rPr>
              <w:t>June 29,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300"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300" w:before="0" w:after="283"/>
              <w:jc w:val="center"/>
              <w:rPr>
                <w:rFonts w:ascii="Times New Roman;serif" w:hAnsi="Times New Roman;serif"/>
                <w:b/>
                <w:color w:val="000000"/>
                <w:sz w:val="18"/>
              </w:rPr>
            </w:pPr>
            <w:r>
              <w:rPr>
                <w:rFonts w:ascii="Times New Roman;serif" w:hAnsi="Times New Roman;serif"/>
                <w:b/>
                <w:color w:val="000000"/>
                <w:sz w:val="18"/>
              </w:rPr>
              <w:t>%</w:t>
            </w:r>
          </w:p>
        </w:tc>
      </w:tr>
      <w:tr>
        <w:trPr/>
        <w:tc>
          <w:tcPr>
            <w:tcW w:w="24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0"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val="false"/>
                <w:color w:val="000000"/>
                <w:sz w:val="18"/>
              </w:rPr>
            </w:pPr>
            <w:r>
              <w:rPr>
                <w:rFonts w:ascii="Times New Roman;serif" w:hAnsi="Times New Roman;serif"/>
                <w:b w:val="false"/>
                <w:color w:val="000000"/>
                <w:sz w:val="18"/>
              </w:rPr>
              <w:t>(dollars in thousands)</w:t>
            </w:r>
          </w:p>
        </w:tc>
      </w:tr>
      <w:tr>
        <w:trPr/>
        <w:tc>
          <w:tcPr>
            <w:tcW w:w="246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benefit (expense)</w:t>
            </w:r>
          </w:p>
        </w:tc>
        <w:tc>
          <w:tcPr>
            <w:tcW w:w="260"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1"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1,204 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6"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(102)</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1,306 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(1280)</w:t>
            </w:r>
          </w:p>
        </w:tc>
        <w:tc>
          <w:tcPr>
            <w:tcW w:w="316"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46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Percentage of total revenue</w:t>
            </w:r>
          </w:p>
        </w:tc>
        <w:tc>
          <w:tcPr>
            <w:tcW w:w="115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nil</w:t>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nil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income tax benefit for the nine months ended June 28, 2025, as compared to the income tax expense for the nine months ended June 29, 2024, is attributable to the expense related to current state income and international taxes offset by the partial release of the valuation allowance in connection with the ASR Acquisition.</w:t>
      </w: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Non-GAAP Financial Measures</w:t>
      </w:r>
    </w:p>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to providing financial measurements based on GAAP, we provide additional financial metrics that are not prepared in accordance with GAAP, or non-GAAP financial measures. We use these non-GAAP financial measures, in addition to GAAP financial measures, to understand and compare operating results across accounting periods, for financial and operational decision making, for planning and forecasting purposes, to measure executive compensation, and to evaluate our financial performance. These non-GAAP financial measures are Adjusted EBITDA, Adjusted gross profit, Adjusted gross profit margin, Adjusted research and development expenses, Adjusted selling, general, and administrative expenses, and free cash flow, as discussed below. </w:t>
      </w:r>
    </w:p>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We believe that these non-GAAP financial measures reflect our ongoing business in a manner that allows for meaningful comparisons and analysis of trends in the business, as it facilitates comparing financial results across accounting periods and to those of peer companies. We also believe that these non-GAAP financial measures enable investors to evaluate our operating results and future prospects in the same manner as we do. These non-GAAP financial measures may exclude expenses and gains that may be unusual in nature, infrequent, or not reflective of our ongoing operating results. </w:t>
      </w:r>
    </w:p>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non-GAAP financial measures do not replace the presentation of our GAAP financial measures and should only be used as a supplement to, not as a substitute for, our financial results presented in accordance with GAAP.</w:t>
      </w:r>
    </w:p>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We consider Adjusted EBITDA to be an important indicator of the operational strength and performance of our business and a good measure of our historical operating trends. Adjusted EBITDA eliminates items that we do not consider to be part of our core operations. We define Adjusted EBITDA as GAAP net loss excluding the following items: interest income; income taxes; depreciation and amortization of tangible and intangible assets; stock-based compensation; business combination transaction expenses; equity method investment; internal control remediation; business transformation costs; fair value adjustments on strategic investments; restructuring charges; joint venture formation fees; equity financing transaction costs; and other infrequent items that may arise from time to time. </w:t>
      </w:r>
    </w:p>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non-GAAP adjustments, and our basis for excluding them from our non-GAAP financial measures, are outlined below:</w:t>
      </w:r>
    </w:p>
    <w:p>
      <w:pPr>
        <w:pStyle w:val="TextBody"/>
        <w:bidi w:val="0"/>
        <w:spacing w:lineRule="auto" w:line="288" w:before="60" w:after="283"/>
        <w:ind w:left="0" w:right="0" w:hanging="360"/>
        <w:jc w:val="left"/>
        <w:rPr/>
      </w:pPr>
      <w:r>
        <w:rPr>
          <w:color w:val="000000"/>
        </w:rPr>
        <w:t>•</w:t>
      </w:r>
      <w:r>
        <w:rPr>
          <w:rFonts w:ascii="Times New Roman;serif" w:hAnsi="Times New Roman;serif"/>
          <w:b/>
          <w:color w:val="000000"/>
          <w:sz w:val="20"/>
        </w:rPr>
        <w:t>Stock-based compensation</w:t>
      </w:r>
      <w:r>
        <w:rPr>
          <w:color w:val="000000"/>
        </w:rPr>
        <w:t xml:space="preserve"> – </w:t>
      </w:r>
      <w:r>
        <w:rPr>
          <w:rFonts w:ascii="Times New Roman;serif" w:hAnsi="Times New Roman;serif"/>
          <w:b w:val="false"/>
          <w:color w:val="000000"/>
          <w:sz w:val="20"/>
        </w:rPr>
        <w:t xml:space="preserve">Although stock-based compensation is an important aspect of the compensation paid to our employees, the grant date fair value varies based on the derived stock price at the time of grant, varying valuation methodologies, subjective assumptions, and the variety of award types. This makes the comparison of our current financial results to previous and future periods difficult to interpret; therefore, we believe it is useful to exclude stock-based compensation from our non-GAAP financial measures in order to highlight the performance of our business and to be consistent with the way many investors evaluate our performance and compare our operating results to peer companies. Our stock-based compensation non-GAAP financial measures exclusion includes non-cash stock-based compensation expense and payroll taxes related to stock-based compensation awards. </w:t>
      </w:r>
    </w:p>
    <w:p>
      <w:pPr>
        <w:pStyle w:val="TextBody"/>
        <w:bidi w:val="0"/>
        <w:spacing w:lineRule="auto" w:line="288" w:before="60" w:after="283"/>
        <w:ind w:left="0" w:right="0" w:hanging="360"/>
        <w:jc w:val="left"/>
        <w:rPr/>
      </w:pPr>
      <w:r>
        <w:rPr>
          <w:color w:val="000000"/>
        </w:rPr>
        <w:t>•</w:t>
      </w:r>
      <w:r>
        <w:rPr>
          <w:rFonts w:ascii="Times New Roman;serif" w:hAnsi="Times New Roman;serif"/>
          <w:b/>
          <w:color w:val="000000"/>
          <w:sz w:val="20"/>
        </w:rPr>
        <w:t>Business combination transaction expenses</w:t>
      </w:r>
      <w:r>
        <w:rPr>
          <w:color w:val="000000"/>
        </w:rPr>
        <w:t xml:space="preserve"> – </w:t>
      </w:r>
      <w:r>
        <w:rPr>
          <w:rFonts w:ascii="Times New Roman;serif" w:hAnsi="Times New Roman;serif"/>
          <w:b w:val="false"/>
          <w:color w:val="000000"/>
          <w:sz w:val="20"/>
        </w:rPr>
        <w:t>Business combination transaction expenses represent the expenses incurred related to strategic acquisition opportunities. It primarily includes investment banker fees, legal fees, professional fees for accountants, transaction fees, advisory fees, due diligence costs, certain other professional fees, and other direct costs associated with strategic activities. These amounts are impacted by the timing of the strategic acquisition opportunities which we may pursue. We exclude business combination transaction expenses from our non-GAAP financial measures to provide a useful comparison of our operating results to prior periods and to peer companies because such amounts vary significantly based on the magnitude of the transaction and do not reflect our core operations.</w:t>
      </w:r>
    </w:p>
    <w:p>
      <w:pPr>
        <w:pStyle w:val="TextBody"/>
        <w:bidi w:val="0"/>
        <w:spacing w:lineRule="auto" w:line="288" w:before="60" w:after="283"/>
        <w:ind w:left="0" w:right="0" w:hanging="360"/>
        <w:jc w:val="left"/>
        <w:rPr/>
      </w:pPr>
      <w:r>
        <w:rPr>
          <w:color w:val="000000"/>
        </w:rPr>
        <w:t>•</w:t>
      </w:r>
      <w:r>
        <w:rPr>
          <w:rFonts w:ascii="Times New Roman;serif" w:hAnsi="Times New Roman;serif"/>
          <w:b/>
          <w:color w:val="000000"/>
          <w:sz w:val="20"/>
        </w:rPr>
        <w:t>Restructuring charges</w:t>
      </w:r>
      <w:r>
        <w:rPr>
          <w:color w:val="000000"/>
        </w:rPr>
        <w:t xml:space="preserve"> – </w:t>
      </w:r>
      <w:r>
        <w:rPr>
          <w:rFonts w:ascii="Times New Roman;serif" w:hAnsi="Times New Roman;serif"/>
          <w:b w:val="false"/>
          <w:color w:val="000000"/>
          <w:sz w:val="20"/>
        </w:rPr>
        <w:t>Restructuring charges are costs associated with restructuring plans and are primarily related to employee severance and benefit arrangements, lower of cost and net realizable value adjustments to inventory and long-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84785"/>
                <wp:effectExtent l="0" t="0" r="0" b="0"/>
                <wp:wrapNone/>
                <wp:docPr id="41" name="Frame41"/>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288" w:before="60" w:after="283"/>
        <w:ind w:left="0" w:right="0" w:firstLine="360"/>
        <w:jc w:val="left"/>
        <w:rPr/>
      </w:pPr>
      <w:hyperlink w:anchor="i123540df82f04e0eb97811cc101df5ff_7">
        <w:r>
          <w:rPr>
            <w:rStyle w:val="InternetLink"/>
            <w:rFonts w:ascii="Times New Roman;serif" w:hAnsi="Times New Roman;serif"/>
            <w:b w:val="false"/>
            <w:color w:val="0000FF"/>
            <w:sz w:val="20"/>
            <w:u w:val="single"/>
          </w:rPr>
          <w:t>Table of Contents</w:t>
        </w:r>
      </w:hyperlink>
    </w:p>
    <w:p>
      <w:pPr>
        <w:pStyle w:val="TextBody"/>
        <w:bidi w:val="0"/>
        <w:spacing w:lineRule="auto" w:line="288" w:before="60" w:after="283"/>
        <w:jc w:val="left"/>
        <w:rPr>
          <w:rFonts w:ascii="Times New Roman;serif" w:hAnsi="Times New Roman;serif"/>
          <w:b w:val="false"/>
          <w:color w:val="000000"/>
          <w:sz w:val="20"/>
        </w:rPr>
      </w:pPr>
      <w:r>
        <w:rPr>
          <w:rFonts w:ascii="Times New Roman;serif" w:hAnsi="Times New Roman;serif"/>
          <w:b w:val="false"/>
          <w:color w:val="000000"/>
          <w:sz w:val="20"/>
        </w:rPr>
        <w:t>lived assets that will no longer be used in operations, and termination fees for any contracts cancelled as part of the restructuring plan. The restructuring charges in fiscal year 2025 represent those charges incurred related to a reduction of our workforce across all areas of the employees that joined the Company’s workforce in connection with the ASR Acquisition. The restructuring charges in fiscal year 2024 represent those charges incurred associated with certain actions to restructure parts of the Company within the U.S. and Canada. We exclude these items from our non-GAAP financial measures when evaluating our continuing business performance as such items vary significantly based on the magnitude of the restructuring action and do not reflect future expected operating expenses. In addition, these charges do not necessarily provide meaningful insight into the fundamentals of current or past operations of our business.</w:t>
      </w:r>
    </w:p>
    <w:p>
      <w:pPr>
        <w:pStyle w:val="TextBody"/>
        <w:bidi w:val="0"/>
        <w:spacing w:lineRule="auto" w:line="288" w:before="60" w:after="283"/>
        <w:ind w:left="0" w:right="0" w:hanging="360"/>
        <w:jc w:val="left"/>
        <w:rPr/>
      </w:pPr>
      <w:r>
        <w:rPr>
          <w:color w:val="000000"/>
        </w:rPr>
        <w:t>•</w:t>
      </w:r>
      <w:r>
        <w:rPr>
          <w:rFonts w:ascii="Times New Roman;serif" w:hAnsi="Times New Roman;serif"/>
          <w:b/>
          <w:color w:val="000000"/>
          <w:sz w:val="20"/>
        </w:rPr>
        <w:t>Joint venture formation fees</w:t>
      </w:r>
      <w:r>
        <w:rPr>
          <w:color w:val="000000"/>
        </w:rPr>
        <w:t xml:space="preserve"> – </w:t>
      </w:r>
      <w:r>
        <w:rPr>
          <w:rFonts w:ascii="Times New Roman;serif" w:hAnsi="Times New Roman;serif"/>
          <w:b w:val="false"/>
          <w:color w:val="000000"/>
          <w:sz w:val="20"/>
        </w:rPr>
        <w:t>Joint venture formation fees represent the charges incurred associated with the formation of GreenBox, which was established on July 21, 2023. It primarily includes investment banker fees, legal fees, transaction fees, advisory fees, and certain other professional fees. We exclude joint venture formation fees from our non-GAAP financial measures to provide a useful comparison of our operating results to prior periods and peer companies because such amounts vary significantly based on the magnitude of the joint venture and do not reflect our core operations.</w:t>
      </w:r>
    </w:p>
    <w:p>
      <w:pPr>
        <w:pStyle w:val="TextBody"/>
        <w:bidi w:val="0"/>
        <w:spacing w:lineRule="auto" w:line="288" w:before="60" w:after="283"/>
        <w:ind w:left="0" w:right="0" w:hanging="360"/>
        <w:jc w:val="left"/>
        <w:rPr/>
      </w:pPr>
      <w:r>
        <w:rPr>
          <w:color w:val="000000"/>
        </w:rPr>
        <w:t>•</w:t>
      </w:r>
      <w:r>
        <w:rPr>
          <w:rFonts w:ascii="Times New Roman;serif" w:hAnsi="Times New Roman;serif"/>
          <w:b/>
          <w:color w:val="000000"/>
          <w:sz w:val="20"/>
        </w:rPr>
        <w:t>Equity financing transaction costs</w:t>
      </w:r>
      <w:r>
        <w:rPr>
          <w:color w:val="000000"/>
        </w:rPr>
        <w:t xml:space="preserve"> – </w:t>
      </w:r>
      <w:r>
        <w:rPr>
          <w:rFonts w:ascii="Times New Roman;serif" w:hAnsi="Times New Roman;serif"/>
          <w:b w:val="false"/>
          <w:color w:val="000000"/>
          <w:sz w:val="20"/>
        </w:rPr>
        <w:t>Equity financing transaction costs represent the costs incurred, including for legal, professional fees for accountants, transaction fees, advisory fees, due diligence costs, and certain other professional fees that are directly related to an equity financing transaction.</w:t>
      </w:r>
    </w:p>
    <w:p>
      <w:pPr>
        <w:pStyle w:val="TextBody"/>
        <w:bidi w:val="0"/>
        <w:spacing w:lineRule="auto" w:line="288" w:before="60" w:after="283"/>
        <w:ind w:left="0" w:right="0" w:hanging="360"/>
        <w:jc w:val="left"/>
        <w:rPr/>
      </w:pPr>
      <w:r>
        <w:rPr>
          <w:color w:val="000000"/>
        </w:rPr>
        <w:t>•</w:t>
      </w:r>
      <w:r>
        <w:rPr>
          <w:rFonts w:ascii="Times New Roman;serif" w:hAnsi="Times New Roman;serif"/>
          <w:b/>
          <w:color w:val="000000"/>
          <w:sz w:val="20"/>
        </w:rPr>
        <w:t>Equity method investment</w:t>
      </w:r>
      <w:r>
        <w:rPr>
          <w:color w:val="000000"/>
        </w:rPr>
        <w:t xml:space="preserve"> – </w:t>
      </w:r>
      <w:r>
        <w:rPr>
          <w:rFonts w:ascii="Times New Roman;serif" w:hAnsi="Times New Roman;serif"/>
          <w:b w:val="false"/>
          <w:color w:val="000000"/>
          <w:sz w:val="20"/>
        </w:rPr>
        <w:t xml:space="preserve">Equity method investment represents our proportionate share of income or loss of unconsolidated variable interest entities. We exclude this from our non-GAAP financial measures to provide a useful comparison of our operating results to prior periods and to our peer companies because such amounts are not representative of our normal operating activities. </w:t>
      </w:r>
    </w:p>
    <w:p>
      <w:pPr>
        <w:pStyle w:val="TextBody"/>
        <w:bidi w:val="0"/>
        <w:spacing w:lineRule="auto" w:line="288" w:before="60" w:after="283"/>
        <w:ind w:left="0" w:right="0" w:hanging="360"/>
        <w:jc w:val="left"/>
        <w:rPr/>
      </w:pPr>
      <w:r>
        <w:rPr>
          <w:color w:val="000000"/>
        </w:rPr>
        <w:t>•</w:t>
      </w:r>
      <w:r>
        <w:rPr>
          <w:rFonts w:ascii="Times New Roman;serif" w:hAnsi="Times New Roman;serif"/>
          <w:b/>
          <w:color w:val="000000"/>
          <w:sz w:val="20"/>
        </w:rPr>
        <w:t xml:space="preserve">Internal control remediation </w:t>
      </w:r>
      <w:r>
        <w:rPr>
          <w:color w:val="000000"/>
        </w:rPr>
        <w:t xml:space="preserve">– </w:t>
      </w:r>
      <w:r>
        <w:rPr>
          <w:rFonts w:ascii="Times New Roman;serif" w:hAnsi="Times New Roman;serif"/>
          <w:b w:val="false"/>
          <w:color w:val="000000"/>
          <w:sz w:val="20"/>
        </w:rPr>
        <w:t>Internal control remediation costs represent professional services fees related to the Company’s efforts to remediate internal control material weaknesses. We excluded these fees from our non-GAAP financial measures to provide a useful comparison of our operating results to prior periods and to our peer companies because such amounts are not representative of our normal operating activities.</w:t>
      </w:r>
    </w:p>
    <w:p>
      <w:pPr>
        <w:pStyle w:val="TextBody"/>
        <w:bidi w:val="0"/>
        <w:spacing w:lineRule="auto" w:line="288" w:before="60" w:after="283"/>
        <w:ind w:left="0" w:right="0" w:hanging="360"/>
        <w:jc w:val="left"/>
        <w:rPr/>
      </w:pPr>
      <w:r>
        <w:rPr>
          <w:color w:val="000000"/>
        </w:rPr>
        <w:t>•</w:t>
      </w:r>
      <w:r>
        <w:rPr>
          <w:rFonts w:ascii="Times New Roman;serif" w:hAnsi="Times New Roman;serif"/>
          <w:b/>
          <w:color w:val="000000"/>
          <w:sz w:val="20"/>
        </w:rPr>
        <w:t xml:space="preserve">Business transformation costs </w:t>
      </w:r>
      <w:r>
        <w:rPr>
          <w:color w:val="000000"/>
        </w:rPr>
        <w:t xml:space="preserve">– </w:t>
      </w:r>
      <w:r>
        <w:rPr>
          <w:rFonts w:ascii="Times New Roman;serif" w:hAnsi="Times New Roman;serif"/>
          <w:b w:val="false"/>
          <w:color w:val="000000"/>
          <w:sz w:val="20"/>
        </w:rPr>
        <w:t xml:space="preserve">Business transformation costs represent consultancy fees incurred for specific business initiatives that do not reflect the cost of normal business operations. </w:t>
      </w:r>
    </w:p>
    <w:p>
      <w:pPr>
        <w:pStyle w:val="TextBody"/>
        <w:bidi w:val="0"/>
        <w:spacing w:lineRule="auto" w:line="288" w:before="60" w:after="283"/>
        <w:ind w:left="0" w:right="0" w:hanging="360"/>
        <w:jc w:val="left"/>
        <w:rPr/>
      </w:pPr>
      <w:r>
        <w:rPr>
          <w:color w:val="000000"/>
        </w:rPr>
        <w:t>•</w:t>
      </w:r>
      <w:r>
        <w:rPr>
          <w:rFonts w:ascii="Times New Roman;serif" w:hAnsi="Times New Roman;serif"/>
          <w:b/>
          <w:color w:val="000000"/>
          <w:sz w:val="20"/>
        </w:rPr>
        <w:t xml:space="preserve">Fair value adjustments on strategic investments </w:t>
      </w:r>
      <w:r>
        <w:rPr>
          <w:color w:val="000000"/>
        </w:rPr>
        <w:t xml:space="preserve">– </w:t>
      </w:r>
      <w:r>
        <w:rPr>
          <w:rFonts w:ascii="Times New Roman;serif" w:hAnsi="Times New Roman;serif"/>
          <w:b w:val="false"/>
          <w:color w:val="000000"/>
          <w:sz w:val="20"/>
        </w:rPr>
        <w:t xml:space="preserve">Fair value adjustments on strategic investments primarily consist of the gain or loss on strategic investments, which includes recurring fair value adjustments which are adjusted for observable price changes and any potential impairments. See Note 12, </w:t>
      </w:r>
      <w:r>
        <w:rPr>
          <w:rFonts w:ascii="Times New Roman;serif" w:hAnsi="Times New Roman;serif"/>
          <w:b w:val="false"/>
          <w:i/>
          <w:color w:val="000000"/>
          <w:sz w:val="20"/>
        </w:rPr>
        <w:t>Fair Value Measures</w:t>
      </w:r>
      <w:r>
        <w:rPr>
          <w:rFonts w:ascii="Times New Roman;serif" w:hAnsi="Times New Roman;serif"/>
          <w:b w:val="false"/>
          <w:color w:val="000000"/>
          <w:sz w:val="20"/>
        </w:rPr>
        <w:t>, included in this report for additional information on our strategic investment activity. We exclude fair value adjustments on strategic investments given the volatility in ongoing adjustments to the valuation of these strategic investments and because such adjustments are unrelated to the operating performance of our business.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84785"/>
                <wp:effectExtent l="0" t="0" r="0" b="0"/>
                <wp:wrapNone/>
                <wp:docPr id="42" name="Frame42"/>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lineRule="auto" w:line="288" w:before="60" w:after="283"/>
        <w:ind w:left="0" w:right="0" w:firstLine="360"/>
        <w:jc w:val="left"/>
        <w:rPr/>
      </w:pPr>
      <w:hyperlink w:anchor="i123540df82f04e0eb97811cc101df5ff_7">
        <w:r>
          <w:rPr>
            <w:rStyle w:val="InternetLink"/>
            <w:rFonts w:ascii="Times New Roman;serif" w:hAnsi="Times New Roman;serif"/>
            <w:b w:val="false"/>
            <w:color w:val="0000FF"/>
            <w:sz w:val="20"/>
            <w:u w:val="single"/>
          </w:rPr>
          <w:t>Table of Contents</w:t>
        </w:r>
      </w:hyperlink>
    </w:p>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reconciles GAAP net loss to Adjusted EBITDA for the three and nine months ended June 28, 2025 and June 29, 2024 (in thousands):</w:t>
      </w:r>
    </w:p>
    <w:tbl>
      <w:tblPr>
        <w:tblW w:w="9669" w:type="dxa"/>
        <w:jc w:val="left"/>
        <w:tblInd w:w="0" w:type="dxa"/>
        <w:tblLayout w:type="fixed"/>
        <w:tblCellMar>
          <w:top w:w="28" w:type="dxa"/>
          <w:left w:w="28" w:type="dxa"/>
          <w:bottom w:w="28" w:type="dxa"/>
          <w:right w:w="28" w:type="dxa"/>
        </w:tblCellMar>
      </w:tblPr>
      <w:tblGrid>
        <w:gridCol w:w="1437"/>
        <w:gridCol w:w="1253"/>
        <w:gridCol w:w="1270"/>
        <w:gridCol w:w="218"/>
        <w:gridCol w:w="824"/>
        <w:gridCol w:w="112"/>
        <w:gridCol w:w="109"/>
        <w:gridCol w:w="109"/>
        <w:gridCol w:w="109"/>
        <w:gridCol w:w="218"/>
        <w:gridCol w:w="824"/>
        <w:gridCol w:w="112"/>
        <w:gridCol w:w="109"/>
        <w:gridCol w:w="109"/>
        <w:gridCol w:w="109"/>
        <w:gridCol w:w="218"/>
        <w:gridCol w:w="824"/>
        <w:gridCol w:w="112"/>
        <w:gridCol w:w="109"/>
        <w:gridCol w:w="109"/>
        <w:gridCol w:w="109"/>
        <w:gridCol w:w="211"/>
        <w:gridCol w:w="901"/>
        <w:gridCol w:w="154"/>
      </w:tblGrid>
      <w:tr>
        <w:trPr/>
        <w:tc>
          <w:tcPr>
            <w:tcW w:w="1437" w:type="dxa"/>
            <w:tcBorders/>
            <w:vAlign w:val="center"/>
          </w:tcPr>
          <w:p>
            <w:pPr>
              <w:pStyle w:val="TableContents"/>
              <w:bidi w:val="0"/>
              <w:spacing w:before="0" w:after="283"/>
              <w:jc w:val="left"/>
              <w:rPr>
                <w:sz w:val="4"/>
                <w:szCs w:val="4"/>
              </w:rPr>
            </w:pPr>
            <w:r>
              <w:rPr>
                <w:sz w:val="4"/>
                <w:szCs w:val="4"/>
              </w:rPr>
            </w:r>
          </w:p>
        </w:tc>
        <w:tc>
          <w:tcPr>
            <w:tcW w:w="1253" w:type="dxa"/>
            <w:tcBorders/>
            <w:vAlign w:val="center"/>
          </w:tcPr>
          <w:p>
            <w:pPr>
              <w:pStyle w:val="TableContents"/>
              <w:bidi w:val="0"/>
              <w:spacing w:before="0" w:after="283"/>
              <w:jc w:val="left"/>
              <w:rPr>
                <w:sz w:val="4"/>
                <w:szCs w:val="4"/>
              </w:rPr>
            </w:pPr>
            <w:r>
              <w:rPr>
                <w:sz w:val="4"/>
                <w:szCs w:val="4"/>
              </w:rPr>
            </w:r>
          </w:p>
        </w:tc>
        <w:tc>
          <w:tcPr>
            <w:tcW w:w="1270"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5" w:type="dxa"/>
            <w:gridSpan w:val="9"/>
            <w:tcBorders/>
            <w:tcMar>
              <w:top w:w="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7" w:type="dxa"/>
            <w:gridSpan w:val="9"/>
            <w:tcBorders/>
            <w:tcMar>
              <w:top w:w="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8"/>
              </w:rPr>
            </w:pPr>
            <w:r>
              <w:rPr>
                <w:rFonts w:ascii="Times New Roman;serif" w:hAnsi="Times New Roman;serif"/>
                <w:b/>
                <w:color w:val="000000"/>
                <w:sz w:val="18"/>
              </w:rPr>
              <w:t>Nine Months Ended</w:t>
            </w:r>
          </w:p>
        </w:tc>
      </w:tr>
      <w:tr>
        <w:trPr/>
        <w:tc>
          <w:tcPr>
            <w:tcW w:w="3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8"/>
              </w:rPr>
            </w:pPr>
            <w:r>
              <w:rPr>
                <w:rFonts w:ascii="Times New Roman;serif" w:hAnsi="Times New Roman;serif"/>
                <w:b/>
                <w:color w:val="000000"/>
                <w:sz w:val="18"/>
              </w:rPr>
              <w:t>June 28,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8"/>
              </w:rPr>
            </w:pPr>
            <w:r>
              <w:rPr>
                <w:rFonts w:ascii="Times New Roman;serif" w:hAnsi="Times New Roman;serif"/>
                <w:b/>
                <w:color w:val="000000"/>
                <w:sz w:val="18"/>
              </w:rPr>
              <w:t>June 29,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8"/>
              </w:rPr>
            </w:pPr>
            <w:r>
              <w:rPr>
                <w:rFonts w:ascii="Times New Roman;serif" w:hAnsi="Times New Roman;serif"/>
                <w:b/>
                <w:color w:val="000000"/>
                <w:sz w:val="18"/>
              </w:rPr>
              <w:t>June 28,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8"/>
              </w:rPr>
            </w:pPr>
            <w:r>
              <w:rPr>
                <w:rFonts w:ascii="Times New Roman;serif" w:hAnsi="Times New Roman;serif"/>
                <w:b/>
                <w:color w:val="000000"/>
                <w:sz w:val="18"/>
              </w:rPr>
              <w:t>June 29, 2024</w:t>
            </w:r>
          </w:p>
        </w:tc>
      </w:tr>
      <w:tr>
        <w:trPr/>
        <w:tc>
          <w:tcPr>
            <w:tcW w:w="396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(31,925)</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(26,724)</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(71,883)</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(100,626)</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104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(8,373)</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(11,610)</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(23,371)</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(27,554)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 (benefit)</w:t>
            </w:r>
          </w:p>
        </w:tc>
        <w:tc>
          <w:tcPr>
            <w:tcW w:w="104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182 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(1,204)</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102 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04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12,940 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10,032 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30,969 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15,065 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104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50,279 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30,320 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126,982 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94,508 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Business combination transaction expenses</w:t>
            </w:r>
          </w:p>
        </w:tc>
        <w:tc>
          <w:tcPr>
            <w:tcW w:w="104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422 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7,522 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charges</w:t>
            </w:r>
          </w:p>
        </w:tc>
        <w:tc>
          <w:tcPr>
            <w:tcW w:w="104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16,361 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16,130 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34,206 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Joint venture formation fees</w:t>
            </w:r>
          </w:p>
        </w:tc>
        <w:tc>
          <w:tcPr>
            <w:tcW w:w="104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1,089 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Equity financing transaction costs</w:t>
            </w:r>
          </w:p>
        </w:tc>
        <w:tc>
          <w:tcPr>
            <w:tcW w:w="104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1,985 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Equity method investment</w:t>
            </w:r>
          </w:p>
        </w:tc>
        <w:tc>
          <w:tcPr>
            <w:tcW w:w="104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3,776 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537 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7,831 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537 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Internal control remediation</w:t>
            </w:r>
          </w:p>
        </w:tc>
        <w:tc>
          <w:tcPr>
            <w:tcW w:w="104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1,795 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7,046 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Business transformation costs</w:t>
            </w:r>
          </w:p>
        </w:tc>
        <w:tc>
          <w:tcPr>
            <w:tcW w:w="104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75 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2,475 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adjustments on strategic investments</w:t>
            </w:r>
          </w:p>
        </w:tc>
        <w:tc>
          <w:tcPr>
            <w:tcW w:w="104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(4,481)</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w:t>
            </w:r>
          </w:p>
        </w:tc>
        <w:tc>
          <w:tcPr>
            <w:tcW w:w="2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45,394 </w:t>
            </w:r>
          </w:p>
        </w:tc>
        <w:tc>
          <w:tcPr>
            <w:tcW w:w="1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2,737 </w:t>
            </w:r>
          </w:p>
        </w:tc>
        <w:tc>
          <w:tcPr>
            <w:tcW w:w="1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98,016 </w:t>
            </w:r>
          </w:p>
        </w:tc>
        <w:tc>
          <w:tcPr>
            <w:tcW w:w="1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19,312 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consider Adjusted gross profit and Adjusted gross profit margin to be important indicators of profitability which we use in our financial and operational decision-making and evaluation of our overall operating performance. We define Adjusted gross profit, a non-GAAP financial measure, as GAAP gross profit excluding the following items: depreciation, stock-based compensation, and restructuring charges. We define Adjusted gross profit margin, a non-GAAP financial measure, as non-GAAP Adjusted gross profit divided by total revenue. The following table reconciles GAAP gross profit to Adjusted gross profit and gross profit margin to Adjusted gross profit margin during the periods presented (dollars in thousands):</w:t>
      </w:r>
    </w:p>
    <w:tbl>
      <w:tblPr>
        <w:tblW w:w="7938" w:type="dxa"/>
        <w:jc w:val="left"/>
        <w:tblInd w:w="0" w:type="dxa"/>
        <w:tblLayout w:type="fixed"/>
        <w:tblCellMar>
          <w:top w:w="28" w:type="dxa"/>
          <w:left w:w="28" w:type="dxa"/>
          <w:bottom w:w="28" w:type="dxa"/>
          <w:right w:w="28" w:type="dxa"/>
        </w:tblCellMar>
      </w:tblPr>
      <w:tblGrid>
        <w:gridCol w:w="830"/>
        <w:gridCol w:w="726"/>
        <w:gridCol w:w="739"/>
        <w:gridCol w:w="212"/>
        <w:gridCol w:w="833"/>
        <w:gridCol w:w="109"/>
        <w:gridCol w:w="109"/>
        <w:gridCol w:w="109"/>
        <w:gridCol w:w="109"/>
        <w:gridCol w:w="234"/>
        <w:gridCol w:w="800"/>
        <w:gridCol w:w="121"/>
        <w:gridCol w:w="109"/>
        <w:gridCol w:w="109"/>
        <w:gridCol w:w="109"/>
        <w:gridCol w:w="212"/>
        <w:gridCol w:w="833"/>
        <w:gridCol w:w="109"/>
        <w:gridCol w:w="109"/>
        <w:gridCol w:w="109"/>
        <w:gridCol w:w="109"/>
        <w:gridCol w:w="212"/>
        <w:gridCol w:w="832"/>
        <w:gridCol w:w="155"/>
      </w:tblGrid>
      <w:tr>
        <w:trPr/>
        <w:tc>
          <w:tcPr>
            <w:tcW w:w="830"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22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6" w:type="dxa"/>
            <w:gridSpan w:val="9"/>
            <w:tcBorders/>
            <w:tcMar>
              <w:top w:w="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0" w:type="dxa"/>
            <w:gridSpan w:val="9"/>
            <w:tcBorders/>
            <w:tcMar>
              <w:top w:w="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8"/>
              </w:rPr>
            </w:pPr>
            <w:r>
              <w:rPr>
                <w:rFonts w:ascii="Times New Roman;serif" w:hAnsi="Times New Roman;serif"/>
                <w:b/>
                <w:color w:val="000000"/>
                <w:sz w:val="18"/>
              </w:rPr>
              <w:t>Nine Months Ended</w:t>
            </w:r>
          </w:p>
        </w:tc>
      </w:tr>
      <w:tr>
        <w:trPr/>
        <w:tc>
          <w:tcPr>
            <w:tcW w:w="22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8"/>
              </w:rPr>
            </w:pPr>
            <w:r>
              <w:rPr>
                <w:rFonts w:ascii="Times New Roman;serif" w:hAnsi="Times New Roman;serif"/>
                <w:b/>
                <w:color w:val="000000"/>
                <w:sz w:val="18"/>
              </w:rPr>
              <w:t>June 28,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8"/>
              </w:rPr>
            </w:pPr>
            <w:r>
              <w:rPr>
                <w:rFonts w:ascii="Times New Roman;serif" w:hAnsi="Times New Roman;serif"/>
                <w:b/>
                <w:color w:val="000000"/>
                <w:sz w:val="18"/>
              </w:rPr>
              <w:t>June 29,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8"/>
              </w:rPr>
            </w:pPr>
            <w:r>
              <w:rPr>
                <w:rFonts w:ascii="Times New Roman;serif" w:hAnsi="Times New Roman;serif"/>
                <w:b/>
                <w:color w:val="000000"/>
                <w:sz w:val="18"/>
              </w:rPr>
              <w:t>June 28,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8"/>
              </w:rPr>
            </w:pPr>
            <w:r>
              <w:rPr>
                <w:rFonts w:ascii="Times New Roman;serif" w:hAnsi="Times New Roman;serif"/>
                <w:b/>
                <w:color w:val="000000"/>
                <w:sz w:val="18"/>
              </w:rPr>
              <w:t>June 29, 2024</w:t>
            </w:r>
          </w:p>
        </w:tc>
      </w:tr>
      <w:tr>
        <w:trPr/>
        <w:tc>
          <w:tcPr>
            <w:tcW w:w="2295"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107,622 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54,973 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295,489 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149,249 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w:t>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3,538 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5,359 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8,957 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5,540 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5"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16,034 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3,807 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31,006 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12,394 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charges</w:t>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(231)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34,206 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5"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gross profit</w:t>
            </w:r>
          </w:p>
        </w:tc>
        <w:tc>
          <w:tcPr>
            <w:tcW w:w="2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127,194 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64,139 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335,221 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201,389 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6584" w:type="dxa"/>
        <w:jc w:val="left"/>
        <w:tblInd w:w="0" w:type="dxa"/>
        <w:tblLayout w:type="fixed"/>
        <w:tblCellMar>
          <w:top w:w="28" w:type="dxa"/>
          <w:left w:w="28" w:type="dxa"/>
          <w:bottom w:w="28" w:type="dxa"/>
          <w:right w:w="28" w:type="dxa"/>
        </w:tblCellMar>
      </w:tblPr>
      <w:tblGrid>
        <w:gridCol w:w="879"/>
        <w:gridCol w:w="774"/>
        <w:gridCol w:w="777"/>
        <w:gridCol w:w="255"/>
        <w:gridCol w:w="256"/>
        <w:gridCol w:w="271"/>
        <w:gridCol w:w="109"/>
        <w:gridCol w:w="109"/>
        <w:gridCol w:w="109"/>
        <w:gridCol w:w="255"/>
        <w:gridCol w:w="256"/>
        <w:gridCol w:w="271"/>
        <w:gridCol w:w="109"/>
        <w:gridCol w:w="109"/>
        <w:gridCol w:w="109"/>
        <w:gridCol w:w="255"/>
        <w:gridCol w:w="256"/>
        <w:gridCol w:w="271"/>
        <w:gridCol w:w="109"/>
        <w:gridCol w:w="109"/>
        <w:gridCol w:w="109"/>
        <w:gridCol w:w="255"/>
        <w:gridCol w:w="256"/>
        <w:gridCol w:w="316"/>
      </w:tblGrid>
      <w:tr>
        <w:trPr/>
        <w:tc>
          <w:tcPr>
            <w:tcW w:w="879"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43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 margin</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18.2 </w:t>
            </w:r>
          </w:p>
        </w:tc>
        <w:tc>
          <w:tcPr>
            <w:tcW w:w="271"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11.7 </w:t>
            </w:r>
          </w:p>
        </w:tc>
        <w:tc>
          <w:tcPr>
            <w:tcW w:w="271"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18.1 </w:t>
            </w:r>
          </w:p>
        </w:tc>
        <w:tc>
          <w:tcPr>
            <w:tcW w:w="271"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12.2 </w:t>
            </w:r>
          </w:p>
        </w:tc>
        <w:tc>
          <w:tcPr>
            <w:tcW w:w="316"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43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gross profit margin</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21.5 </w:t>
            </w:r>
          </w:p>
        </w:tc>
        <w:tc>
          <w:tcPr>
            <w:tcW w:w="271"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13.6 </w:t>
            </w:r>
          </w:p>
        </w:tc>
        <w:tc>
          <w:tcPr>
            <w:tcW w:w="271"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20.6 </w:t>
            </w:r>
          </w:p>
        </w:tc>
        <w:tc>
          <w:tcPr>
            <w:tcW w:w="271"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16.5 </w:t>
            </w:r>
          </w:p>
        </w:tc>
        <w:tc>
          <w:tcPr>
            <w:tcW w:w="316"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consider Adjusted research and development expenses and Adjusted selling, general, and administrative expenses to be important indicators of profitability which we use in our financial and operational decision-making and evaluation of our overall operating performance. We define Adjusted research and development expenses and Adjusted selling, general, and administrative expenses as GAAP research and development expense or selling, general, and administrative expense excluding the items indicated in the tables below. The following tables reconcile GAAP research and development expenses to Adjusted research and development expenses and GAAP selling, general, and administrative expenses to Adjusted selling, general, and administrative expenses during the periods presented (in thousands):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84785"/>
                <wp:effectExtent l="0" t="0" r="0" b="0"/>
                <wp:wrapNone/>
                <wp:docPr id="43" name="Frame43"/>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lineRule="auto" w:line="288" w:before="60" w:after="283"/>
        <w:ind w:left="0" w:right="0" w:firstLine="360"/>
        <w:jc w:val="left"/>
        <w:rPr/>
      </w:pPr>
      <w:hyperlink w:anchor="i123540df82f04e0eb97811cc101df5ff_7">
        <w:r>
          <w:rPr>
            <w:rStyle w:val="InternetLink"/>
            <w:rFonts w:ascii="Times New Roman;serif" w:hAnsi="Times New Roman;serif"/>
            <w:b w:val="false"/>
            <w:color w:val="0000FF"/>
            <w:sz w:val="20"/>
            <w:u w:val="single"/>
          </w:rPr>
          <w:t>Table of Contents</w:t>
        </w:r>
      </w:hyperlink>
    </w:p>
    <w:tbl>
      <w:tblPr>
        <w:tblW w:w="9438" w:type="dxa"/>
        <w:jc w:val="left"/>
        <w:tblInd w:w="0" w:type="dxa"/>
        <w:tblLayout w:type="fixed"/>
        <w:tblCellMar>
          <w:top w:w="28" w:type="dxa"/>
          <w:left w:w="28" w:type="dxa"/>
          <w:bottom w:w="28" w:type="dxa"/>
          <w:right w:w="28" w:type="dxa"/>
        </w:tblCellMar>
      </w:tblPr>
      <w:tblGrid>
        <w:gridCol w:w="1376"/>
        <w:gridCol w:w="1206"/>
        <w:gridCol w:w="1212"/>
        <w:gridCol w:w="234"/>
        <w:gridCol w:w="800"/>
        <w:gridCol w:w="121"/>
        <w:gridCol w:w="109"/>
        <w:gridCol w:w="109"/>
        <w:gridCol w:w="109"/>
        <w:gridCol w:w="234"/>
        <w:gridCol w:w="800"/>
        <w:gridCol w:w="121"/>
        <w:gridCol w:w="109"/>
        <w:gridCol w:w="109"/>
        <w:gridCol w:w="109"/>
        <w:gridCol w:w="212"/>
        <w:gridCol w:w="833"/>
        <w:gridCol w:w="109"/>
        <w:gridCol w:w="109"/>
        <w:gridCol w:w="109"/>
        <w:gridCol w:w="109"/>
        <w:gridCol w:w="212"/>
        <w:gridCol w:w="832"/>
        <w:gridCol w:w="155"/>
      </w:tblGrid>
      <w:tr>
        <w:trPr/>
        <w:tc>
          <w:tcPr>
            <w:tcW w:w="1376" w:type="dxa"/>
            <w:tcBorders/>
            <w:vAlign w:val="center"/>
          </w:tcPr>
          <w:p>
            <w:pPr>
              <w:pStyle w:val="TableContents"/>
              <w:bidi w:val="0"/>
              <w:spacing w:before="0" w:after="283"/>
              <w:jc w:val="left"/>
              <w:rPr>
                <w:sz w:val="4"/>
                <w:szCs w:val="4"/>
              </w:rPr>
            </w:pPr>
            <w:r>
              <w:rPr>
                <w:sz w:val="4"/>
                <w:szCs w:val="4"/>
              </w:rPr>
            </w:r>
          </w:p>
        </w:tc>
        <w:tc>
          <w:tcPr>
            <w:tcW w:w="1206" w:type="dxa"/>
            <w:tcBorders/>
            <w:vAlign w:val="center"/>
          </w:tcPr>
          <w:p>
            <w:pPr>
              <w:pStyle w:val="TableContents"/>
              <w:bidi w:val="0"/>
              <w:spacing w:before="0" w:after="283"/>
              <w:jc w:val="left"/>
              <w:rPr>
                <w:sz w:val="4"/>
                <w:szCs w:val="4"/>
              </w:rPr>
            </w:pPr>
            <w:r>
              <w:rPr>
                <w:sz w:val="4"/>
                <w:szCs w:val="4"/>
              </w:rPr>
            </w:r>
          </w:p>
        </w:tc>
        <w:tc>
          <w:tcPr>
            <w:tcW w:w="121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7" w:type="dxa"/>
            <w:gridSpan w:val="9"/>
            <w:tcBorders/>
            <w:tcMar>
              <w:top w:w="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0" w:type="dxa"/>
            <w:gridSpan w:val="9"/>
            <w:tcBorders/>
            <w:tcMar>
              <w:top w:w="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8"/>
              </w:rPr>
            </w:pPr>
            <w:r>
              <w:rPr>
                <w:rFonts w:ascii="Times New Roman;serif" w:hAnsi="Times New Roman;serif"/>
                <w:b/>
                <w:color w:val="000000"/>
                <w:sz w:val="18"/>
              </w:rPr>
              <w:t>Nine Months Ended</w:t>
            </w:r>
          </w:p>
        </w:tc>
      </w:tr>
      <w:tr>
        <w:trPr/>
        <w:tc>
          <w:tcPr>
            <w:tcW w:w="3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8"/>
              </w:rPr>
            </w:pPr>
            <w:r>
              <w:rPr>
                <w:rFonts w:ascii="Times New Roman;serif" w:hAnsi="Times New Roman;serif"/>
                <w:b/>
                <w:color w:val="000000"/>
                <w:sz w:val="18"/>
              </w:rPr>
              <w:t>June 28,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8"/>
              </w:rPr>
            </w:pPr>
            <w:r>
              <w:rPr>
                <w:rFonts w:ascii="Times New Roman;serif" w:hAnsi="Times New Roman;serif"/>
                <w:b/>
                <w:color w:val="000000"/>
                <w:sz w:val="18"/>
              </w:rPr>
              <w:t>June 29,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8"/>
              </w:rPr>
            </w:pPr>
            <w:r>
              <w:rPr>
                <w:rFonts w:ascii="Times New Roman;serif" w:hAnsi="Times New Roman;serif"/>
                <w:b/>
                <w:color w:val="000000"/>
                <w:sz w:val="18"/>
              </w:rPr>
              <w:t>June 28,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8"/>
              </w:rPr>
            </w:pPr>
            <w:r>
              <w:rPr>
                <w:rFonts w:ascii="Times New Roman;serif" w:hAnsi="Times New Roman;serif"/>
                <w:b/>
                <w:color w:val="000000"/>
                <w:sz w:val="18"/>
              </w:rPr>
              <w:t>June 29, 2024</w:t>
            </w:r>
          </w:p>
        </w:tc>
      </w:tr>
      <w:tr>
        <w:trPr/>
        <w:tc>
          <w:tcPr>
            <w:tcW w:w="379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 expenses</w:t>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52,147 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44,722 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157,279 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133,327 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(7,133)</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(1,250)</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(15,044)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(3,236)</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Stock-based compensation </w:t>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(12,860)</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(13,279)</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(40,719)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(41,728)</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research and development expenses</w:t>
            </w:r>
          </w:p>
        </w:tc>
        <w:tc>
          <w:tcPr>
            <w:tcW w:w="2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32,154 </w:t>
            </w:r>
          </w:p>
        </w:tc>
        <w:tc>
          <w:tcPr>
            <w:tcW w:w="1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30,193 </w:t>
            </w:r>
          </w:p>
        </w:tc>
        <w:tc>
          <w:tcPr>
            <w:tcW w:w="1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101,516 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88,363 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173" w:type="dxa"/>
        <w:jc w:val="left"/>
        <w:tblInd w:w="0" w:type="dxa"/>
        <w:tblLayout w:type="fixed"/>
        <w:tblCellMar>
          <w:top w:w="28" w:type="dxa"/>
          <w:left w:w="28" w:type="dxa"/>
          <w:bottom w:w="28" w:type="dxa"/>
          <w:right w:w="28" w:type="dxa"/>
        </w:tblCellMar>
      </w:tblPr>
      <w:tblGrid>
        <w:gridCol w:w="1642"/>
        <w:gridCol w:w="1442"/>
        <w:gridCol w:w="1445"/>
        <w:gridCol w:w="234"/>
        <w:gridCol w:w="800"/>
        <w:gridCol w:w="121"/>
        <w:gridCol w:w="109"/>
        <w:gridCol w:w="109"/>
        <w:gridCol w:w="109"/>
        <w:gridCol w:w="234"/>
        <w:gridCol w:w="800"/>
        <w:gridCol w:w="121"/>
        <w:gridCol w:w="109"/>
        <w:gridCol w:w="109"/>
        <w:gridCol w:w="109"/>
        <w:gridCol w:w="212"/>
        <w:gridCol w:w="833"/>
        <w:gridCol w:w="109"/>
        <w:gridCol w:w="109"/>
        <w:gridCol w:w="109"/>
        <w:gridCol w:w="109"/>
        <w:gridCol w:w="212"/>
        <w:gridCol w:w="832"/>
        <w:gridCol w:w="155"/>
      </w:tblGrid>
      <w:tr>
        <w:trPr/>
        <w:tc>
          <w:tcPr>
            <w:tcW w:w="1642" w:type="dxa"/>
            <w:tcBorders/>
            <w:vAlign w:val="center"/>
          </w:tcPr>
          <w:p>
            <w:pPr>
              <w:pStyle w:val="TableContents"/>
              <w:bidi w:val="0"/>
              <w:spacing w:before="0" w:after="283"/>
              <w:jc w:val="left"/>
              <w:rPr>
                <w:sz w:val="4"/>
                <w:szCs w:val="4"/>
              </w:rPr>
            </w:pPr>
            <w:r>
              <w:rPr>
                <w:sz w:val="4"/>
                <w:szCs w:val="4"/>
              </w:rPr>
            </w:r>
          </w:p>
        </w:tc>
        <w:tc>
          <w:tcPr>
            <w:tcW w:w="1442" w:type="dxa"/>
            <w:tcBorders/>
            <w:vAlign w:val="center"/>
          </w:tcPr>
          <w:p>
            <w:pPr>
              <w:pStyle w:val="TableContents"/>
              <w:bidi w:val="0"/>
              <w:spacing w:before="0" w:after="283"/>
              <w:jc w:val="left"/>
              <w:rPr>
                <w:sz w:val="4"/>
                <w:szCs w:val="4"/>
              </w:rPr>
            </w:pPr>
            <w:r>
              <w:rPr>
                <w:sz w:val="4"/>
                <w:szCs w:val="4"/>
              </w:rPr>
            </w:r>
          </w:p>
        </w:tc>
        <w:tc>
          <w:tcPr>
            <w:tcW w:w="1445"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7" w:type="dxa"/>
            <w:gridSpan w:val="9"/>
            <w:tcBorders/>
            <w:tcMar>
              <w:top w:w="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0" w:type="dxa"/>
            <w:gridSpan w:val="9"/>
            <w:tcBorders/>
            <w:tcMar>
              <w:top w:w="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8"/>
              </w:rPr>
            </w:pPr>
            <w:r>
              <w:rPr>
                <w:rFonts w:ascii="Times New Roman;serif" w:hAnsi="Times New Roman;serif"/>
                <w:b/>
                <w:color w:val="000000"/>
                <w:sz w:val="18"/>
              </w:rPr>
              <w:t>Nine Months Ended</w:t>
            </w:r>
          </w:p>
        </w:tc>
      </w:tr>
      <w:tr>
        <w:trPr/>
        <w:tc>
          <w:tcPr>
            <w:tcW w:w="4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8"/>
              </w:rPr>
            </w:pPr>
            <w:r>
              <w:rPr>
                <w:rFonts w:ascii="Times New Roman;serif" w:hAnsi="Times New Roman;serif"/>
                <w:b/>
                <w:color w:val="000000"/>
                <w:sz w:val="18"/>
              </w:rPr>
              <w:t>June 28,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8"/>
              </w:rPr>
            </w:pPr>
            <w:r>
              <w:rPr>
                <w:rFonts w:ascii="Times New Roman;serif" w:hAnsi="Times New Roman;serif"/>
                <w:b/>
                <w:color w:val="000000"/>
                <w:sz w:val="18"/>
              </w:rPr>
              <w:t>June 29,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8"/>
              </w:rPr>
            </w:pPr>
            <w:r>
              <w:rPr>
                <w:rFonts w:ascii="Times New Roman;serif" w:hAnsi="Times New Roman;serif"/>
                <w:b/>
                <w:color w:val="000000"/>
                <w:sz w:val="18"/>
              </w:rPr>
              <w:t>June 28,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8"/>
              </w:rPr>
            </w:pPr>
            <w:r>
              <w:rPr>
                <w:rFonts w:ascii="Times New Roman;serif" w:hAnsi="Times New Roman;serif"/>
                <w:b/>
                <w:color w:val="000000"/>
                <w:sz w:val="18"/>
              </w:rPr>
              <w:t>June 29, 2024</w:t>
            </w:r>
          </w:p>
        </w:tc>
      </w:tr>
      <w:tr>
        <w:trPr/>
        <w:tc>
          <w:tcPr>
            <w:tcW w:w="452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w:t>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75,670 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47,871 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215,092 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143,535 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(2,270)</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(3,423)</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(6,969)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(6,294)</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(21,385)</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(13,235)</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(55,257)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(40,385)</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Business combination transaction expenses</w:t>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(422)</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(7,522)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Internal control remediation</w:t>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(1,795)</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(7,046)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Business transformation costs</w:t>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(75)</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(2,475)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Joint venture formation fees</w:t>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(1,089)</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Equity financing transaction costs</w:t>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(1,985)</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selling, general, and administrative expenses</w:t>
            </w:r>
          </w:p>
        </w:tc>
        <w:tc>
          <w:tcPr>
            <w:tcW w:w="2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49,723 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31,213 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135,823 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93,782 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consider free cash flow to be an important indicator of financial liquidity, which we use in our financial and operational decision-making and evaluation of our overall operating performance. We define free cash flow as net cash provided by, or used in, operating activities less purchases of property and equipment and capitalization of internal use software development costs. The following table reconciles GAAP net cash provided by, or used in, operating activities to free cash flow during the periods presented (in thousands):</w:t>
      </w:r>
    </w:p>
    <w:tbl>
      <w:tblPr>
        <w:tblW w:w="10205" w:type="dxa"/>
        <w:jc w:val="left"/>
        <w:tblInd w:w="0" w:type="dxa"/>
        <w:tblLayout w:type="fixed"/>
        <w:tblCellMar>
          <w:top w:w="28" w:type="dxa"/>
          <w:left w:w="28" w:type="dxa"/>
          <w:bottom w:w="28" w:type="dxa"/>
          <w:right w:w="28" w:type="dxa"/>
        </w:tblCellMar>
      </w:tblPr>
      <w:tblGrid>
        <w:gridCol w:w="1800"/>
        <w:gridCol w:w="1416"/>
        <w:gridCol w:w="1427"/>
        <w:gridCol w:w="211"/>
        <w:gridCol w:w="870"/>
        <w:gridCol w:w="109"/>
        <w:gridCol w:w="109"/>
        <w:gridCol w:w="109"/>
        <w:gridCol w:w="109"/>
        <w:gridCol w:w="222"/>
        <w:gridCol w:w="760"/>
        <w:gridCol w:w="114"/>
        <w:gridCol w:w="109"/>
        <w:gridCol w:w="109"/>
        <w:gridCol w:w="109"/>
        <w:gridCol w:w="211"/>
        <w:gridCol w:w="829"/>
        <w:gridCol w:w="109"/>
        <w:gridCol w:w="109"/>
        <w:gridCol w:w="109"/>
        <w:gridCol w:w="109"/>
        <w:gridCol w:w="221"/>
        <w:gridCol w:w="758"/>
        <w:gridCol w:w="167"/>
      </w:tblGrid>
      <w:tr>
        <w:trPr/>
        <w:tc>
          <w:tcPr>
            <w:tcW w:w="1800" w:type="dxa"/>
            <w:tcBorders/>
            <w:vAlign w:val="center"/>
          </w:tcPr>
          <w:p>
            <w:pPr>
              <w:pStyle w:val="TableContents"/>
              <w:bidi w:val="0"/>
              <w:spacing w:before="0" w:after="283"/>
              <w:jc w:val="left"/>
              <w:rPr>
                <w:sz w:val="4"/>
                <w:szCs w:val="4"/>
              </w:rPr>
            </w:pPr>
            <w:r>
              <w:rPr>
                <w:sz w:val="4"/>
                <w:szCs w:val="4"/>
              </w:rPr>
            </w:r>
          </w:p>
        </w:tc>
        <w:tc>
          <w:tcPr>
            <w:tcW w:w="1416" w:type="dxa"/>
            <w:tcBorders/>
            <w:vAlign w:val="center"/>
          </w:tcPr>
          <w:p>
            <w:pPr>
              <w:pStyle w:val="TableContents"/>
              <w:bidi w:val="0"/>
              <w:spacing w:before="0" w:after="283"/>
              <w:jc w:val="left"/>
              <w:rPr>
                <w:sz w:val="4"/>
                <w:szCs w:val="4"/>
              </w:rPr>
            </w:pPr>
            <w:r>
              <w:rPr>
                <w:sz w:val="4"/>
                <w:szCs w:val="4"/>
              </w:rPr>
            </w:r>
          </w:p>
        </w:tc>
        <w:tc>
          <w:tcPr>
            <w:tcW w:w="142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46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3" w:type="dxa"/>
            <w:gridSpan w:val="9"/>
            <w:tcBorders/>
            <w:tcMar>
              <w:top w:w="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2" w:type="dxa"/>
            <w:gridSpan w:val="9"/>
            <w:tcBorders/>
            <w:tcMar>
              <w:top w:w="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8"/>
              </w:rPr>
            </w:pPr>
            <w:r>
              <w:rPr>
                <w:rFonts w:ascii="Times New Roman;serif" w:hAnsi="Times New Roman;serif"/>
                <w:b/>
                <w:color w:val="000000"/>
                <w:sz w:val="18"/>
              </w:rPr>
              <w:t>Nine Months Ended</w:t>
            </w:r>
          </w:p>
        </w:tc>
      </w:tr>
      <w:tr>
        <w:trPr/>
        <w:tc>
          <w:tcPr>
            <w:tcW w:w="46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8"/>
              </w:rPr>
            </w:pPr>
            <w:r>
              <w:rPr>
                <w:rFonts w:ascii="Times New Roman;serif" w:hAnsi="Times New Roman;serif"/>
                <w:b/>
                <w:color w:val="000000"/>
                <w:sz w:val="18"/>
              </w:rPr>
              <w:t>June 28,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8"/>
              </w:rPr>
            </w:pPr>
            <w:r>
              <w:rPr>
                <w:rFonts w:ascii="Times New Roman;serif" w:hAnsi="Times New Roman;serif"/>
                <w:b/>
                <w:color w:val="000000"/>
                <w:sz w:val="18"/>
              </w:rPr>
              <w:t>June 29,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8"/>
              </w:rPr>
            </w:pPr>
            <w:r>
              <w:rPr>
                <w:rFonts w:ascii="Times New Roman;serif" w:hAnsi="Times New Roman;serif"/>
                <w:b/>
                <w:color w:val="000000"/>
                <w:sz w:val="18"/>
              </w:rPr>
              <w:t>June 28,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8"/>
              </w:rPr>
            </w:pPr>
            <w:r>
              <w:rPr>
                <w:rFonts w:ascii="Times New Roman;serif" w:hAnsi="Times New Roman;serif"/>
                <w:b/>
                <w:color w:val="000000"/>
                <w:sz w:val="18"/>
              </w:rPr>
              <w:t>June 29, 2024</w:t>
            </w:r>
          </w:p>
        </w:tc>
      </w:tr>
      <w:tr>
        <w:trPr/>
        <w:tc>
          <w:tcPr>
            <w:tcW w:w="4643"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(used in) operating activities</w:t>
            </w:r>
          </w:p>
        </w:tc>
        <w:tc>
          <w:tcPr>
            <w:tcW w:w="211"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0"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(138,343)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0"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50,384 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9"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336,259 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8"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41,306 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3"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property and equipment and capitalization of internal use software development costs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(14,867)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(17,143)</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(42,784)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(23,007)</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3"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Free cash flow</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(153,210)</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33,241 </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293,475 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18,299 </w:t>
            </w:r>
          </w:p>
        </w:tc>
        <w:tc>
          <w:tcPr>
            <w:tcW w:w="1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As of June 28, 2025, our principal sources of liquidity were cash received from customers upon the inception and continuation of contracts to install Systems.</w:t>
      </w:r>
    </w:p>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shows net cash provided by operating activities, net cash provided by (used in) investing activities, and net cash provided by (used in) financing activities for the nine months ended June 28, 2025 and June 29, 2024:</w:t>
      </w:r>
    </w:p>
    <w:tbl>
      <w:tblPr>
        <w:tblW w:w="5401" w:type="dxa"/>
        <w:jc w:val="center"/>
        <w:tblInd w:w="0" w:type="dxa"/>
        <w:tblLayout w:type="fixed"/>
        <w:tblCellMar>
          <w:top w:w="28" w:type="dxa"/>
          <w:left w:w="28" w:type="dxa"/>
          <w:bottom w:w="28" w:type="dxa"/>
          <w:right w:w="28" w:type="dxa"/>
        </w:tblCellMar>
      </w:tblPr>
      <w:tblGrid>
        <w:gridCol w:w="961"/>
        <w:gridCol w:w="843"/>
        <w:gridCol w:w="850"/>
        <w:gridCol w:w="211"/>
        <w:gridCol w:w="901"/>
        <w:gridCol w:w="109"/>
        <w:gridCol w:w="109"/>
        <w:gridCol w:w="109"/>
        <w:gridCol w:w="109"/>
        <w:gridCol w:w="212"/>
        <w:gridCol w:w="832"/>
        <w:gridCol w:w="155"/>
      </w:tblGrid>
      <w:tr>
        <w:trPr/>
        <w:tc>
          <w:tcPr>
            <w:tcW w:w="961"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2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7" w:type="dxa"/>
            <w:gridSpan w:val="9"/>
            <w:tcBorders/>
            <w:tcMar>
              <w:top w:w="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8"/>
              </w:rPr>
            </w:pPr>
            <w:r>
              <w:rPr>
                <w:rFonts w:ascii="Times New Roman;serif" w:hAnsi="Times New Roman;serif"/>
                <w:b/>
                <w:color w:val="000000"/>
                <w:sz w:val="18"/>
              </w:rPr>
              <w:t>Nine Months Ended</w:t>
            </w:r>
          </w:p>
        </w:tc>
      </w:tr>
      <w:tr>
        <w:trPr/>
        <w:tc>
          <w:tcPr>
            <w:tcW w:w="2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8"/>
              </w:rPr>
            </w:pPr>
            <w:r>
              <w:rPr>
                <w:rFonts w:ascii="Times New Roman;serif" w:hAnsi="Times New Roman;serif"/>
                <w:b/>
                <w:color w:val="000000"/>
                <w:sz w:val="18"/>
              </w:rPr>
              <w:t>June 28,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300" w:before="0" w:after="283"/>
              <w:jc w:val="center"/>
              <w:rPr>
                <w:rFonts w:ascii="Times New Roman;serif" w:hAnsi="Times New Roman;serif"/>
                <w:b/>
                <w:color w:val="000000"/>
                <w:sz w:val="18"/>
              </w:rPr>
            </w:pPr>
            <w:r>
              <w:rPr>
                <w:rFonts w:ascii="Times New Roman;serif" w:hAnsi="Times New Roman;serif"/>
                <w:b/>
                <w:color w:val="000000"/>
                <w:sz w:val="18"/>
              </w:rPr>
              <w:t>June 29, 2024</w:t>
            </w:r>
          </w:p>
        </w:tc>
      </w:tr>
      <w:tr>
        <w:trPr/>
        <w:tc>
          <w:tcPr>
            <w:tcW w:w="2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val="false"/>
                <w:color w:val="000000"/>
                <w:sz w:val="18"/>
              </w:rPr>
            </w:pPr>
            <w:r>
              <w:rPr>
                <w:rFonts w:ascii="Times New Roman;serif" w:hAnsi="Times New Roman;serif"/>
                <w:b w:val="false"/>
                <w:color w:val="000000"/>
                <w:sz w:val="18"/>
              </w:rPr>
              <w:t>(in thousands)</w:t>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(used in):</w:t>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activities</w:t>
            </w:r>
          </w:p>
        </w:tc>
        <w:tc>
          <w:tcPr>
            <w:tcW w:w="211"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336,259 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2"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41,306 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Investing activities</w:t>
            </w:r>
          </w:p>
        </w:tc>
        <w:tc>
          <w:tcPr>
            <w:tcW w:w="211"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(285,009)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2"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201,844 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Financing activities</w:t>
            </w:r>
          </w:p>
        </w:tc>
        <w:tc>
          <w:tcPr>
            <w:tcW w:w="211"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(954)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2"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369,289 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84785"/>
                <wp:effectExtent l="0" t="0" r="0" b="0"/>
                <wp:wrapNone/>
                <wp:docPr id="44" name="Frame44"/>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lineRule="auto" w:line="288" w:before="60" w:after="283"/>
        <w:ind w:left="0" w:right="0" w:firstLine="360"/>
        <w:jc w:val="left"/>
        <w:rPr/>
      </w:pPr>
      <w:hyperlink w:anchor="i123540df82f04e0eb97811cc101df5ff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60"/>
        <w:jc w:val="left"/>
        <w:rPr>
          <w:rFonts w:ascii="Times New Roman;serif" w:hAnsi="Times New Roman;serif"/>
          <w:b w:val="false"/>
          <w:i/>
          <w:color w:val="000000"/>
          <w:sz w:val="20"/>
        </w:rPr>
      </w:pPr>
      <w:r>
        <w:rPr>
          <w:rFonts w:ascii="Times New Roman;serif" w:hAnsi="Times New Roman;serif"/>
          <w:b w:val="false"/>
          <w:i/>
          <w:color w:val="000000"/>
          <w:sz w:val="20"/>
        </w:rPr>
        <w:t>Operating Activities</w:t>
      </w:r>
    </w:p>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net cash provided by operating activities consists of net loss adjusted for certain non-cash items, including depreciation and amortization, foreign currency gains and losses, loss on disposal of assets, provision for excess and obsolete inventory, and stock-based compensation, as well as changes in operating assets and liabilities. The primary changes in working capital items, such as the changes in accounts receivable and deferred revenue, result from the difference in timing of payments from our customers related to System Deployments and the associated costs incurred by us to fulfill the System performance obligation. This may result in an operating cash flow source or use for the period, depending on the timing of payments received as compared to the fulfillment of the System performance obligation.</w:t>
      </w:r>
    </w:p>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 was $336.3 million during the nine months ended June 28, 2025. Net cash provided by operating activities was primarily due to our net loss of $71.9 million adjusted for non-cash items of $162.1 million, primarily consisting of $34.1 million depreciation and amortization, $119.6 million stock-based compensation, and $4.9 million provision for excess and obsolete inventory, offset by cash provided by operating assets and liabilities of $246.1 million. Cash provided by operating assets and liabilities of $246.1 million was primarily driven by net working capital changes, including the timing of cash payments to vendors and cash receipts from customers.</w:t>
      </w:r>
    </w:p>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 was $41.3 million during the nine months ended June 29, 2024. Net cash provided by operating activities was primarily due to our net loss of $100.6 million adjusted for non-cash items of $128.5 million, primarily consisting of $17.0 million depreciation and amortization, $86.9 million stock-based compensation, and $34.1 million provision for excess and obsolete inventory, offset by cash provided by operating assets and liabilities of $13.5 million. Cash provided by operating assets and liabilities of $13.5 million was primarily driven by net working capital changes, including the timing of cash payments to vendors and cash receipts from customers.</w:t>
      </w:r>
    </w:p>
    <w:p>
      <w:pPr>
        <w:pStyle w:val="TextBody"/>
        <w:bidi w:val="0"/>
        <w:spacing w:lineRule="auto" w:line="288" w:before="120" w:after="60"/>
        <w:jc w:val="left"/>
        <w:rPr>
          <w:rFonts w:ascii="Times New Roman;serif" w:hAnsi="Times New Roman;serif"/>
          <w:b w:val="false"/>
          <w:i/>
          <w:color w:val="000000"/>
          <w:sz w:val="20"/>
        </w:rPr>
      </w:pPr>
      <w:r>
        <w:rPr>
          <w:rFonts w:ascii="Times New Roman;serif" w:hAnsi="Times New Roman;serif"/>
          <w:b w:val="false"/>
          <w:i/>
          <w:color w:val="000000"/>
          <w:sz w:val="20"/>
        </w:rPr>
        <w:t>Investing Activities</w:t>
      </w:r>
    </w:p>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investing activities have consisted primarily of property and equipment purchases, capitalization of internal use software development costs, and acquisitions of strategic investments.</w:t>
      </w:r>
    </w:p>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Net cash and cash equivalents used in investing activities during the nine months ended June 28, 2025 is primarily driven by $42.2 million of cash paid for strategic investments as well as $200.0 million of cash paid for business acquisitions. No other significant investing activities occurred during the nine months ended June 28, 2025.</w:t>
      </w:r>
    </w:p>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Net cash and cash equivalents provided by investing activities during the nine months ended June 29, 2024 is primarily driven by $340.0 million in proceeds upon the maturity of certain U.S. Treasury securities, offset by purchases of U.S. Treasury securities of $48.7 million. Additionally, we made strategic investments of $66.5 million. No other significant investing activities occurred during the nine months ended June 29, 2024.</w:t>
      </w:r>
    </w:p>
    <w:p>
      <w:pPr>
        <w:pStyle w:val="TextBody"/>
        <w:bidi w:val="0"/>
        <w:spacing w:lineRule="auto" w:line="288" w:before="120" w:after="60"/>
        <w:jc w:val="left"/>
        <w:rPr>
          <w:rFonts w:ascii="Times New Roman;serif" w:hAnsi="Times New Roman;serif"/>
          <w:b w:val="false"/>
          <w:i/>
          <w:color w:val="000000"/>
          <w:sz w:val="20"/>
        </w:rPr>
      </w:pPr>
      <w:r>
        <w:rPr>
          <w:rFonts w:ascii="Times New Roman;serif" w:hAnsi="Times New Roman;serif"/>
          <w:b w:val="false"/>
          <w:i/>
          <w:color w:val="000000"/>
          <w:sz w:val="20"/>
        </w:rPr>
        <w:t>Financing Activities</w:t>
      </w:r>
    </w:p>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financing activities typically consist of payments and proceeds related to our equity incentive plans for both RSUs and ESPP, and also include proceeds from the exercise of the vested warrants issued to Walmart as well as proceeds from equity financing transactions.</w:t>
      </w:r>
    </w:p>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During the nine months ended June 28, 2025, we paid cash for taxes related to the net share settlement of stock-based compensation awards of $3.0 million, which was offset by cash proceeds from the issuance of common stock under our ESPP of $3.2 million. Additionally, we made distributions to Symbotic Holdings LLC partners of $1.2 million. No other significant financing activities occurred during the nine months ended June 28, 2025.</w:t>
      </w:r>
    </w:p>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During the nine months ended June 29, 2024, we received cash of $158.7 million upon the gross exercise by Walmart of the vested Warrant Units, which occurred in December 2023. We additionally received proceeds of $258.0 million in relation to issuance of Class A common stock upon completion of our equity financing in March 2024. Offsetting these proceeds were distributions to Symbotic Holdings LLC partners of $47.7 million. No other significant financing activities occurred during the nine months ended June 29, 2024.</w:t>
      </w:r>
    </w:p>
    <w:p>
      <w:pPr>
        <w:pStyle w:val="TextBody"/>
        <w:bidi w:val="0"/>
        <w:spacing w:lineRule="auto" w:line="288" w:before="120" w:after="60"/>
        <w:jc w:val="left"/>
        <w:rPr>
          <w:rFonts w:ascii="Times New Roman;serif" w:hAnsi="Times New Roman;serif"/>
          <w:b w:val="false"/>
          <w:i/>
          <w:color w:val="000000"/>
          <w:sz w:val="20"/>
        </w:rPr>
      </w:pPr>
      <w:r>
        <w:rPr>
          <w:rFonts w:ascii="Times New Roman;serif" w:hAnsi="Times New Roman;serif"/>
          <w:b w:val="false"/>
          <w:i/>
          <w:color w:val="000000"/>
          <w:sz w:val="20"/>
        </w:rPr>
        <w:t>Contractual Obligations and Commitments and Liquidity Outlook</w:t>
      </w:r>
    </w:p>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cash flows from operations along with equity infusions have historically been sufficient to fund our operating activities and other cash requirements. As of June 28, 2025, we had a cash and cash equivalents balance of $777.6 million. Our cash requirements for the nine months ended June 28, 2025 were primarily related to inventory purchases in order to deliver our Systems to our customers in an orderly manner in line with our installation timeline, and acquisitions of strategic investments to expand our investment profile.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84785"/>
                <wp:effectExtent l="0" t="0" r="0" b="0"/>
                <wp:wrapNone/>
                <wp:docPr id="45" name="Frame45"/>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lineRule="auto" w:line="288" w:before="60" w:after="283"/>
        <w:ind w:left="0" w:right="0" w:firstLine="360"/>
        <w:jc w:val="left"/>
        <w:rPr/>
      </w:pPr>
      <w:hyperlink w:anchor="i123540df82f04e0eb97811cc101df5ff_7">
        <w:r>
          <w:rPr>
            <w:rStyle w:val="InternetLink"/>
            <w:rFonts w:ascii="Times New Roman;serif" w:hAnsi="Times New Roman;serif"/>
            <w:b w:val="false"/>
            <w:color w:val="0000FF"/>
            <w:sz w:val="20"/>
            <w:u w:val="single"/>
          </w:rPr>
          <w:t>Table of Contents</w:t>
        </w:r>
      </w:hyperlink>
    </w:p>
    <w:p>
      <w:pPr>
        <w:pStyle w:val="TextBody"/>
        <w:bidi w:val="0"/>
        <w:spacing w:lineRule="auto" w:line="288" w:before="60" w:after="283"/>
        <w:ind w:left="0" w:right="0" w:firstLine="360"/>
        <w:jc w:val="left"/>
        <w:rPr/>
      </w:pPr>
      <w:r>
        <w:rPr>
          <w:rFonts w:ascii="Times New Roman;serif" w:hAnsi="Times New Roman;serif"/>
          <w:b w:val="false"/>
          <w:color w:val="000000"/>
          <w:sz w:val="20"/>
        </w:rPr>
        <w:t xml:space="preserve">Based on our present business plan, we expect our current cash and cash equivalents, working capital, and our forecasted cash flows from operations to be sufficient to meet our foreseeable cash needs for at least the next 12 months. Our foreseeable cash needs, in addition to our recurring operating expenses, include our expected capital expenditures to support expansion of our infrastructure and workforce, potential strategic acquisitions, and minimum contractual obligations. Contractual obligations are cash that we are obligated to pay as part of certain contracts that we have entered into during our course of business. Our contractual obligations consist of operating lease liabilities that are included in our condensed consolidated balance sheet and vendor commitments associated with agreements that are legally binding. Our operating lease cash requirements have not changed materially since September 28, 2024, and are disclosed within Note 5, </w:t>
      </w:r>
      <w:r>
        <w:rPr>
          <w:rFonts w:ascii="Times New Roman;serif" w:hAnsi="Times New Roman;serif"/>
          <w:b w:val="false"/>
          <w:i/>
          <w:color w:val="000000"/>
          <w:sz w:val="20"/>
        </w:rPr>
        <w:t>Leases</w:t>
      </w:r>
      <w:r>
        <w:rPr>
          <w:rFonts w:ascii="Times New Roman;serif" w:hAnsi="Times New Roman;serif"/>
          <w:b w:val="false"/>
          <w:color w:val="000000"/>
          <w:sz w:val="20"/>
        </w:rPr>
        <w:t>, included elsewhere in this Quarterly Report on Form 10-Q.</w:t>
      </w:r>
    </w:p>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summarizes our current and long-term material cash requirements as of June 28, 2025 for our vendor commitments: </w:t>
      </w:r>
    </w:p>
    <w:tbl>
      <w:tblPr>
        <w:tblW w:w="9194" w:type="dxa"/>
        <w:jc w:val="left"/>
        <w:tblInd w:w="0" w:type="dxa"/>
        <w:tblLayout w:type="fixed"/>
        <w:tblCellMar>
          <w:top w:w="28" w:type="dxa"/>
          <w:left w:w="28" w:type="dxa"/>
          <w:bottom w:w="28" w:type="dxa"/>
          <w:right w:w="28" w:type="dxa"/>
        </w:tblCellMar>
      </w:tblPr>
      <w:tblGrid>
        <w:gridCol w:w="673"/>
        <w:gridCol w:w="592"/>
        <w:gridCol w:w="595"/>
        <w:gridCol w:w="211"/>
        <w:gridCol w:w="826"/>
        <w:gridCol w:w="109"/>
        <w:gridCol w:w="109"/>
        <w:gridCol w:w="109"/>
        <w:gridCol w:w="109"/>
        <w:gridCol w:w="259"/>
        <w:gridCol w:w="1017"/>
        <w:gridCol w:w="134"/>
        <w:gridCol w:w="109"/>
        <w:gridCol w:w="109"/>
        <w:gridCol w:w="109"/>
        <w:gridCol w:w="211"/>
        <w:gridCol w:w="721"/>
        <w:gridCol w:w="109"/>
        <w:gridCol w:w="109"/>
        <w:gridCol w:w="109"/>
        <w:gridCol w:w="109"/>
        <w:gridCol w:w="244"/>
        <w:gridCol w:w="470"/>
        <w:gridCol w:w="126"/>
        <w:gridCol w:w="109"/>
        <w:gridCol w:w="109"/>
        <w:gridCol w:w="109"/>
        <w:gridCol w:w="435"/>
        <w:gridCol w:w="837"/>
        <w:gridCol w:w="317"/>
      </w:tblGrid>
      <w:tr>
        <w:trPr/>
        <w:tc>
          <w:tcPr>
            <w:tcW w:w="673"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r>
      <w:tr>
        <w:trPr/>
        <w:tc>
          <w:tcPr>
            <w:tcW w:w="1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1" w:type="dxa"/>
            <w:gridSpan w:val="21"/>
            <w:tcBorders/>
            <w:tcMar>
              <w:top w:w="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8"/>
              </w:rPr>
            </w:pPr>
            <w:r>
              <w:rPr>
                <w:rFonts w:ascii="Times New Roman;serif" w:hAnsi="Times New Roman;serif"/>
                <w:b/>
                <w:color w:val="000000"/>
                <w:sz w:val="18"/>
              </w:rPr>
              <w:t>Payments due in:</w:t>
            </w:r>
          </w:p>
        </w:tc>
      </w:tr>
      <w:tr>
        <w:trPr/>
        <w:tc>
          <w:tcPr>
            <w:tcW w:w="1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8"/>
              </w:rPr>
            </w:pPr>
            <w:r>
              <w:rPr>
                <w:rFonts w:ascii="Times New Roman;serif" w:hAnsi="Times New Roman;serif"/>
                <w:b/>
                <w:color w:val="000000"/>
                <w:sz w:val="18"/>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300" w:before="0" w:after="283"/>
              <w:jc w:val="center"/>
              <w:rPr>
                <w:rFonts w:ascii="Times New Roman;serif" w:hAnsi="Times New Roman;serif"/>
                <w:b/>
                <w:color w:val="000000"/>
                <w:sz w:val="18"/>
              </w:rPr>
            </w:pPr>
            <w:r>
              <w:rPr>
                <w:rFonts w:ascii="Times New Roman;serif" w:hAnsi="Times New Roman;serif"/>
                <w:b/>
                <w:color w:val="000000"/>
                <w:sz w:val="18"/>
              </w:rPr>
              <w:t>Less than 1 Year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300" w:before="0" w:after="283"/>
              <w:jc w:val="center"/>
              <w:rPr>
                <w:rFonts w:ascii="Times New Roman;serif" w:hAnsi="Times New Roman;serif"/>
                <w:b/>
                <w:color w:val="000000"/>
                <w:sz w:val="18"/>
              </w:rPr>
            </w:pPr>
            <w:r>
              <w:rPr>
                <w:rFonts w:ascii="Times New Roman;serif" w:hAnsi="Times New Roman;serif"/>
                <w:b/>
                <w:color w:val="000000"/>
                <w:sz w:val="18"/>
              </w:rPr>
              <w:t>1-3 Years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300" w:before="0" w:after="283"/>
              <w:jc w:val="center"/>
              <w:rPr>
                <w:rFonts w:ascii="Times New Roman;serif" w:hAnsi="Times New Roman;serif"/>
                <w:b/>
                <w:color w:val="000000"/>
                <w:sz w:val="18"/>
              </w:rPr>
            </w:pPr>
            <w:r>
              <w:rPr>
                <w:rFonts w:ascii="Times New Roman;serif" w:hAnsi="Times New Roman;serif"/>
                <w:b/>
                <w:color w:val="000000"/>
                <w:sz w:val="18"/>
              </w:rPr>
              <w:t>3-5 Years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300" w:before="0" w:after="283"/>
              <w:jc w:val="center"/>
              <w:rPr>
                <w:rFonts w:ascii="Times New Roman;serif" w:hAnsi="Times New Roman;serif"/>
                <w:b/>
                <w:color w:val="000000"/>
                <w:sz w:val="18"/>
              </w:rPr>
            </w:pPr>
            <w:r>
              <w:rPr>
                <w:rFonts w:ascii="Times New Roman;serif" w:hAnsi="Times New Roman;serif"/>
                <w:b/>
                <w:color w:val="000000"/>
                <w:sz w:val="18"/>
              </w:rPr>
              <w:t>More than 5 Years</w:t>
            </w:r>
          </w:p>
        </w:tc>
      </w:tr>
      <w:tr>
        <w:trPr/>
        <w:tc>
          <w:tcPr>
            <w:tcW w:w="1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4" w:type="dxa"/>
            <w:gridSpan w:val="27"/>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val="false"/>
                <w:color w:val="000000"/>
                <w:sz w:val="18"/>
              </w:rPr>
            </w:pPr>
            <w:r>
              <w:rPr>
                <w:rFonts w:ascii="Times New Roman;serif" w:hAnsi="Times New Roman;serif"/>
                <w:b w:val="false"/>
                <w:color w:val="000000"/>
                <w:sz w:val="18"/>
              </w:rPr>
              <w:t>(in thousands)</w:t>
            </w:r>
          </w:p>
        </w:tc>
      </w:tr>
      <w:tr>
        <w:trPr/>
        <w:tc>
          <w:tcPr>
            <w:tcW w:w="186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Vendor commitments</w:t>
            </w:r>
          </w:p>
        </w:tc>
        <w:tc>
          <w:tcPr>
            <w:tcW w:w="211"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871,758 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7"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793,532 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78,226 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0"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Our future capital requirements will depend on many factors, including our growth rate, the timing and extent of spending to support research and development efforts, the expansion of sales and marketing activities, the introduction of new and enhanced product and service offerings, and the cost of any future acquisitions of technology or businesses. In the event that additional financing is required from outside sources, we may be unable to raise the funds on acceptable terms, if at all. </w:t>
      </w: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Critical Accounting Policies and Estimates</w:t>
      </w:r>
    </w:p>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There have been no significant changes in our critical accounting policies and estimates during the nine months ended June 28, 2025, as compared to the critical accounting policies and estimates disclosed in the audited consolidated financial statements and related notes thereto as of and for the year ended September 28, 2024, which are included within the Annual Report on Form 10-K filed with the SEC on December 4, 2024.</w:t>
      </w: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Off-Balance Sheet Arrangements</w:t>
      </w:r>
    </w:p>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As of June 28, 2025, we had no off-balance sheet arrangements as defined in Instruction 8 to Item 303(b) of Regulation S-K.</w:t>
      </w: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Recent Accounting Pronouncements</w:t>
      </w:r>
    </w:p>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For information on recent accounting pronouncements, see Recently Issued Accounting Pronouncements and Recently Adopted Accounting Pronouncements in the notes to the unaudited condensed consolidated financial statements appearing elsewhere in this Quarterly Report on Form 10-Q.</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60" w:after="120"/>
        <w:jc w:val="both"/>
        <w:rPr>
          <w:rFonts w:ascii="Times New Roman;serif" w:hAnsi="Times New Roman;serif"/>
          <w:b/>
          <w:color w:val="000000"/>
          <w:sz w:val="20"/>
        </w:rPr>
      </w:pPr>
      <w:r>
        <w:rPr>
          <w:rFonts w:ascii="Times New Roman;serif" w:hAnsi="Times New Roman;serif"/>
          <w:b/>
          <w:color w:val="000000"/>
          <w:sz w:val="20"/>
        </w:rPr>
        <w:t>Item 3. Quantitative and Qualitative Disclosures About Market Risk</w:t>
      </w:r>
    </w:p>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There have been no material changes in our assessment of our sensitivity to market risk since our presentation set forth in Item 7A, “Quantitative and Qualitative Disclosures About Market Risk” in the Annual Report on Form 10-K filed with the SEC on December 4,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60" w:after="120"/>
        <w:jc w:val="both"/>
        <w:rPr>
          <w:rFonts w:ascii="Times New Roman;serif" w:hAnsi="Times New Roman;serif"/>
          <w:b/>
          <w:color w:val="000000"/>
          <w:sz w:val="20"/>
        </w:rPr>
      </w:pPr>
      <w:r>
        <w:rPr>
          <w:rFonts w:ascii="Times New Roman;serif" w:hAnsi="Times New Roman;serif"/>
          <w:b/>
          <w:color w:val="000000"/>
          <w:sz w:val="20"/>
        </w:rPr>
        <w:t>Item 4. Controls and Procedures</w:t>
      </w:r>
    </w:p>
    <w:p>
      <w:pPr>
        <w:pStyle w:val="TextBody"/>
        <w:bidi w:val="0"/>
        <w:spacing w:lineRule="auto" w:line="288" w:before="120" w:after="60"/>
        <w:jc w:val="left"/>
        <w:rPr>
          <w:rFonts w:ascii="Times New Roman;serif" w:hAnsi="Times New Roman;serif"/>
          <w:b w:val="false"/>
          <w:i/>
          <w:color w:val="000000"/>
          <w:sz w:val="20"/>
        </w:rPr>
      </w:pPr>
      <w:r>
        <w:rPr>
          <w:rFonts w:ascii="Times New Roman;serif" w:hAnsi="Times New Roman;serif"/>
          <w:b w:val="false"/>
          <w:i/>
          <w:color w:val="000000"/>
          <w:sz w:val="20"/>
        </w:rPr>
        <w:t>Evaluation of Disclosure Controls and Procedures</w:t>
      </w:r>
    </w:p>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Our management, with the participation of our Chief Executive Officer and Chief Financial Officer (our principal executive officer and principal financial officer, respectively), has evaluated the effectiveness of our disclosure controls and procedures as defined in Rules 13a-15(e) and 15d-15(e) under the Securities Exchange Act of 1934, as amended (the “Exchange Act”), as of the end of the period covered by this Quarterly Report on Form 10-Q. The term “disclosure controls and procedures,” as defined in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Securities and Exchange Commission’s rules and forms. Disclosure controls and procedures include, without limitation, controls and procedures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84785"/>
                <wp:effectExtent l="0" t="0" r="0" b="0"/>
                <wp:wrapNone/>
                <wp:docPr id="46" name="Frame46"/>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lineRule="auto" w:line="288" w:before="60" w:after="283"/>
        <w:ind w:left="0" w:right="0" w:firstLine="360"/>
        <w:jc w:val="left"/>
        <w:rPr/>
      </w:pPr>
      <w:hyperlink w:anchor="i123540df82f04e0eb97811cc101df5ff_7">
        <w:r>
          <w:rPr>
            <w:rStyle w:val="InternetLink"/>
            <w:rFonts w:ascii="Times New Roman;serif" w:hAnsi="Times New Roman;serif"/>
            <w:b w:val="false"/>
            <w:color w:val="0000FF"/>
            <w:sz w:val="20"/>
            <w:u w:val="single"/>
          </w:rPr>
          <w:t>Table of Contents</w:t>
        </w:r>
      </w:hyperlink>
    </w:p>
    <w:p>
      <w:pPr>
        <w:pStyle w:val="TextBody"/>
        <w:bidi w:val="0"/>
        <w:spacing w:lineRule="auto" w:line="288" w:before="6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designed to ensure that information required to be disclosed by a company in the reports that it files or submits under the Exchange Act is accumulated and communicated to the company’s management, including its principal executive and principal financial officers, or persons performing similar functions, as appropriate to allow timely decisions regarding required disclosures.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w:t>
      </w:r>
    </w:p>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Based on such evaluation, our Chief Executive Officer and Chief Financial Officer have concluded that as of June 28, 2025, our disclosure controls and procedures were not effective at the reasonable assurance level because of the existence of the material weaknesses described below. A material weakness is a deficiency, or a combination of deficiencies, in internal control over financial reporting, such that there is a reasonable possibility that a material misstatement of a company's annual or interim consolidated financial statements will not be prevented or detected on a timely basis. </w:t>
      </w:r>
    </w:p>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As of June 28, 2025, the Company did not effectively design procedures and controls over the timing of cost of revenue recognition. This resulted in the acceleration of the recognition of cost of revenue during the year ended September 28, 2024. Given that we recognize revenue on a percentage of completion basis, this resulted in the acceleration of recognition of revenue during the year ended September 28, 2024. Additionally, the Company did not effectively design and execute controls over revenue recognition related to cost overruns on certain deployments that will not be billable. These deficiencies in internal control over financial reporting constituted material weaknesses as of June 28, 2025.</w:t>
      </w:r>
    </w:p>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Notwithstanding the material weaknesses in internal control over financial reporting, our management, including our Chief Executive Officer and Chief Financial Officer, have concluded that our consolidated financial statements present fairly, in all material respects, our financial position, results of our operations and our cash flows for the periods presented in this Quarterly Report on Form 10-Q, in conformity with U.S. GAAP. There can be no assurance that these material weaknesses will not result in a misstatement to the annual or interim consolidated financial statements for future periods that would not be prevented or detected.</w:t>
      </w:r>
    </w:p>
    <w:p>
      <w:pPr>
        <w:pStyle w:val="TextBody"/>
        <w:bidi w:val="0"/>
        <w:spacing w:lineRule="auto" w:line="288" w:before="120" w:after="60"/>
        <w:jc w:val="left"/>
        <w:rPr>
          <w:rFonts w:ascii="Times New Roman;serif" w:hAnsi="Times New Roman;serif"/>
          <w:b w:val="false"/>
          <w:i/>
          <w:color w:val="000000"/>
          <w:sz w:val="20"/>
        </w:rPr>
      </w:pPr>
      <w:r>
        <w:rPr>
          <w:rFonts w:ascii="Times New Roman;serif" w:hAnsi="Times New Roman;serif"/>
          <w:b w:val="false"/>
          <w:i/>
          <w:color w:val="000000"/>
          <w:sz w:val="20"/>
        </w:rPr>
        <w:t>Changes in Internal Control Over Financial Reporting</w:t>
      </w:r>
    </w:p>
    <w:p>
      <w:pPr>
        <w:pStyle w:val="TextBody"/>
        <w:bidi w:val="0"/>
        <w:spacing w:lineRule="auto" w:line="288" w:before="60" w:after="283"/>
        <w:ind w:left="0" w:right="0" w:firstLine="360"/>
        <w:jc w:val="left"/>
        <w:rPr/>
      </w:pPr>
      <w:r>
        <w:rPr>
          <w:rFonts w:ascii="Times New Roman;serif" w:hAnsi="Times New Roman;serif"/>
          <w:b w:val="false"/>
          <w:color w:val="000000"/>
          <w:sz w:val="20"/>
          <w:shd w:fill="FFFFFF" w:val="clear"/>
        </w:rPr>
        <w:t xml:space="preserve">Subject to the steps taken in connection with the remediation plan noted below, </w:t>
      </w:r>
      <w:r>
        <w:rPr>
          <w:rFonts w:ascii="Times New Roman;serif" w:hAnsi="Times New Roman;serif"/>
          <w:b w:val="false"/>
          <w:color w:val="000000"/>
          <w:sz w:val="20"/>
        </w:rPr>
        <w:t>there have been no changes in our internal control over financial reporting for the three months ended June 28, 2025 that have materially affected, or are reasonably likely to materially affect, our internal control over financial reporting.</w:t>
      </w:r>
    </w:p>
    <w:p>
      <w:pPr>
        <w:pStyle w:val="TextBody"/>
        <w:bidi w:val="0"/>
        <w:spacing w:lineRule="auto" w:line="288" w:before="120" w:after="60"/>
        <w:jc w:val="left"/>
        <w:rPr>
          <w:rFonts w:ascii="Times New Roman;serif" w:hAnsi="Times New Roman;serif"/>
          <w:b w:val="false"/>
          <w:i/>
          <w:color w:val="000000"/>
          <w:sz w:val="20"/>
        </w:rPr>
      </w:pPr>
      <w:r>
        <w:rPr>
          <w:rFonts w:ascii="Times New Roman;serif" w:hAnsi="Times New Roman;serif"/>
          <w:b w:val="false"/>
          <w:i/>
          <w:color w:val="000000"/>
          <w:sz w:val="20"/>
        </w:rPr>
        <w:t>Material Weakness Remediation Plan</w:t>
      </w:r>
    </w:p>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Management has developed a remediation plan, which it began implementing as of the end of fiscal year 2024, that includes the following elements:</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color w:val="000000"/>
          <w:sz w:val="20"/>
        </w:rPr>
        <w:t>Augmented compensating controls over the receipt of goods and services, with a focus on milestone related expenses;</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color w:val="000000"/>
          <w:sz w:val="20"/>
        </w:rPr>
        <w:t xml:space="preserve">Implemented ERP system enhancements for goods and services receipts and enhanced documentation requirements for milestone related expenses; </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color w:val="000000"/>
          <w:sz w:val="20"/>
        </w:rPr>
        <w:t>Training of the employees and redesign of the structure of the organization receiving goods and services; and</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color w:val="000000"/>
          <w:sz w:val="20"/>
        </w:rPr>
        <w:t>Implemented compensating controls over revenue recognition for non-billable cost overruns.</w:t>
      </w:r>
    </w:p>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Management is committed to the completion of the remediation of these material weaknesses, and, as of February 5, 2025, had implemented all of the controls described above. These controls were tested in connection with management’s evaluation of the effectiveness of our disclosure controls and procedures as of June 28, 2025. No significant deficiencies were noted as part of that testing. We will continue to test these controls, including in connection with management’s evaluation of the effectiveness of our internal control over financial reporting as of the end of our current fiscal year. As management continues to evaluate and work to improve its internal control over financial reporting, it may determine that additional measures to address control deficiencies or modifications to the remediation plan are necessary. Therefore, management cannot assure you when these material weaknesses will be remediated, that additional actions will not be required to remediate these material weaknesses, or the costs of any such additional actions. These material weaknesses will not be determined to be remediated until the remediated controls operate for a sufficient period of time and management has concluded, through further testing, that these controls are operating effectively.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84785"/>
                <wp:effectExtent l="0" t="0" r="0" b="0"/>
                <wp:wrapNone/>
                <wp:docPr id="47" name="Frame47"/>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lineRule="auto" w:line="288" w:before="60" w:after="283"/>
        <w:ind w:left="0" w:right="0" w:firstLine="360"/>
        <w:jc w:val="left"/>
        <w:rPr/>
      </w:pPr>
      <w:hyperlink w:anchor="i123540df82f04e0eb97811cc101df5ff_7">
        <w:r>
          <w:rPr>
            <w:rStyle w:val="InternetLink"/>
            <w:rFonts w:ascii="Times New Roman;serif" w:hAnsi="Times New Roman;serif"/>
            <w:b w:val="false"/>
            <w:color w:val="0000FF"/>
            <w:sz w:val="20"/>
            <w:u w:val="single"/>
          </w:rPr>
          <w:t>Table of Contents</w:t>
        </w:r>
      </w:hyperlink>
    </w:p>
    <w:p>
      <w:pPr>
        <w:pStyle w:val="TextBody"/>
        <w:bidi w:val="0"/>
        <w:spacing w:lineRule="auto" w:line="288" w:before="60" w:after="283"/>
        <w:ind w:left="0" w:right="0" w:firstLine="360"/>
        <w:jc w:val="center"/>
        <w:rPr>
          <w:rFonts w:ascii="Times New Roman;serif" w:hAnsi="Times New Roman;serif"/>
          <w:b/>
          <w:color w:val="000000"/>
          <w:sz w:val="20"/>
        </w:rPr>
      </w:pPr>
      <w:r>
        <w:rPr>
          <w:rFonts w:ascii="Times New Roman;serif" w:hAnsi="Times New Roman;serif"/>
          <w:b/>
          <w:color w:val="000000"/>
          <w:sz w:val="20"/>
        </w:rPr>
        <w:t>PART II -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60" w:after="120"/>
        <w:jc w:val="both"/>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are subject from time to time to various claims, lawsuits, and other legal and administrative proceedings (including those described below). Some of these claims, lawsuits, and other proceedings may involve highly complex issues that are subject to substantial uncertainties, and could result in damages, fines, and penalties, non-monetary sanctions, or relief. We intend to recognize provisions for claims or pending litigation when we determine that an unfavorable outcome is probable, and the amount of loss can be reasonably estimated. Due to the inherent uncertain nature of litigation, the ultimate outcome or actual cost of settlement may materially vary from estimates. For additional information, see “Risk Factors – Risks Related to Our Common Stock - We are party to pending litigation, and we may be subject to future litigation in the operation of our business. An adverse outcome in one or more proceedings could adversely affect our business.”</w:t>
      </w:r>
    </w:p>
    <w:p>
      <w:pPr>
        <w:pStyle w:val="TextBody"/>
        <w:bidi w:val="0"/>
        <w:spacing w:lineRule="auto" w:line="288" w:before="120" w:after="60"/>
        <w:jc w:val="left"/>
        <w:rPr>
          <w:rFonts w:ascii="Times New Roman;serif" w:hAnsi="Times New Roman;serif"/>
          <w:b w:val="false"/>
          <w:i/>
          <w:color w:val="000000"/>
          <w:sz w:val="20"/>
        </w:rPr>
      </w:pPr>
      <w:r>
        <w:rPr>
          <w:rFonts w:ascii="Times New Roman;serif" w:hAnsi="Times New Roman;serif"/>
          <w:b w:val="false"/>
          <w:i/>
          <w:color w:val="000000"/>
          <w:sz w:val="20"/>
        </w:rPr>
        <w:t>SEC Matters</w:t>
      </w:r>
    </w:p>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have been responding to requests for information from the SEC relating to an investigation by the SEC of alleged violations by us of Rule 21F-17, which rule prohibits actions to impede communications directly with the SEC staff about a possible securities law violation. We intend to continue to defend this matter vigorously and cannot predict the outcome of this investigation.</w:t>
      </w:r>
    </w:p>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have received a subpoena from the SEC relating to our November 2024 restatement of revenues for the year ended September 28, 2024 and certain other matters. We are cooperating with the SEC with respect to this matter.</w:t>
      </w:r>
    </w:p>
    <w:p>
      <w:pPr>
        <w:pStyle w:val="TextBody"/>
        <w:bidi w:val="0"/>
        <w:spacing w:lineRule="auto" w:line="288" w:before="120" w:after="60"/>
        <w:jc w:val="left"/>
        <w:rPr>
          <w:rFonts w:ascii="Times New Roman;serif" w:hAnsi="Times New Roman;serif"/>
          <w:b w:val="false"/>
          <w:i/>
          <w:color w:val="000000"/>
          <w:sz w:val="20"/>
        </w:rPr>
      </w:pPr>
      <w:r>
        <w:rPr>
          <w:rFonts w:ascii="Times New Roman;serif" w:hAnsi="Times New Roman;serif"/>
          <w:b w:val="false"/>
          <w:i/>
          <w:color w:val="000000"/>
          <w:sz w:val="20"/>
        </w:rPr>
        <w:t>Securities Class Actions</w:t>
      </w:r>
    </w:p>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On August 14, 2024, a putative class action captioned Fox v. Symbotic Inc. et al., Case No. 24-cv-12090 was filed in the United States District Court for the District of Massachusetts by an alleged holder of our common stock. On March 10, 2025, the plaintiff voluntarily dismissed this action without prejudice pursuant to Federal Rule of Civil Procedure 41(a)(1)(A)(i).</w:t>
      </w:r>
    </w:p>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On December 3, 2024, a putative class action captioned Decker v. Symbotic Inc. et al., Case No. 24-cv-12976 was filed in the United States District Court for the District of Massachusetts by an alleged purchaser of our common stock. The complaint asserts claims for violations of federal securities laws against us and three of our officers on the grounds that we made false and/or misleading statements related to our revenue recognition and the effectiveness of our disclosure controls and procedures. Based on these allegations, the plaintiff brings claims seeking unspecified damages, attorneys’ fees, expert fees, and other costs and relief on behalf of himself and a putative class of persons who purchased our stock between February 8, 2024 and November 26, 2024. On May 5, 2025, the court entered an order appointing a lead plaintiff pursuant to the Private Securities Litigation Reform Act and setting a schedule for the filing of an amended complaint and our response to the complaint.</w:t>
      </w:r>
    </w:p>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On July 11, 2025, plaintiffs filed an amended complaint captioned Traina v. Symbotic Inc. et al, Case No. 24-cv-12196. Like the Decker complaint, the amended complaint asserts claims for violations of federal securities laws against us and four of our officers on the grounds that we made false and/or misleading statements or omissions related to our financial results, deployment times, revenue recognition, and internal controls. Based on these allegations, the plaintiffs bring claims seeking unspecified damages, attorneys’ fees, expert fees, and other costs and relief on behalf of themselves and a putative class of persons who purchased our stock between November 20, 2023 and February 5, 2025. </w:t>
      </w:r>
    </w:p>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intend to vigorously defend this case. If a court ultimately determines that we are liable in this case, we may be subject to substantial damages. We cannot predict with any degree of certainty the outcome of this matter or determine the extent of any potential liabilities. We also cannot provide an estimate of the possible loss or range of loss. Any adverse outcome in this matter could expose us to substantial damages that may have a material adverse impact on our operations and cash flows. Despite the potential for significant damages, we do not believe, based on currently available information, that the outcome of this proceeding will have a material adverse effect on our financial condition, although the outcome could be material to our operating results for any particular period, depending, in part, upon the operating results for such period.</w:t>
      </w:r>
    </w:p>
    <w:p>
      <w:pPr>
        <w:pStyle w:val="TextBody"/>
        <w:bidi w:val="0"/>
        <w:spacing w:lineRule="auto" w:line="288" w:before="120" w:after="60"/>
        <w:jc w:val="left"/>
        <w:rPr>
          <w:rFonts w:ascii="Times New Roman;serif" w:hAnsi="Times New Roman;serif"/>
          <w:b w:val="false"/>
          <w:i/>
          <w:color w:val="000000"/>
          <w:sz w:val="20"/>
        </w:rPr>
      </w:pPr>
      <w:r>
        <w:rPr>
          <w:rFonts w:ascii="Times New Roman;serif" w:hAnsi="Times New Roman;serif"/>
          <w:b w:val="false"/>
          <w:i/>
          <w:color w:val="000000"/>
          <w:sz w:val="20"/>
        </w:rPr>
        <w:t>Shareholder Derivative Actions</w:t>
      </w:r>
    </w:p>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On October 2, 2024, two putative shareholder derivative actions captioned Austen v. Cohen et al., 24-cv-12522 and Kukreja v. Cohen et al., 24-cv-12523 were filed in the United States District Court for the District of Massachusetts by our alleged shareholders. The actions assert claims on behalf of us against certain senior officers and members of our board of directors for, among others, breach of fiduciary duty, unjust enrichment, and violations of federal securities laws based primarily on allegations that the defendants caused or allowed us to disseminate misleading and inaccurate information to shareholders in connection with our expected earnings for the third quarter of fiscal year 2024. The actions also contend that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84785"/>
                <wp:effectExtent l="0" t="0" r="0" b="0"/>
                <wp:wrapNone/>
                <wp:docPr id="48" name="Frame48"/>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lineRule="auto" w:line="288" w:before="60" w:after="283"/>
        <w:ind w:left="0" w:right="0" w:firstLine="360"/>
        <w:jc w:val="left"/>
        <w:rPr/>
      </w:pPr>
      <w:hyperlink w:anchor="i123540df82f04e0eb97811cc101df5ff_7">
        <w:r>
          <w:rPr>
            <w:rStyle w:val="InternetLink"/>
            <w:rFonts w:ascii="Times New Roman;serif" w:hAnsi="Times New Roman;serif"/>
            <w:b w:val="false"/>
            <w:color w:val="0000FF"/>
            <w:sz w:val="20"/>
            <w:u w:val="single"/>
          </w:rPr>
          <w:t>Table of Contents</w:t>
        </w:r>
      </w:hyperlink>
    </w:p>
    <w:p>
      <w:pPr>
        <w:pStyle w:val="TextBody"/>
        <w:bidi w:val="0"/>
        <w:spacing w:lineRule="auto" w:line="288" w:before="6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defendants wasted corporate assets by exposing us to the securities class action lawsuit filed on August 14, 2024. The actions seek compensatory damages, changes to corporate governance and internal procedures, restitution, costs and attorneys’ fees, and other unspecified relief. Motions to consolidate the two actions into a single matter, appoint lead plaintiffs’ counsel, and stay any obligation of the defendants to respond to the complaint based on the pendency of the related securities class action lawsuit remain pending. </w:t>
      </w:r>
    </w:p>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intend to vigorously defend these cases. If a court ultimately determines that we are liable, we may be subject to substantial damages. We cannot predict with any degree of certainty the outcome of this matter or determine the extent of any potential liabilities. We also cannot provide an estimate of the possible loss or range of loss. Any adverse outcome in this matter could expose us to substantial damages that may have a material adverse impact on our operations and cash flows. Despite the potential for significant damages, we do not believe, based on currently available information, that the outcome of this proceeding will have a material adverse effect on our financial condition, although the outcome could be material to our operating results for any particular period, depending, in part, upon the operating results for such period.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60" w:after="120"/>
        <w:jc w:val="both"/>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are subject to various risks and uncertainties in the course of our business. For a detailed discussion of these risks, please see the section in our Annual Report on Form 10-K filed with the SEC on December 4, 2024 titled “Risk Factors”. Any of the matters highlighted in those risk factors could adversely affect our business, results of operation and financial condition.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60" w:after="120"/>
        <w:jc w:val="both"/>
        <w:rPr>
          <w:rFonts w:ascii="Times New Roman;serif" w:hAnsi="Times New Roman;serif"/>
          <w:b/>
          <w:color w:val="000000"/>
          <w:sz w:val="20"/>
        </w:rPr>
      </w:pPr>
      <w:r>
        <w:rPr>
          <w:rFonts w:ascii="Times New Roman;serif" w:hAnsi="Times New Roman;serif"/>
          <w:b/>
          <w:color w:val="000000"/>
          <w:sz w:val="20"/>
        </w:rPr>
        <w:t>Item 2. Unregistered Sales of Equity Securities and Use of Proceeds</w:t>
      </w:r>
    </w:p>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60" w:after="120"/>
        <w:jc w:val="both"/>
        <w:rPr>
          <w:rFonts w:ascii="Times New Roman;serif" w:hAnsi="Times New Roman;serif"/>
          <w:b/>
          <w:color w:val="000000"/>
          <w:sz w:val="20"/>
        </w:rPr>
      </w:pPr>
      <w:r>
        <w:rPr>
          <w:rFonts w:ascii="Times New Roman;serif" w:hAnsi="Times New Roman;serif"/>
          <w:b/>
          <w:color w:val="000000"/>
          <w:sz w:val="20"/>
        </w:rPr>
        <w:t>Item 3. Defaults Upon Senior Securities</w:t>
      </w:r>
    </w:p>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60" w:after="120"/>
        <w:jc w:val="both"/>
        <w:rPr>
          <w:rFonts w:ascii="Times New Roman;serif" w:hAnsi="Times New Roman;serif"/>
          <w:b/>
          <w:color w:val="000000"/>
          <w:sz w:val="20"/>
        </w:rPr>
      </w:pPr>
      <w:r>
        <w:rPr>
          <w:rFonts w:ascii="Times New Roman;serif" w:hAnsi="Times New Roman;serif"/>
          <w:b/>
          <w:color w:val="000000"/>
          <w:sz w:val="20"/>
        </w:rPr>
        <w:t>Item 4. Mine Safety Disclosures</w:t>
      </w:r>
    </w:p>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60" w:after="120"/>
        <w:jc w:val="both"/>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During the fiscal quarter ended June 28, 2025, the following officers and directors, as defined in Rule 16a-1(f) under the Exchange Act, adopted a “Rule 10b5-1 trading arrangement” or a “non-Rule 10b5-1 trading arrangement,” as defined in Regulation S-K Item 408:</w:t>
      </w:r>
    </w:p>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On May 19, 2025, Mariel Freve, the Vice President, Chief Accounting Officer, and Controller of the Company, entered into a trading plan pursuant to Rule 10b5-1 of the Exchange Act. Ms. Freve’s Rule 10b5-1 trading plan provides for the sale of shares of Class A Common Stock that she has received or will receive following the vesting of various RSU grants. Ms. Freve’s 10b5-1 trading plan calls for the sale of a percentage of shares that she could receive upon the future vesting of certain outstanding equity awards, net of any shares withheld by us to satisfy applicable taxes. The number of shares to be withheld, and thus the exact number of shares to be sold pursuant to Ms. Freve’s 10b5-1 trading plan, can only be determined upon the occurrence of the future vesting events. For purposes of this disclosure, without subtracting any shares to be withheld upon future vesting events, the maximum aggregate number of shares that may be sold pursuant to Ms. Freve’s 10b5-1 trading plan is 22,682 shares of Class A Common Stock. Ms. Freve’s Rule 10b5-1 trading plan expires on May 29, 2026, or earlier if all transactions under the trading arrangement are completed. The trading arrangement is intended to satisfy the affirmative defense in Rule 10b5-1(c) under the Exchange Act.</w:t>
      </w:r>
    </w:p>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On May 21, 2025, Carol Hibbard, the Chief Financial Officer and Treasurer of the Company, entered into a trading plan pursuant to Rule 10b5-1 of the Exchange Act. Ms. Hibbard’s Rule 10b5-1 trading plan provides for the sale of up to a maximum of 54,005 shares of Class A Common Stock that she has received following the vesting of various RSU grants. Ms. Hibbard’s Rule 10b5-1 trading plan expires on January 1, 2026, or earlier if all transactions under the trading arrangement are completed. The trading arrangement is intended to satisfy the affirmative defense in Rule 10b5-1(c) under the Exchange Act.</w:t>
      </w:r>
    </w:p>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On June 12, 2025, Corey Dufresne, the Senior Vice President &amp; General Counsel of the Company, entered into a trading plan pursuant to Rule 10b5-1 of the Exchange Act. Mr. Dufresne’s Rule 10b5-1 trading plan provides for the sale of shares of Class A Common Stock that he will receive following the vesting of various RSU grants. Mr. Dufresne’s 10b5-1 trading plan calls for the sale of a percentage of shares that he could receive upon the future vesting of certain outstanding equity awards, net of any shares withheld by us to satisfy applicable taxes. The number of shares to be withheld, and thus the exact number of shares to be sold pursuant to Mr. Dufresne’s 10b5-1 trading plan, can only be determined upon the occurrence of the future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84785"/>
                <wp:effectExtent l="0" t="0" r="0" b="0"/>
                <wp:wrapNone/>
                <wp:docPr id="49" name="Frame49"/>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lineRule="auto" w:line="288" w:before="60" w:after="283"/>
        <w:ind w:left="0" w:right="0" w:firstLine="360"/>
        <w:jc w:val="left"/>
        <w:rPr/>
      </w:pPr>
      <w:hyperlink w:anchor="i123540df82f04e0eb97811cc101df5ff_7">
        <w:r>
          <w:rPr>
            <w:rStyle w:val="InternetLink"/>
            <w:rFonts w:ascii="Times New Roman;serif" w:hAnsi="Times New Roman;serif"/>
            <w:b w:val="false"/>
            <w:color w:val="0000FF"/>
            <w:sz w:val="20"/>
            <w:u w:val="single"/>
          </w:rPr>
          <w:t>Table of Contents</w:t>
        </w:r>
      </w:hyperlink>
    </w:p>
    <w:p>
      <w:pPr>
        <w:pStyle w:val="TextBody"/>
        <w:bidi w:val="0"/>
        <w:spacing w:lineRule="auto" w:line="288" w:before="60" w:after="283"/>
        <w:jc w:val="left"/>
        <w:rPr>
          <w:rFonts w:ascii="Times New Roman;serif" w:hAnsi="Times New Roman;serif"/>
          <w:b w:val="false"/>
          <w:color w:val="000000"/>
          <w:sz w:val="20"/>
        </w:rPr>
      </w:pPr>
      <w:r>
        <w:rPr>
          <w:rFonts w:ascii="Times New Roman;serif" w:hAnsi="Times New Roman;serif"/>
          <w:b w:val="false"/>
          <w:color w:val="000000"/>
          <w:sz w:val="20"/>
        </w:rPr>
        <w:t>vesting events. For purposes of this disclosure, without subtracting any shares to be withheld upon future vesting events, the maximum aggregate number of shares that may be sold pursuant to Mr. Dufresne’s 10b5-1 trading plan is 85,384 shares of Class A Common Stock. Mr. Dufresne’s Rule 10b5-1 trading plan expires on January 31, 2027, or earlier if all transactions under the trading arrangement are completed. The trading arrangement is intended to satisfy the affirmative defense in Rule 10b5-1(c) under the Exchange Act.</w:t>
      </w:r>
    </w:p>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On June 12, 2025, Michael Dunn, the Chief Customer Officer of the Company, entered into a trading plan pursuant to Rule 10b5-1 of the Exchange Act. Mr. Dunn’s Rule 10b5-1 trading plan provides for the sale of shares of Class A Common Stock that he has received or will receive following the vesting of various RSU grants. Mr. Dunn’s 10b5-1 trading plan calls for the sale of a percentage of shares that he could receive upon the future vesting of certain outstanding equity awards, net of any shares withheld by us to satisfy applicable taxes. The number of shares to be withheld, and thus the exact number of shares to be sold pursuant to Mr. Dunn’s 10b5-1 trading plan, can only be determined upon the occurrence of the future vesting events. For purposes of this disclosure, without subtracting any shares to be withheld upon future vesting events, the maximum aggregate number of shares that may be sold pursuant to Mr. Dunn’s 10b5-1 trading plan is 137,726 shares of Class A Common Stock. Mr. Dunn’s Rule 10b5-1 trading plan expires on August 31, 2026, or earlier if all transactions under the trading arrangement are completed. The trading arrangement is intended to satisfy the affirmative defense in Rule 10b5-1(c) under the Exchange Act.</w:t>
      </w:r>
    </w:p>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On June 12, 2025, Miriam Ort, the Chief Human Resources Officer of the Company, entered into a trading plan pursuant to Rule 10b5-1 of the Exchange Act. Ms. Ort’s Rule 10b5-1 trading plan provides for the sale of up to a maximum of 29,420 shares of Class A Common Stock that she has received following the vesting of various RSU grants. Ms. Ort’s Rule 10b5-1 trading plan expires on June 30, 2026, or earlier if all transactions under the trading arrangement are completed. The trading arrangement is intended to satisfy the affirmative defense in Rule 10b5-1(c) under the Exchange Act.</w:t>
      </w:r>
    </w:p>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Additionally, during the fiscal quarter ended March 29, 2025, on February 19, 2025, an entity related to Todd Krasnow, a director of the Company, entered into a trading plan pursuant to Rule 10b5-1 of the Exchange Act. Mr. Krasnow’s Rule 10b5-1 trading plan provides for the sale of up to a maximum of 40,000 shares of Class A Common Stock for which Mr. Krasnow is a beneficial owner as defined in Rule 16a-1(a) under the Exchange Act. Mr. Krasnow’s Rule 10b5-1 trading plan expires on February 3, 2026, or earlier if all transactions under the trading arrangement are completed. The trading arrangement is intended to satisfy the affirmative defense in Rule 10b5-1(c) under the Exchange Act.</w:t>
      </w:r>
    </w:p>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Certain of our directors and officers have made elections to participate in, and are participating in, our Incentive Compensation Plan, ESPP or our defined-contribution benefit plan under the provisions of Section 401(k) of the Internal Revenue Code and have may, and may from time to time make, elections to have shares withheld to cover withholding taxes or pay the exercise price of options, which may be designed to satisfy the affirmative defense conditions of Rule 10b5-1 under the Exchange Act or may constitute non-Rule 10b5–1 trading arrangements (as defined in Item 408(c) of Regulation 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84785"/>
                <wp:effectExtent l="0" t="0" r="0" b="0"/>
                <wp:wrapNone/>
                <wp:docPr id="50" name="Frame50"/>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lineRule="auto" w:line="288" w:before="0" w:after="0"/>
        <w:jc w:val="left"/>
        <w:rPr/>
      </w:pPr>
      <w:hyperlink w:anchor="i123540df82f04e0eb97811cc101df5ff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6. Exhibits</w:t>
      </w:r>
    </w:p>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exhibits listed below are filed or incorporated by reference into this Report.</w:t>
      </w:r>
    </w:p>
    <w:tbl>
      <w:tblPr>
        <w:tblW w:w="10205" w:type="dxa"/>
        <w:jc w:val="left"/>
        <w:tblInd w:w="0" w:type="dxa"/>
        <w:tblLayout w:type="fixed"/>
        <w:tblCellMar>
          <w:top w:w="28" w:type="dxa"/>
          <w:left w:w="28" w:type="dxa"/>
          <w:bottom w:w="28" w:type="dxa"/>
          <w:right w:w="28" w:type="dxa"/>
        </w:tblCellMar>
      </w:tblPr>
      <w:tblGrid>
        <w:gridCol w:w="286"/>
        <w:gridCol w:w="252"/>
        <w:gridCol w:w="254"/>
        <w:gridCol w:w="109"/>
        <w:gridCol w:w="109"/>
        <w:gridCol w:w="109"/>
        <w:gridCol w:w="2101"/>
        <w:gridCol w:w="1912"/>
        <w:gridCol w:w="1917"/>
        <w:gridCol w:w="109"/>
        <w:gridCol w:w="109"/>
        <w:gridCol w:w="109"/>
        <w:gridCol w:w="175"/>
        <w:gridCol w:w="175"/>
        <w:gridCol w:w="176"/>
        <w:gridCol w:w="125"/>
        <w:gridCol w:w="125"/>
        <w:gridCol w:w="125"/>
        <w:gridCol w:w="240"/>
        <w:gridCol w:w="240"/>
        <w:gridCol w:w="241"/>
        <w:gridCol w:w="125"/>
        <w:gridCol w:w="125"/>
        <w:gridCol w:w="125"/>
        <w:gridCol w:w="241"/>
        <w:gridCol w:w="241"/>
        <w:gridCol w:w="350"/>
      </w:tblGrid>
      <w:tr>
        <w:trPr/>
        <w:tc>
          <w:tcPr>
            <w:tcW w:w="286"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1" w:type="dxa"/>
            <w:tcBorders/>
            <w:vAlign w:val="center"/>
          </w:tcPr>
          <w:p>
            <w:pPr>
              <w:pStyle w:val="TableContents"/>
              <w:bidi w:val="0"/>
              <w:spacing w:before="0" w:after="283"/>
              <w:jc w:val="left"/>
              <w:rPr>
                <w:sz w:val="4"/>
                <w:szCs w:val="4"/>
              </w:rPr>
            </w:pPr>
            <w:r>
              <w:rPr>
                <w:sz w:val="4"/>
                <w:szCs w:val="4"/>
              </w:rPr>
            </w:r>
          </w:p>
        </w:tc>
        <w:tc>
          <w:tcPr>
            <w:tcW w:w="1912" w:type="dxa"/>
            <w:tcBorders/>
            <w:vAlign w:val="center"/>
          </w:tcPr>
          <w:p>
            <w:pPr>
              <w:pStyle w:val="TableContents"/>
              <w:bidi w:val="0"/>
              <w:spacing w:before="0" w:after="283"/>
              <w:jc w:val="left"/>
              <w:rPr>
                <w:sz w:val="4"/>
                <w:szCs w:val="4"/>
              </w:rPr>
            </w:pPr>
            <w:r>
              <w:rPr>
                <w:sz w:val="4"/>
                <w:szCs w:val="4"/>
              </w:rPr>
            </w:r>
          </w:p>
        </w:tc>
        <w:tc>
          <w:tcPr>
            <w:tcW w:w="19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r>
      <w:tr>
        <w:trPr/>
        <w:tc>
          <w:tcPr>
            <w:tcW w:w="7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9" w:type="dxa"/>
            <w:gridSpan w:val="15"/>
            <w:tcBorders/>
            <w:tcMar>
              <w:top w:w="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val="false"/>
                <w:color w:val="000000"/>
                <w:sz w:val="20"/>
              </w:rPr>
            </w:pPr>
            <w:r>
              <w:rPr>
                <w:rFonts w:ascii="Times New Roman;serif" w:hAnsi="Times New Roman;serif"/>
                <w:b w:val="false"/>
                <w:color w:val="000000"/>
                <w:sz w:val="20"/>
              </w:rPr>
              <w:t>Incorporated by Reference</w:t>
            </w:r>
          </w:p>
        </w:tc>
      </w:tr>
      <w:tr>
        <w:trPr/>
        <w:tc>
          <w:tcPr>
            <w:tcW w:w="792"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val="false"/>
                <w:color w:val="000000"/>
                <w:sz w:val="20"/>
              </w:rPr>
            </w:pPr>
            <w:r>
              <w:rPr>
                <w:rFonts w:ascii="Times New Roman;serif" w:hAnsi="Times New Roman;serif"/>
                <w:b w:val="false"/>
                <w:color w:val="000000"/>
                <w:sz w:val="20"/>
              </w:rPr>
              <w:t>Exhibit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30"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val="false"/>
                <w:color w:val="000000"/>
                <w:sz w:val="20"/>
              </w:rPr>
            </w:pPr>
            <w:r>
              <w:rPr>
                <w:rFonts w:ascii="Times New Roman;serif" w:hAnsi="Times New Roman;serif"/>
                <w:b w:val="false"/>
                <w:color w:val="000000"/>
                <w:sz w:val="20"/>
              </w:rPr>
              <w:t>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val="false"/>
                <w:color w:val="000000"/>
                <w:sz w:val="20"/>
              </w:rPr>
            </w:pPr>
            <w:r>
              <w:rPr>
                <w:rFonts w:ascii="Times New Roman;serif" w:hAnsi="Times New Roman;serif"/>
                <w:b w:val="false"/>
                <w:color w:val="000000"/>
                <w:sz w:val="20"/>
              </w:rPr>
              <w:t>Form</w:t>
            </w:r>
          </w:p>
        </w:tc>
        <w:tc>
          <w:tcPr>
            <w:tcW w:w="3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val="false"/>
                <w:color w:val="000000"/>
                <w:sz w:val="20"/>
              </w:rPr>
            </w:pPr>
            <w:r>
              <w:rPr>
                <w:rFonts w:ascii="Times New Roman;serif" w:hAnsi="Times New Roman;serif"/>
                <w:b w:val="false"/>
                <w:color w:val="000000"/>
                <w:sz w:val="20"/>
              </w:rPr>
              <w:t>Exhibit</w:t>
            </w:r>
          </w:p>
        </w:tc>
        <w:tc>
          <w:tcPr>
            <w:tcW w:w="3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val="false"/>
                <w:color w:val="000000"/>
                <w:sz w:val="20"/>
              </w:rPr>
            </w:pPr>
            <w:r>
              <w:rPr>
                <w:rFonts w:ascii="Times New Roman;serif" w:hAnsi="Times New Roman;serif"/>
                <w:b w:val="false"/>
                <w:color w:val="000000"/>
                <w:sz w:val="20"/>
              </w:rPr>
              <w:t>Filing Date</w:t>
            </w:r>
          </w:p>
        </w:tc>
      </w:tr>
      <w:tr>
        <w:trPr/>
        <w:tc>
          <w:tcPr>
            <w:tcW w:w="7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left"/>
              <w:rPr/>
            </w:pPr>
            <w:hyperlink r:id="rId2">
              <w:r>
                <w:rPr>
                  <w:rStyle w:val="InternetLink"/>
                  <w:rFonts w:ascii="Times New Roman;serif" w:hAnsi="Times New Roman;serif"/>
                  <w:b w:val="false"/>
                  <w:color w:val="0000FF"/>
                  <w:sz w:val="20"/>
                  <w:u w:val="single"/>
                </w:rPr>
                <w:t>Offer Letter, dated June 5, 2025, between Symbotic Inc. and Izilda Martins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8-K</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10.1</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6/9/2025</w:t>
            </w:r>
          </w:p>
        </w:tc>
      </w:tr>
      <w:tr>
        <w:trPr/>
        <w:tc>
          <w:tcPr>
            <w:tcW w:w="792"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30" w:type="dxa"/>
            <w:gridSpan w:val="3"/>
            <w:tcBorders/>
            <w:tcMar>
              <w:top w:w="0" w:type="dxa"/>
              <w:left w:w="0" w:type="dxa"/>
              <w:bottom w:w="0" w:type="dxa"/>
              <w:right w:w="0" w:type="dxa"/>
            </w:tcMar>
            <w:vAlign w:val="center"/>
          </w:tcPr>
          <w:p>
            <w:pPr>
              <w:pStyle w:val="TableContents"/>
              <w:bidi w:val="0"/>
              <w:spacing w:lineRule="auto" w:line="300" w:before="0" w:after="2"/>
              <w:jc w:val="left"/>
              <w:rPr/>
            </w:pPr>
            <w:hyperlink r:id="rId3">
              <w:r>
                <w:rPr>
                  <w:rStyle w:val="InternetLink"/>
                  <w:rFonts w:ascii="Times New Roman;serif" w:hAnsi="Times New Roman;serif"/>
                  <w:b w:val="false"/>
                  <w:color w:val="0000FF"/>
                  <w:sz w:val="20"/>
                  <w:u w:val="single"/>
                </w:rPr>
                <w:t>Transition Agreement, dated June 9, 2025 between Symbotic Inc. and Carol Hibbard</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8-K</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10.2</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6/9/2025</w:t>
            </w:r>
          </w:p>
        </w:tc>
      </w:tr>
      <w:tr>
        <w:trPr/>
        <w:tc>
          <w:tcPr>
            <w:tcW w:w="792"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30" w:type="dxa"/>
            <w:gridSpan w:val="3"/>
            <w:tcBorders/>
            <w:tcMar>
              <w:top w:w="0" w:type="dxa"/>
              <w:left w:w="0" w:type="dxa"/>
              <w:bottom w:w="0" w:type="dxa"/>
              <w:right w:w="0" w:type="dxa"/>
            </w:tcMar>
            <w:vAlign w:val="center"/>
          </w:tcPr>
          <w:p>
            <w:pPr>
              <w:pStyle w:val="TableContents"/>
              <w:bidi w:val="0"/>
              <w:spacing w:lineRule="auto" w:line="300" w:before="0" w:after="2"/>
              <w:jc w:val="left"/>
              <w:rPr/>
            </w:pPr>
            <w:hyperlink w:anchor="exhibit311-q325.htm">
              <w:r>
                <w:rPr>
                  <w:rStyle w:val="InternetLink"/>
                  <w:rFonts w:ascii="Times New Roman;serif" w:hAnsi="Times New Roman;serif"/>
                  <w:b w:val="false"/>
                  <w:color w:val="0000FF"/>
                  <w:sz w:val="20"/>
                  <w:u w:val="single"/>
                </w:rPr>
                <w:t>Certification of Chief Executive Officer Pursuant to Rule 13a-14(a)/ Rule 15d-14(a) of the Securities Exchange Act of 1934, as amended</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2"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30" w:type="dxa"/>
            <w:gridSpan w:val="3"/>
            <w:tcBorders/>
            <w:tcMar>
              <w:top w:w="0" w:type="dxa"/>
              <w:left w:w="0" w:type="dxa"/>
              <w:bottom w:w="0" w:type="dxa"/>
              <w:right w:w="0" w:type="dxa"/>
            </w:tcMar>
            <w:vAlign w:val="center"/>
          </w:tcPr>
          <w:p>
            <w:pPr>
              <w:pStyle w:val="TableContents"/>
              <w:bidi w:val="0"/>
              <w:spacing w:lineRule="auto" w:line="300" w:before="0" w:after="2"/>
              <w:jc w:val="left"/>
              <w:rPr/>
            </w:pPr>
            <w:hyperlink w:anchor="exhibit312-q325.htm">
              <w:r>
                <w:rPr>
                  <w:rStyle w:val="InternetLink"/>
                  <w:rFonts w:ascii="Times New Roman;serif" w:hAnsi="Times New Roman;serif"/>
                  <w:b w:val="false"/>
                  <w:color w:val="0000FF"/>
                  <w:sz w:val="20"/>
                  <w:u w:val="single"/>
                </w:rPr>
                <w:t>Certification of Chief Financial Officer pursuant to Rule 13a-14(a)/ Rule 15d-14(a) of the Securities Exchange Act of 1934, as amended</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2"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30" w:type="dxa"/>
            <w:gridSpan w:val="3"/>
            <w:tcBorders/>
            <w:tcMar>
              <w:top w:w="0" w:type="dxa"/>
              <w:left w:w="0" w:type="dxa"/>
              <w:bottom w:w="0" w:type="dxa"/>
              <w:right w:w="0" w:type="dxa"/>
            </w:tcMar>
            <w:vAlign w:val="center"/>
          </w:tcPr>
          <w:p>
            <w:pPr>
              <w:pStyle w:val="TableContents"/>
              <w:bidi w:val="0"/>
              <w:spacing w:lineRule="auto" w:line="300" w:before="0" w:after="2"/>
              <w:jc w:val="left"/>
              <w:rPr/>
            </w:pPr>
            <w:hyperlink w:anchor="exhibit321-q325.htm">
              <w:r>
                <w:rPr>
                  <w:rStyle w:val="InternetLink"/>
                  <w:rFonts w:ascii="Times New Roman;serif" w:hAnsi="Times New Roman;serif"/>
                  <w:b w:val="false"/>
                  <w:color w:val="0000FF"/>
                  <w:sz w:val="20"/>
                  <w:u w:val="single"/>
                </w:rPr>
                <w:t>Certification of Chief Executive Officer pursuant to 18 U.S.C. Section 1350, as adopted pursuant to Section 906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2"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32.2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30" w:type="dxa"/>
            <w:gridSpan w:val="3"/>
            <w:tcBorders/>
            <w:tcMar>
              <w:top w:w="0" w:type="dxa"/>
              <w:left w:w="0" w:type="dxa"/>
              <w:bottom w:w="0" w:type="dxa"/>
              <w:right w:w="0" w:type="dxa"/>
            </w:tcMar>
            <w:vAlign w:val="center"/>
          </w:tcPr>
          <w:p>
            <w:pPr>
              <w:pStyle w:val="TableContents"/>
              <w:bidi w:val="0"/>
              <w:spacing w:lineRule="auto" w:line="300" w:before="0" w:after="2"/>
              <w:jc w:val="left"/>
              <w:rPr/>
            </w:pPr>
            <w:hyperlink w:anchor="exhibit322-q325.htm">
              <w:r>
                <w:rPr>
                  <w:rStyle w:val="InternetLink"/>
                  <w:rFonts w:ascii="Times New Roman;serif" w:hAnsi="Times New Roman;serif"/>
                  <w:b w:val="false"/>
                  <w:color w:val="0000FF"/>
                  <w:sz w:val="20"/>
                  <w:u w:val="single"/>
                </w:rPr>
                <w:t>Certification of Chief Financial Officer pursuant to 18 U.S.C. Section 1350, as adopted pursuant to Section 906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2"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30"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Schema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2"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30"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Calculation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2"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30"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Definition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2"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30"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Label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2"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30"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Presentation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2"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30"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(formatted as Inline XBRL with applicable taxonomy extension information contained in Exhibits 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left"/>
        <w:rPr/>
      </w:pPr>
      <w:r>
        <w:rPr/>
      </w:r>
    </w:p>
    <w:p>
      <w:pPr>
        <w:pStyle w:val="TextBody"/>
        <w:bidi w:val="0"/>
        <w:spacing w:before="60" w:after="283"/>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1"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lineRule="auto" w:line="288" w:before="60" w:after="283"/>
        <w:ind w:left="0" w:right="0" w:firstLine="360"/>
        <w:jc w:val="left"/>
        <w:rPr/>
      </w:pPr>
      <w:hyperlink w:anchor="i123540df82f04e0eb97811cc101df5ff_7">
        <w:r>
          <w:rPr>
            <w:rStyle w:val="InternetLink"/>
            <w:rFonts w:ascii="Times New Roman;serif" w:hAnsi="Times New Roman;serif"/>
            <w:b w:val="false"/>
            <w:color w:val="0000FF"/>
            <w:sz w:val="20"/>
            <w:u w:val="single"/>
          </w:rPr>
          <w:t>Table of Contents</w:t>
        </w:r>
      </w:hyperlink>
    </w:p>
    <w:p>
      <w:pPr>
        <w:pStyle w:val="TextBody"/>
        <w:bidi w:val="0"/>
        <w:spacing w:lineRule="auto" w:line="288" w:before="60" w:after="283"/>
        <w:ind w:left="0" w:right="0" w:firstLine="36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before="60" w:after="283"/>
        <w:ind w:left="0" w:right="0" w:firstLine="360"/>
        <w:jc w:val="left"/>
        <w:rPr/>
      </w:pPr>
      <w:r>
        <w:rPr/>
      </w:r>
    </w:p>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Pursuant to the requirements of the Securities Exchange Act of 1934, the registrant has duly caused this report to be signed on its behalf by the undersigned thereunto duly authorized. </w:t>
      </w:r>
    </w:p>
    <w:p>
      <w:pPr>
        <w:pStyle w:val="TextBody"/>
        <w:bidi w:val="0"/>
        <w:spacing w:before="60" w:after="283"/>
        <w:jc w:val="left"/>
        <w:rPr/>
      </w:pPr>
      <w:r>
        <w:rPr/>
      </w:r>
    </w:p>
    <w:p>
      <w:pPr>
        <w:pStyle w:val="TextBody"/>
        <w:bidi w:val="0"/>
        <w:spacing w:before="60" w:after="283"/>
        <w:jc w:val="left"/>
        <w:rPr/>
      </w:pPr>
      <w:r>
        <w:rPr/>
      </w:r>
    </w:p>
    <w:p>
      <w:pPr>
        <w:pStyle w:val="TextBody"/>
        <w:bidi w:val="0"/>
        <w:spacing w:lineRule="auto" w:line="288" w:before="60" w:after="283"/>
        <w:jc w:val="left"/>
        <w:rPr>
          <w:rFonts w:ascii="Times New Roman;serif" w:hAnsi="Times New Roman;serif"/>
          <w:b w:val="false"/>
          <w:color w:val="000000"/>
          <w:sz w:val="20"/>
        </w:rPr>
      </w:pPr>
      <w:r>
        <w:rPr>
          <w:rFonts w:ascii="Times New Roman;serif" w:hAnsi="Times New Roman;serif"/>
          <w:b w:val="false"/>
          <w:color w:val="000000"/>
          <w:sz w:val="20"/>
        </w:rPr>
        <w:t>Date: August 6, 2025</w:t>
      </w:r>
    </w:p>
    <w:p>
      <w:pPr>
        <w:pStyle w:val="TextBody"/>
        <w:bidi w:val="0"/>
        <w:spacing w:lineRule="auto" w:line="288" w:before="60" w:after="283"/>
        <w:jc w:val="left"/>
        <w:rPr>
          <w:color w:val="000000"/>
        </w:rPr>
      </w:pPr>
      <w:r>
        <w:rPr>
          <w:color w:val="000000"/>
        </w:rPr>
        <w:t>                </w:t>
      </w:r>
    </w:p>
    <w:tbl>
      <w:tblPr>
        <w:tblW w:w="6015" w:type="dxa"/>
        <w:jc w:val="left"/>
        <w:tblInd w:w="0" w:type="dxa"/>
        <w:tblLayout w:type="fixed"/>
        <w:tblCellMar>
          <w:top w:w="28" w:type="dxa"/>
          <w:left w:w="28" w:type="dxa"/>
          <w:bottom w:w="28" w:type="dxa"/>
          <w:right w:w="28" w:type="dxa"/>
        </w:tblCellMar>
      </w:tblPr>
      <w:tblGrid>
        <w:gridCol w:w="462"/>
        <w:gridCol w:w="405"/>
        <w:gridCol w:w="408"/>
        <w:gridCol w:w="1387"/>
        <w:gridCol w:w="1387"/>
        <w:gridCol w:w="1966"/>
      </w:tblGrid>
      <w:tr>
        <w:trPr/>
        <w:tc>
          <w:tcPr>
            <w:tcW w:w="462"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1387" w:type="dxa"/>
            <w:tcBorders/>
            <w:vAlign w:val="center"/>
          </w:tcPr>
          <w:p>
            <w:pPr>
              <w:pStyle w:val="TableContents"/>
              <w:bidi w:val="0"/>
              <w:spacing w:before="0" w:after="283"/>
              <w:jc w:val="left"/>
              <w:rPr>
                <w:sz w:val="4"/>
                <w:szCs w:val="4"/>
              </w:rPr>
            </w:pPr>
            <w:r>
              <w:rPr>
                <w:sz w:val="4"/>
                <w:szCs w:val="4"/>
              </w:rPr>
            </w:r>
          </w:p>
        </w:tc>
        <w:tc>
          <w:tcPr>
            <w:tcW w:w="1387" w:type="dxa"/>
            <w:tcBorders/>
            <w:vAlign w:val="center"/>
          </w:tcPr>
          <w:p>
            <w:pPr>
              <w:pStyle w:val="TableContents"/>
              <w:bidi w:val="0"/>
              <w:spacing w:before="0" w:after="283"/>
              <w:jc w:val="left"/>
              <w:rPr>
                <w:sz w:val="4"/>
                <w:szCs w:val="4"/>
              </w:rPr>
            </w:pPr>
            <w:r>
              <w:rPr>
                <w:sz w:val="4"/>
                <w:szCs w:val="4"/>
              </w:rPr>
            </w:r>
          </w:p>
        </w:tc>
        <w:tc>
          <w:tcPr>
            <w:tcW w:w="1966" w:type="dxa"/>
            <w:tcBorders/>
            <w:vAlign w:val="center"/>
          </w:tcPr>
          <w:p>
            <w:pPr>
              <w:pStyle w:val="TableContents"/>
              <w:bidi w:val="0"/>
              <w:spacing w:before="0" w:after="283"/>
              <w:jc w:val="left"/>
              <w:rPr>
                <w:sz w:val="4"/>
                <w:szCs w:val="4"/>
              </w:rPr>
            </w:pPr>
            <w:r>
              <w:rPr>
                <w:sz w:val="4"/>
                <w:szCs w:val="4"/>
              </w:rPr>
            </w:r>
          </w:p>
        </w:tc>
      </w:tr>
      <w:tr>
        <w:trPr/>
        <w:tc>
          <w:tcPr>
            <w:tcW w:w="1275"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color w:val="000000"/>
                <w:sz w:val="20"/>
              </w:rPr>
            </w:pPr>
            <w:r>
              <w:rPr>
                <w:rFonts w:ascii="Times New Roman;serif" w:hAnsi="Times New Roman;serif"/>
                <w:b/>
                <w:color w:val="000000"/>
                <w:sz w:val="20"/>
              </w:rPr>
              <w:t>Symbotic Inc.</w:t>
            </w:r>
          </w:p>
        </w:tc>
        <w:tc>
          <w:tcPr>
            <w:tcW w:w="4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5"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740"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/s/ Maria G. Freve</w:t>
            </w:r>
          </w:p>
        </w:tc>
      </w:tr>
      <w:tr>
        <w:trPr/>
        <w:tc>
          <w:tcPr>
            <w:tcW w:w="1275"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47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Maria G. Freve</w:t>
            </w:r>
          </w:p>
        </w:tc>
      </w:tr>
      <w:tr>
        <w:trPr/>
        <w:tc>
          <w:tcPr>
            <w:tcW w:w="1275"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4740"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Vice President, Controller and Chief Accounting Officer </w:t>
              <w:br/>
              <w:t>(Principal Accounting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84785"/>
                <wp:effectExtent l="0" t="0" r="0" b="0"/>
                <wp:wrapNone/>
                <wp:docPr id="52" name="Frame52"/>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OF PRINCIPAL EXECUTIVE OFFICER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302 OF THE SARBANES-OXLEY ACT OF 2002</w:t>
      </w:r>
    </w:p>
    <w:p>
      <w:pPr>
        <w:pStyle w:val="TextBody"/>
        <w:bidi w:val="0"/>
        <w:spacing w:before="0" w:after="0"/>
        <w:jc w:val="left"/>
        <w:rPr/>
      </w:pPr>
      <w:r>
        <w:rPr/>
      </w:r>
    </w:p>
    <w:p>
      <w:pPr>
        <w:pStyle w:val="TextBody"/>
        <w:bidi w:val="0"/>
        <w:spacing w:lineRule="auto" w:line="312" w:before="0" w:after="120"/>
        <w:jc w:val="left"/>
        <w:rPr>
          <w:rFonts w:ascii="Times New Roman;serif" w:hAnsi="Times New Roman;serif"/>
          <w:b w:val="false"/>
          <w:color w:val="000000"/>
          <w:sz w:val="20"/>
        </w:rPr>
      </w:pPr>
      <w:r>
        <w:rPr>
          <w:rFonts w:ascii="Times New Roman;serif" w:hAnsi="Times New Roman;serif"/>
          <w:b w:val="false"/>
          <w:color w:val="000000"/>
          <w:sz w:val="20"/>
        </w:rPr>
        <w:t>I, Richard B. Cohen, certify that:</w:t>
      </w:r>
    </w:p>
    <w:p>
      <w:pPr>
        <w:pStyle w:val="TextBody"/>
        <w:bidi w:val="0"/>
        <w:spacing w:lineRule="auto" w:line="312" w:before="0" w:after="120"/>
        <w:jc w:val="left"/>
        <w:rPr>
          <w:rFonts w:ascii="Times New Roman;serif" w:hAnsi="Times New Roman;serif"/>
          <w:b w:val="false"/>
          <w:color w:val="000000"/>
          <w:sz w:val="20"/>
        </w:rPr>
      </w:pPr>
      <w:r>
        <w:rPr>
          <w:rFonts w:ascii="Times New Roman;serif" w:hAnsi="Times New Roman;serif"/>
          <w:b w:val="false"/>
          <w:color w:val="000000"/>
          <w:sz w:val="20"/>
        </w:rPr>
        <w:t>1.  I have reviewed this Quarterly Report on Form 10-Q for the fiscal quarter ended June 28, 2025 of Symbotic Inc.;</w:t>
      </w:r>
    </w:p>
    <w:p>
      <w:pPr>
        <w:pStyle w:val="TextBody"/>
        <w:bidi w:val="0"/>
        <w:spacing w:lineRule="auto" w:line="312" w:before="0" w:after="120"/>
        <w:jc w:val="left"/>
        <w:rPr>
          <w:rFonts w:ascii="Times New Roman;serif" w:hAnsi="Times New Roman;serif"/>
          <w:b w:val="false"/>
          <w:color w:val="000000"/>
          <w:sz w:val="20"/>
        </w:rPr>
      </w:pPr>
      <w:r>
        <w:rPr>
          <w:rFonts w:ascii="Times New Roman;serif" w:hAnsi="Times New Roman;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312" w:before="0" w:after="120"/>
        <w:jc w:val="left"/>
        <w:rPr>
          <w:rFonts w:ascii="Times New Roman;serif" w:hAnsi="Times New Roman;serif"/>
          <w:b w:val="false"/>
          <w:color w:val="000000"/>
          <w:sz w:val="20"/>
        </w:rPr>
      </w:pPr>
      <w:r>
        <w:rPr>
          <w:rFonts w:ascii="Times New Roman;serif" w:hAnsi="Times New Roman;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312" w:before="0" w:after="120"/>
        <w:jc w:val="left"/>
        <w:rPr>
          <w:rFonts w:ascii="Times New Roman;serif" w:hAnsi="Times New Roman;serif"/>
          <w:b w:val="false"/>
          <w:color w:val="000000"/>
          <w:sz w:val="20"/>
        </w:rPr>
      </w:pPr>
      <w:r>
        <w:rPr>
          <w:rFonts w:ascii="Times New Roman;serif" w:hAnsi="Times New Roman;serif"/>
          <w:b w:val="false"/>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312" w:before="0" w:after="120"/>
        <w:ind w:left="0" w:right="0" w:hanging="360"/>
        <w:jc w:val="left"/>
        <w:rPr/>
      </w:pPr>
      <w:r>
        <w:rPr>
          <w:rFonts w:ascii="Times New Roman;serif" w:hAnsi="Times New Roman;serif"/>
          <w:b w:val="false"/>
          <w:color w:val="000000"/>
          <w:sz w:val="20"/>
        </w:rPr>
        <w:t>a.</w:t>
      </w:r>
      <w:r>
        <w:rPr>
          <w:color w:val="000000"/>
        </w:rPr>
        <w:t> </w:t>
      </w:r>
      <w:r>
        <w:rPr>
          <w:rFonts w:ascii="Times New Roman;serif" w:hAnsi="Times New Roman;serif"/>
          <w:b w:val="false"/>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312" w:before="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312" w:before="0" w:after="120"/>
        <w:ind w:left="0" w:right="0" w:hanging="360"/>
        <w:jc w:val="left"/>
        <w:rPr/>
      </w:pPr>
      <w:r>
        <w:rPr>
          <w:rFonts w:ascii="Times New Roman;serif" w:hAnsi="Times New Roman;serif"/>
          <w:b w:val="false"/>
          <w:color w:val="000000"/>
          <w:sz w:val="20"/>
        </w:rPr>
        <w:t>c.</w:t>
      </w:r>
      <w:r>
        <w:rPr>
          <w:color w:val="000000"/>
        </w:rPr>
        <w:t> </w:t>
      </w:r>
      <w:r>
        <w:rPr>
          <w:rFonts w:ascii="Times New Roman;serif" w:hAnsi="Times New Roman;serif"/>
          <w:b w:val="false"/>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312" w:before="0" w:after="120"/>
        <w:ind w:left="0" w:right="0" w:hanging="360"/>
        <w:jc w:val="left"/>
        <w:rPr/>
      </w:pPr>
      <w:r>
        <w:rPr>
          <w:rFonts w:ascii="Times New Roman;serif" w:hAnsi="Times New Roman;serif"/>
          <w:b w:val="false"/>
          <w:color w:val="000000"/>
          <w:sz w:val="20"/>
        </w:rPr>
        <w:t>d.</w:t>
      </w:r>
      <w:r>
        <w:rPr>
          <w:color w:val="000000"/>
        </w:rPr>
        <w:t> </w:t>
      </w:r>
      <w:r>
        <w:rPr>
          <w:rFonts w:ascii="Times New Roman;serif" w:hAnsi="Times New Roman;serif"/>
          <w:b w:val="false"/>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312" w:before="0" w:after="120"/>
        <w:jc w:val="left"/>
        <w:rPr>
          <w:rFonts w:ascii="Times New Roman;serif" w:hAnsi="Times New Roman;serif"/>
          <w:b w:val="false"/>
          <w:color w:val="000000"/>
          <w:sz w:val="20"/>
        </w:rPr>
      </w:pPr>
      <w:r>
        <w:rPr>
          <w:rFonts w:ascii="Times New Roman;serif" w:hAnsi="Times New Roman;serif"/>
          <w:b w:val="false"/>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312" w:before="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312"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75260"/>
                <wp:effectExtent l="0" t="0" r="0" b="0"/>
                <wp:wrapNone/>
                <wp:docPr id="53" name="Frame5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5502" w:type="dxa"/>
        <w:jc w:val="left"/>
        <w:tblInd w:w="0" w:type="dxa"/>
        <w:tblLayout w:type="fixed"/>
        <w:tblCellMar>
          <w:top w:w="28" w:type="dxa"/>
          <w:left w:w="28" w:type="dxa"/>
          <w:bottom w:w="28" w:type="dxa"/>
          <w:right w:w="28" w:type="dxa"/>
        </w:tblCellMar>
      </w:tblPr>
      <w:tblGrid>
        <w:gridCol w:w="667"/>
        <w:gridCol w:w="587"/>
        <w:gridCol w:w="590"/>
        <w:gridCol w:w="134"/>
        <w:gridCol w:w="134"/>
        <w:gridCol w:w="136"/>
        <w:gridCol w:w="951"/>
        <w:gridCol w:w="951"/>
        <w:gridCol w:w="1352"/>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1352"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August 6, 2025</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By:</w:t>
            </w:r>
          </w:p>
        </w:tc>
        <w:tc>
          <w:tcPr>
            <w:tcW w:w="32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Richard B. Cohen</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4"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Richard B. Cohen</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Chairman and Chief Executive Officer</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75260"/>
                <wp:effectExtent l="0" t="0" r="0" b="0"/>
                <wp:wrapNone/>
                <wp:docPr id="54" name="Frame5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OF PRINCIPAL FINANCIAL OFFICER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302 OF THE SARBANES-OXLEY ACT OF 2002</w:t>
      </w:r>
    </w:p>
    <w:p>
      <w:pPr>
        <w:pStyle w:val="TextBody"/>
        <w:bidi w:val="0"/>
        <w:spacing w:before="0" w:after="0"/>
        <w:jc w:val="left"/>
        <w:rPr/>
      </w:pPr>
      <w:r>
        <w:rPr/>
      </w:r>
    </w:p>
    <w:p>
      <w:pPr>
        <w:pStyle w:val="TextBody"/>
        <w:bidi w:val="0"/>
        <w:spacing w:lineRule="auto" w:line="312" w:before="0" w:after="120"/>
        <w:jc w:val="left"/>
        <w:rPr>
          <w:rFonts w:ascii="Times New Roman;serif" w:hAnsi="Times New Roman;serif"/>
          <w:b w:val="false"/>
          <w:color w:val="000000"/>
          <w:sz w:val="20"/>
        </w:rPr>
      </w:pPr>
      <w:r>
        <w:rPr>
          <w:rFonts w:ascii="Times New Roman;serif" w:hAnsi="Times New Roman;serif"/>
          <w:b w:val="false"/>
          <w:color w:val="000000"/>
          <w:sz w:val="20"/>
        </w:rPr>
        <w:t>I, Carol Hibbard, certify that:</w:t>
      </w:r>
    </w:p>
    <w:p>
      <w:pPr>
        <w:pStyle w:val="TextBody"/>
        <w:bidi w:val="0"/>
        <w:spacing w:lineRule="auto" w:line="312" w:before="0" w:after="120"/>
        <w:jc w:val="left"/>
        <w:rPr>
          <w:rFonts w:ascii="Times New Roman;serif" w:hAnsi="Times New Roman;serif"/>
          <w:b w:val="false"/>
          <w:color w:val="000000"/>
          <w:sz w:val="20"/>
        </w:rPr>
      </w:pPr>
      <w:r>
        <w:rPr>
          <w:rFonts w:ascii="Times New Roman;serif" w:hAnsi="Times New Roman;serif"/>
          <w:b w:val="false"/>
          <w:color w:val="000000"/>
          <w:sz w:val="20"/>
        </w:rPr>
        <w:t>1.  I have reviewed this Quarterly Report on Form 10-Q for the fiscal quarter ended June 28, 2025 of Symbotic Inc.;</w:t>
      </w:r>
    </w:p>
    <w:p>
      <w:pPr>
        <w:pStyle w:val="TextBody"/>
        <w:bidi w:val="0"/>
        <w:spacing w:lineRule="auto" w:line="312" w:before="0" w:after="120"/>
        <w:jc w:val="left"/>
        <w:rPr>
          <w:rFonts w:ascii="Times New Roman;serif" w:hAnsi="Times New Roman;serif"/>
          <w:b w:val="false"/>
          <w:color w:val="000000"/>
          <w:sz w:val="20"/>
        </w:rPr>
      </w:pPr>
      <w:r>
        <w:rPr>
          <w:rFonts w:ascii="Times New Roman;serif" w:hAnsi="Times New Roman;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312" w:before="0" w:after="120"/>
        <w:jc w:val="left"/>
        <w:rPr>
          <w:rFonts w:ascii="Times New Roman;serif" w:hAnsi="Times New Roman;serif"/>
          <w:b w:val="false"/>
          <w:color w:val="000000"/>
          <w:sz w:val="20"/>
        </w:rPr>
      </w:pPr>
      <w:r>
        <w:rPr>
          <w:rFonts w:ascii="Times New Roman;serif" w:hAnsi="Times New Roman;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312" w:before="0" w:after="120"/>
        <w:jc w:val="left"/>
        <w:rPr>
          <w:rFonts w:ascii="Times New Roman;serif" w:hAnsi="Times New Roman;serif"/>
          <w:b w:val="false"/>
          <w:color w:val="000000"/>
          <w:sz w:val="20"/>
        </w:rPr>
      </w:pPr>
      <w:r>
        <w:rPr>
          <w:rFonts w:ascii="Times New Roman;serif" w:hAnsi="Times New Roman;serif"/>
          <w:b w:val="false"/>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312" w:before="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312" w:before="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312" w:before="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312" w:before="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312" w:before="0" w:after="120"/>
        <w:jc w:val="left"/>
        <w:rPr>
          <w:rFonts w:ascii="Times New Roman;serif" w:hAnsi="Times New Roman;serif"/>
          <w:b w:val="false"/>
          <w:color w:val="000000"/>
          <w:sz w:val="20"/>
        </w:rPr>
      </w:pPr>
      <w:r>
        <w:rPr>
          <w:rFonts w:ascii="Times New Roman;serif" w:hAnsi="Times New Roman;serif"/>
          <w:b w:val="false"/>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312" w:before="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312"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75260"/>
                <wp:effectExtent l="0" t="0" r="0" b="0"/>
                <wp:wrapNone/>
                <wp:docPr id="55" name="Frame5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5398" w:type="dxa"/>
        <w:jc w:val="left"/>
        <w:tblInd w:w="0" w:type="dxa"/>
        <w:tblLayout w:type="fixed"/>
        <w:tblCellMar>
          <w:top w:w="28" w:type="dxa"/>
          <w:left w:w="28" w:type="dxa"/>
          <w:bottom w:w="28" w:type="dxa"/>
          <w:right w:w="28" w:type="dxa"/>
        </w:tblCellMar>
      </w:tblPr>
      <w:tblGrid>
        <w:gridCol w:w="667"/>
        <w:gridCol w:w="587"/>
        <w:gridCol w:w="590"/>
        <w:gridCol w:w="134"/>
        <w:gridCol w:w="134"/>
        <w:gridCol w:w="136"/>
        <w:gridCol w:w="920"/>
        <w:gridCol w:w="920"/>
        <w:gridCol w:w="1310"/>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1310"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August 6, 2025</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By:</w:t>
            </w:r>
          </w:p>
        </w:tc>
        <w:tc>
          <w:tcPr>
            <w:tcW w:w="31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Carol Hibbard</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0"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Carol Hibbard</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 and Treasurer</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75260"/>
                <wp:effectExtent l="0" t="0" r="0" b="0"/>
                <wp:wrapNone/>
                <wp:docPr id="56" name="Frame5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32.1</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OF PRINCIPAL EXECUTIVE OFFICER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18 U.S.C. SECTION 1350, AS ADOPTED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before="0" w:after="0"/>
        <w:jc w:val="left"/>
        <w:rPr/>
      </w:pPr>
      <w:r>
        <w:rPr/>
      </w:r>
    </w:p>
    <w:p>
      <w:pPr>
        <w:pStyle w:val="TextBody"/>
        <w:bidi w:val="0"/>
        <w:spacing w:lineRule="auto" w:line="312" w:before="0" w:after="120"/>
        <w:jc w:val="left"/>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on Form 10-Q of Symbotic Inc. (the “Company”) for the fiscal quarter ended June 28, 2025, as filed with the Securities and Exchange Commission on the date hereof (the “Report”), I, Richard B. Cohen, Chairman and Chief Executive Officer of the Company, certify, pursuant to 18 U.S.C. Section 1350, as adopted pursuant to Section 906 of the Sarbanes-Oxley Act of 2002, that, to my knowledge:</w:t>
      </w:r>
    </w:p>
    <w:p>
      <w:pPr>
        <w:pStyle w:val="TextBody"/>
        <w:bidi w:val="0"/>
        <w:spacing w:lineRule="auto" w:line="312" w:before="0" w:after="120"/>
        <w:jc w:val="left"/>
        <w:rPr>
          <w:rFonts w:ascii="Times New Roman;serif" w:hAnsi="Times New Roman;serif"/>
          <w:b w:val="false"/>
          <w:color w:val="000000"/>
          <w:sz w:val="20"/>
        </w:rPr>
      </w:pPr>
      <w:r>
        <w:rPr>
          <w:rFonts w:ascii="Times New Roman;serif" w:hAnsi="Times New Roman;serif"/>
          <w:b w:val="false"/>
          <w:color w:val="000000"/>
          <w:sz w:val="20"/>
        </w:rPr>
        <w:t>(1)   The Report fully complies with the requirements of Section 13(a) or 15(d) of the Securities Exchange Act of 1934; and</w:t>
      </w:r>
    </w:p>
    <w:p>
      <w:pPr>
        <w:pStyle w:val="TextBody"/>
        <w:bidi w:val="0"/>
        <w:spacing w:lineRule="auto" w:line="312" w:before="0" w:after="0"/>
        <w:jc w:val="left"/>
        <w:rPr>
          <w:rFonts w:ascii="Times New Roman;serif" w:hAnsi="Times New Roman;serif"/>
          <w:b w:val="false"/>
          <w:color w:val="000000"/>
          <w:sz w:val="20"/>
        </w:rPr>
      </w:pPr>
      <w:r>
        <w:rPr>
          <w:rFonts w:ascii="Times New Roman;serif" w:hAnsi="Times New Roman;serif"/>
          <w:b w:val="false"/>
          <w:color w:val="000000"/>
          <w:sz w:val="20"/>
        </w:rPr>
        <w:t>(2)   The information contained in the Report fairly presents, in all material respects, the financial condition and results of operations of the Company.</w:t>
      </w:r>
    </w:p>
    <w:p>
      <w:pPr>
        <w:pStyle w:val="TextBody"/>
        <w:bidi w:val="0"/>
        <w:spacing w:before="0" w:after="0"/>
        <w:jc w:val="left"/>
        <w:rPr/>
      </w:pPr>
      <w:r>
        <w:rPr/>
      </w:r>
    </w:p>
    <w:p>
      <w:pPr>
        <w:pStyle w:val="TextBody"/>
        <w:bidi w:val="0"/>
        <w:spacing w:before="0" w:after="0"/>
        <w:jc w:val="left"/>
        <w:rPr/>
      </w:pPr>
      <w:r>
        <w:rPr/>
      </w:r>
    </w:p>
    <w:tbl>
      <w:tblPr>
        <w:tblW w:w="5502" w:type="dxa"/>
        <w:jc w:val="left"/>
        <w:tblInd w:w="0" w:type="dxa"/>
        <w:tblLayout w:type="fixed"/>
        <w:tblCellMar>
          <w:top w:w="28" w:type="dxa"/>
          <w:left w:w="28" w:type="dxa"/>
          <w:bottom w:w="28" w:type="dxa"/>
          <w:right w:w="28" w:type="dxa"/>
        </w:tblCellMar>
      </w:tblPr>
      <w:tblGrid>
        <w:gridCol w:w="667"/>
        <w:gridCol w:w="587"/>
        <w:gridCol w:w="590"/>
        <w:gridCol w:w="134"/>
        <w:gridCol w:w="134"/>
        <w:gridCol w:w="136"/>
        <w:gridCol w:w="951"/>
        <w:gridCol w:w="951"/>
        <w:gridCol w:w="1352"/>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1352"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August 6, 2025</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By:</w:t>
            </w:r>
          </w:p>
        </w:tc>
        <w:tc>
          <w:tcPr>
            <w:tcW w:w="32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Richard B. Cohen</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4"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Richard B. Cohen</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Chairman and Chief Executive Officer</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r>
    </w:tbl>
    <w:p>
      <w:pPr>
        <w:pStyle w:val="TextBody"/>
        <w:bidi w:val="0"/>
        <w:spacing w:before="0" w:after="0"/>
        <w:jc w:val="left"/>
        <w:rPr/>
      </w:pPr>
      <w:r>
        <w:rPr/>
      </w:r>
    </w:p>
    <w:p>
      <w:pPr>
        <w:pStyle w:val="TextBody"/>
        <w:bidi w:val="0"/>
        <w:spacing w:lineRule="auto" w:line="288"/>
        <w:jc w:val="left"/>
        <w:rPr>
          <w:rFonts w:ascii="Times New Roman;serif" w:hAnsi="Times New Roman;serif"/>
          <w:b w:val="false"/>
          <w:color w:val="000000"/>
          <w:sz w:val="20"/>
        </w:rPr>
      </w:pPr>
      <w:r>
        <w:rPr>
          <w:rFonts w:ascii="Times New Roman;serif" w:hAnsi="Times New Roman;serif"/>
          <w:b w:val="false"/>
          <w:color w:val="000000"/>
          <w:sz w:val="20"/>
        </w:rPr>
        <w:t xml:space="preserve">The foregoing certification is being furnished solely pursuant to 18 U.S.C. Section 1350 and is not being filed as part of the Report or as a separate disclosure document.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75260"/>
                <wp:effectExtent l="0" t="0" r="0" b="0"/>
                <wp:wrapNone/>
                <wp:docPr id="57" name="Frame5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32.2</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OF PRINCIPAL FINANCIAL OFFICER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18 U.S.C. SECTION 1350, AS ADOPTED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before="0" w:after="0"/>
        <w:jc w:val="left"/>
        <w:rPr/>
      </w:pPr>
      <w:r>
        <w:rPr/>
      </w:r>
    </w:p>
    <w:p>
      <w:pPr>
        <w:pStyle w:val="TextBody"/>
        <w:bidi w:val="0"/>
        <w:spacing w:lineRule="auto" w:line="312" w:before="0" w:after="120"/>
        <w:jc w:val="left"/>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on Form 10-Q of Symbotic Inc. (the “Company”) for the fiscal quarter ended June 28, 2025, as filed with the Securities and Exchange Commission on the date hereof (the “Report”), I, Carol Hibbard, Chief Financial Officer and Treasurer of the Company, certify, pursuant to 18 U.S.C. Section 1350, as adopted pursuant to Section 906 of the Sarbanes-Oxley Act of 2002, that, to my knowledge:</w:t>
      </w:r>
    </w:p>
    <w:p>
      <w:pPr>
        <w:pStyle w:val="TextBody"/>
        <w:bidi w:val="0"/>
        <w:spacing w:lineRule="auto" w:line="312" w:before="0" w:after="120"/>
        <w:jc w:val="left"/>
        <w:rPr>
          <w:rFonts w:ascii="Times New Roman;serif" w:hAnsi="Times New Roman;serif"/>
          <w:b w:val="false"/>
          <w:color w:val="000000"/>
          <w:sz w:val="20"/>
        </w:rPr>
      </w:pPr>
      <w:r>
        <w:rPr>
          <w:rFonts w:ascii="Times New Roman;serif" w:hAnsi="Times New Roman;serif"/>
          <w:b w:val="false"/>
          <w:color w:val="000000"/>
          <w:sz w:val="20"/>
        </w:rPr>
        <w:t>(1)   The Report fully complies with the requirements of Section 13(a) or 15(d) of the Securities Exchange Act of 1934; and</w:t>
      </w:r>
    </w:p>
    <w:p>
      <w:pPr>
        <w:pStyle w:val="TextBody"/>
        <w:bidi w:val="0"/>
        <w:spacing w:lineRule="auto" w:line="312" w:before="0" w:after="0"/>
        <w:jc w:val="left"/>
        <w:rPr>
          <w:rFonts w:ascii="Times New Roman;serif" w:hAnsi="Times New Roman;serif"/>
          <w:b w:val="false"/>
          <w:color w:val="000000"/>
          <w:sz w:val="20"/>
        </w:rPr>
      </w:pPr>
      <w:r>
        <w:rPr>
          <w:rFonts w:ascii="Times New Roman;serif" w:hAnsi="Times New Roman;serif"/>
          <w:b w:val="false"/>
          <w:color w:val="000000"/>
          <w:sz w:val="20"/>
        </w:rPr>
        <w:t>(2)   The information contained in the Report fairly presents, in all material respects, the financial condition and results of operations of the Company.</w:t>
      </w:r>
    </w:p>
    <w:p>
      <w:pPr>
        <w:pStyle w:val="TextBody"/>
        <w:bidi w:val="0"/>
        <w:spacing w:before="0" w:after="0"/>
        <w:jc w:val="left"/>
        <w:rPr/>
      </w:pPr>
      <w:r>
        <w:rPr/>
      </w:r>
    </w:p>
    <w:p>
      <w:pPr>
        <w:pStyle w:val="TextBody"/>
        <w:bidi w:val="0"/>
        <w:spacing w:before="0" w:after="0"/>
        <w:jc w:val="left"/>
        <w:rPr/>
      </w:pPr>
      <w:r>
        <w:rPr/>
      </w:r>
    </w:p>
    <w:tbl>
      <w:tblPr>
        <w:tblW w:w="5398" w:type="dxa"/>
        <w:jc w:val="left"/>
        <w:tblInd w:w="0" w:type="dxa"/>
        <w:tblLayout w:type="fixed"/>
        <w:tblCellMar>
          <w:top w:w="28" w:type="dxa"/>
          <w:left w:w="28" w:type="dxa"/>
          <w:bottom w:w="28" w:type="dxa"/>
          <w:right w:w="28" w:type="dxa"/>
        </w:tblCellMar>
      </w:tblPr>
      <w:tblGrid>
        <w:gridCol w:w="667"/>
        <w:gridCol w:w="587"/>
        <w:gridCol w:w="590"/>
        <w:gridCol w:w="134"/>
        <w:gridCol w:w="134"/>
        <w:gridCol w:w="136"/>
        <w:gridCol w:w="920"/>
        <w:gridCol w:w="920"/>
        <w:gridCol w:w="1310"/>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1310"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August 6, 2025</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By:</w:t>
            </w:r>
          </w:p>
        </w:tc>
        <w:tc>
          <w:tcPr>
            <w:tcW w:w="31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Carol Hibbard</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0"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Carol Hibbard</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 and Treasurer</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Financial Officer)</w:t>
            </w:r>
          </w:p>
        </w:tc>
      </w:tr>
    </w:tbl>
    <w:p>
      <w:pPr>
        <w:pStyle w:val="TextBody"/>
        <w:bidi w:val="0"/>
        <w:spacing w:before="0" w:after="0"/>
        <w:jc w:val="left"/>
        <w:rPr/>
      </w:pPr>
      <w:r>
        <w:rPr/>
      </w:r>
    </w:p>
    <w:p>
      <w:pPr>
        <w:pStyle w:val="TextBody"/>
        <w:bidi w:val="0"/>
        <w:spacing w:lineRule="auto" w:line="288"/>
        <w:jc w:val="left"/>
        <w:rPr>
          <w:rFonts w:ascii="Times New Roman;serif" w:hAnsi="Times New Roman;serif"/>
          <w:b w:val="false"/>
          <w:color w:val="000000"/>
          <w:sz w:val="20"/>
        </w:rPr>
      </w:pPr>
      <w:r>
        <w:rPr>
          <w:rFonts w:ascii="Times New Roman;serif" w:hAnsi="Times New Roman;serif"/>
          <w:b w:val="false"/>
          <w:color w:val="000000"/>
          <w:sz w:val="20"/>
        </w:rPr>
        <w:t>The foregoing certification is being furnished solely pursuant to 18 U.S.C. Section 1350 and is not being filed as part of the Report or as a separate disclosure document.</w:t>
      </w:r>
    </w:p>
    <w:p>
      <w:pPr>
        <w:pStyle w:val="TextBody"/>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75260"/>
                <wp:effectExtent l="0" t="0" r="0" b="0"/>
                <wp:wrapNone/>
                <wp:docPr id="58" name="Frame5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837240/000119312525137836/d91164dex101.htm" TargetMode="External"/><Relationship Id="rId3" Type="http://schemas.openxmlformats.org/officeDocument/2006/relationships/hyperlink" Target="https://www.sec.gov/Archives/edgar/data/1837240/000119312525137836/d91164dex102.htm" TargetMode="Externa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26768</Words>
  <Characters>148589</Characters>
  <CharactersWithSpaces>173610</CharactersWithSpaces>
  <Paragraphs>3230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