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ind w:left="0" w:right="0" w:firstLine="360"/>
        <w:jc w:val="left"/>
        <w:rPr/>
      </w:pPr>
      <w:r>
        <w:rPr/>
      </w:r>
    </w:p>
    <w:p>
      <w:pPr>
        <w:pStyle w:val="TextBody"/>
        <w:bidi w:val="0"/>
        <w:spacing w:before="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60" w:after="60"/>
        <w:jc w:val="center"/>
        <w:rPr/>
      </w:pPr>
      <w:r>
        <w:rPr/>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36"/>
              </w:rPr>
            </w:pPr>
            <w:r>
              <w:rPr>
                <w:rFonts w:ascii="Times New Roman;serif" w:hAnsi="Times New Roman;serif"/>
                <w:b/>
                <w:color w:val="000000"/>
                <w:sz w:val="36"/>
              </w:rPr>
              <w:t>FORM 10-Q</w:t>
            </w:r>
          </w:p>
        </w:tc>
      </w:tr>
    </w:tbl>
    <w:p>
      <w:pPr>
        <w:pStyle w:val="TextBody"/>
        <w:bidi w:val="0"/>
        <w:spacing w:before="60" w:after="283"/>
        <w:jc w:val="center"/>
        <w:rPr/>
      </w:pPr>
      <w:r>
        <w:rPr/>
      </w:r>
    </w:p>
    <w:p>
      <w:pPr>
        <w:pStyle w:val="TextBody"/>
        <w:bidi w:val="0"/>
        <w:spacing w:lineRule="auto" w:line="400" w:before="6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28, 2026 </w:t>
      </w:r>
    </w:p>
    <w:p>
      <w:pPr>
        <w:pStyle w:val="TextBody"/>
        <w:bidi w:val="0"/>
        <w:spacing w:lineRule="auto" w:line="400"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 to </w:t>
      </w:r>
    </w:p>
    <w:p>
      <w:pPr>
        <w:pStyle w:val="TextBody"/>
        <w:bidi w:val="0"/>
        <w:spacing w:before="60" w:after="283"/>
        <w:jc w:val="left"/>
        <w:rPr/>
      </w:pPr>
      <w:r>
        <w:rPr/>
      </w:r>
    </w:p>
    <w:p>
      <w:pPr>
        <w:pStyle w:val="TextBody"/>
        <w:bidi w:val="0"/>
        <w:spacing w:lineRule="auto" w:line="400"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001-40175 </w:t>
      </w:r>
    </w:p>
    <w:p>
      <w:pPr>
        <w:pStyle w:val="TextBody"/>
        <w:bidi w:val="0"/>
        <w:spacing w:before="60" w:after="283"/>
        <w:jc w:val="center"/>
        <w:rPr/>
      </w:pPr>
      <w:r>
        <w:rPr/>
      </w:r>
    </w:p>
    <w:p>
      <w:pPr>
        <w:pStyle w:val="TextBody"/>
        <w:bidi w:val="0"/>
        <w:spacing w:lineRule="auto" w:line="400" w:before="60" w:after="283"/>
        <w:jc w:val="center"/>
        <w:rPr>
          <w:rFonts w:ascii="Times New Roman;serif" w:hAnsi="Times New Roman;serif"/>
          <w:b/>
          <w:color w:val="000000"/>
          <w:sz w:val="36"/>
        </w:rPr>
      </w:pPr>
      <w:r>
        <w:rPr>
          <w:rFonts w:ascii="Times New Roman;serif" w:hAnsi="Times New Roman;serif"/>
          <w:b/>
          <w:color w:val="000000"/>
          <w:sz w:val="36"/>
        </w:rPr>
        <w:t xml:space="preserve">SYMBOTIC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027"/>
        <w:gridCol w:w="903"/>
        <w:gridCol w:w="912"/>
        <w:gridCol w:w="832"/>
        <w:gridCol w:w="832"/>
        <w:gridCol w:w="832"/>
        <w:gridCol w:w="832"/>
        <w:gridCol w:w="832"/>
        <w:gridCol w:w="848"/>
        <w:gridCol w:w="666"/>
        <w:gridCol w:w="666"/>
        <w:gridCol w:w="645"/>
        <w:gridCol w:w="109"/>
        <w:gridCol w:w="109"/>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Delaware</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98-1572401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200 Research Drive</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Wilmington, MA 01887 </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(978) 284-2800</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continue"/>
            <w:tcBorders/>
            <w:tcMar>
              <w:top w:w="0" w:type="dxa"/>
              <w:left w:w="0" w:type="dxa"/>
              <w:bottom w:w="0" w:type="dxa"/>
              <w:right w:w="0" w:type="dxa"/>
            </w:tcMar>
            <w:vAlign w:val="center"/>
          </w:tcPr>
          <w:p>
            <w:pPr>
              <w:pStyle w:val="Normal"/>
              <w:bidi w:val="0"/>
              <w:jc w:val="left"/>
              <w:rPr/>
            </w:pPr>
            <w:r>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43"/>
        <w:gridCol w:w="1349"/>
        <w:gridCol w:w="1365"/>
        <w:gridCol w:w="109"/>
        <w:gridCol w:w="109"/>
        <w:gridCol w:w="109"/>
        <w:gridCol w:w="536"/>
        <w:gridCol w:w="536"/>
        <w:gridCol w:w="538"/>
        <w:gridCol w:w="109"/>
        <w:gridCol w:w="109"/>
        <w:gridCol w:w="109"/>
        <w:gridCol w:w="1077"/>
        <w:gridCol w:w="1077"/>
        <w:gridCol w:w="1530"/>
      </w:tblGrid>
      <w:tr>
        <w:trPr/>
        <w:tc>
          <w:tcPr>
            <w:tcW w:w="15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left"/>
        <w:rPr/>
      </w:pPr>
      <w:r>
        <w:rPr/>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both"/>
        <w:rPr/>
      </w:pPr>
      <w:r>
        <w:rPr/>
      </w:r>
    </w:p>
    <w:p>
      <w:pPr>
        <w:pStyle w:val="TextBody"/>
        <w:bidi w:val="0"/>
        <w:spacing w:lineRule="auto" w:line="288" w:before="6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bl>
    <w:p>
      <w:pPr>
        <w:pStyle w:val="TextBody"/>
        <w:bidi w:val="0"/>
        <w:spacing w:lineRule="auto" w:line="400" w:before="60" w:after="283"/>
        <w:jc w:val="center"/>
        <w:rPr>
          <w:color w:val="000000"/>
        </w:rPr>
      </w:pPr>
      <w:r>
        <w:rPr>
          <w:color w:val="000000"/>
        </w:rPr>
        <w:t>                </w:t>
      </w:r>
    </w:p>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60" w:after="283"/>
        <w:jc w:val="left"/>
        <w:rPr/>
      </w:pPr>
      <w:r>
        <w:rPr/>
      </w:r>
    </w:p>
    <w:p>
      <w:pPr>
        <w:pStyle w:val="TextBody"/>
        <w:bidi w:val="0"/>
        <w:spacing w:lineRule="auto" w:line="307"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color w:val="000000"/>
        </w:rPr>
        <w:t>☒</w:t>
      </w:r>
    </w:p>
    <w:p>
      <w:pPr>
        <w:pStyle w:val="TextBody"/>
        <w:bidi w:val="0"/>
        <w:spacing w:before="60" w:after="283"/>
        <w:jc w:val="left"/>
        <w:rPr/>
      </w:pPr>
      <w:r>
        <w:rPr/>
      </w:r>
    </w:p>
    <w:p>
      <w:pPr>
        <w:pStyle w:val="TextBody"/>
        <w:bidi w:val="0"/>
        <w:spacing w:lineRule="auto" w:line="400" w:before="60" w:after="283"/>
        <w:jc w:val="left"/>
        <w:rPr>
          <w:rFonts w:ascii="Times New Roman;serif" w:hAnsi="Times New Roman;serif"/>
          <w:b w:val="false"/>
          <w:color w:val="000000"/>
          <w:sz w:val="20"/>
        </w:rPr>
      </w:pPr>
      <w:r>
        <w:rPr>
          <w:rFonts w:ascii="Times New Roman;serif" w:hAnsi="Times New Roman;serif"/>
          <w:b w:val="false"/>
          <w:color w:val="000000"/>
          <w:sz w:val="20"/>
        </w:rPr>
        <w:t>As of May 4, 2026, the following shares of common stock were outstanding: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127,215,411 shares of Class A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71,932,208 shares of Class V-1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403,559,196 shares of Class V-3 common stock, par value $0.0001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37"/>
        <w:gridCol w:w="208"/>
        <w:gridCol w:w="208"/>
        <w:gridCol w:w="2998"/>
        <w:gridCol w:w="2988"/>
        <w:gridCol w:w="2993"/>
        <w:gridCol w:w="167"/>
        <w:gridCol w:w="167"/>
        <w:gridCol w:w="239"/>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ecbadb85086145d3932d30df12e097f6_10">
              <w:r>
                <w:rPr>
                  <w:rStyle w:val="InternetLink"/>
                  <w:rFonts w:ascii="Times New Roman;serif" w:hAnsi="Times New Roman;serif"/>
                  <w:b/>
                  <w:color w:val="0E32E1"/>
                  <w:sz w:val="20"/>
                  <w:u w:val="single"/>
                </w:rPr>
                <w:t>Part I - Financial Information</w:t>
              </w:r>
            </w:hyperlink>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3">
              <w:r>
                <w:rPr>
                  <w:rStyle w:val="InternetLink"/>
                  <w:rFonts w:ascii="Times New Roman;serif" w:hAnsi="Times New Roman;serif"/>
                  <w:b w:val="false"/>
                  <w:color w:val="0000FF"/>
                  <w:sz w:val="20"/>
                  <w:u w:val="single"/>
                </w:rPr>
                <w:t>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
              <w:r>
                <w:rPr>
                  <w:rStyle w:val="InternetLink"/>
                  <w:rFonts w:ascii="Times New Roman;serif" w:hAnsi="Times New Roman;serif"/>
                  <w:b w:val="false"/>
                  <w:strike w:val="false"/>
                  <w:dstrike w:val="false"/>
                  <w:color w:val="000000"/>
                  <w:sz w:val="20"/>
                  <w:u w:val="none"/>
                  <w:effect w:val="none"/>
                </w:rPr>
                <w:t>1</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3">
              <w:r>
                <w:rPr>
                  <w:rStyle w:val="InternetLink"/>
                  <w:rFonts w:ascii="Times New Roman;serif" w:hAnsi="Times New Roman;serif"/>
                  <w:b w:val="false"/>
                  <w:color w:val="0000FF"/>
                  <w:sz w:val="20"/>
                  <w:u w:val="single"/>
                </w:rPr>
                <w:t>Unaudited Condensed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
              <w:r>
                <w:rPr>
                  <w:rStyle w:val="InternetLink"/>
                  <w:rFonts w:ascii="Times New Roman;serif" w:hAnsi="Times New Roman;serif"/>
                  <w:b w:val="false"/>
                  <w:strike w:val="false"/>
                  <w:dstrike w:val="false"/>
                  <w:color w:val="000000"/>
                  <w:sz w:val="20"/>
                  <w:u w:val="none"/>
                  <w:effect w:val="none"/>
                </w:rPr>
                <w:t>1</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6">
              <w:r>
                <w:rPr>
                  <w:rStyle w:val="InternetLink"/>
                  <w:rFonts w:ascii="Times New Roman;serif" w:hAnsi="Times New Roman;serif"/>
                  <w:b w:val="false"/>
                  <w:color w:val="000080"/>
                  <w:sz w:val="20"/>
                  <w:u w:val="single"/>
                </w:rPr>
                <w:t xml:space="preserve">Unaudited Condensed Consolidated Balance Sheets as of </w:t>
              </w:r>
            </w:hyperlink>
            <w:hyperlink w:anchor="iecbadb85086145d3932d30df12e097f6_16">
              <w:r>
                <w:rPr>
                  <w:rStyle w:val="InternetLink"/>
                  <w:rFonts w:ascii="Times New Roman;serif" w:hAnsi="Times New Roman;serif"/>
                  <w:b w:val="false"/>
                  <w:color w:val="000080"/>
                  <w:sz w:val="20"/>
                  <w:u w:val="single"/>
                </w:rPr>
                <w:t>March 28, 2026</w:t>
              </w:r>
            </w:hyperlink>
            <w:hyperlink w:anchor="iecbadb85086145d3932d30df12e097f6_16">
              <w:r>
                <w:rPr>
                  <w:rStyle w:val="InternetLink"/>
                  <w:rFonts w:ascii="Times New Roman;serif" w:hAnsi="Times New Roman;serif"/>
                  <w:b w:val="false"/>
                  <w:color w:val="000080"/>
                  <w:sz w:val="20"/>
                  <w:u w:val="single"/>
                </w:rPr>
                <w:t xml:space="preserve"> and September 27, 2025</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6">
              <w:r>
                <w:rPr>
                  <w:rStyle w:val="InternetLink"/>
                  <w:rFonts w:ascii="Times New Roman;serif" w:hAnsi="Times New Roman;serif"/>
                  <w:b w:val="false"/>
                  <w:strike w:val="false"/>
                  <w:dstrike w:val="false"/>
                  <w:color w:val="000000"/>
                  <w:sz w:val="20"/>
                  <w:u w:val="none"/>
                  <w:effect w:val="none"/>
                </w:rPr>
                <w:t>1</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ecbadb85086145d3932d30df12e097f6_19">
              <w:r>
                <w:rPr>
                  <w:rStyle w:val="InternetLink"/>
                  <w:rFonts w:ascii="Times New Roman;serif" w:hAnsi="Times New Roman;serif"/>
                  <w:b w:val="false"/>
                  <w:color w:val="000080"/>
                  <w:sz w:val="20"/>
                  <w:u w:val="single"/>
                </w:rPr>
                <w:t>Unaudited Condensed Consolidated Statements of Operations for the Three</w:t>
              </w:r>
            </w:hyperlink>
            <w:hyperlink w:anchor="iecbadb85086145d3932d30df12e097f6_19">
              <w:r>
                <w:rPr>
                  <w:rStyle w:val="InternetLink"/>
                  <w:rFonts w:ascii="Times New Roman;serif" w:hAnsi="Times New Roman;serif"/>
                  <w:b w:val="false"/>
                  <w:color w:val="000080"/>
                  <w:sz w:val="20"/>
                  <w:u w:val="single"/>
                </w:rPr>
                <w:t xml:space="preserve"> and Six</w:t>
              </w:r>
            </w:hyperlink>
            <w:hyperlink w:anchor="iecbadb85086145d3932d30df12e097f6_19">
              <w:r>
                <w:rPr>
                  <w:rStyle w:val="InternetLink"/>
                  <w:rFonts w:ascii="Times New Roman;serif" w:hAnsi="Times New Roman;serif"/>
                  <w:b w:val="false"/>
                  <w:color w:val="000080"/>
                  <w:sz w:val="20"/>
                  <w:u w:val="single"/>
                </w:rPr>
                <w:t xml:space="preserve"> Months Ended </w:t>
              </w:r>
            </w:hyperlink>
            <w:hyperlink w:anchor="iecbadb85086145d3932d30df12e097f6_19">
              <w:r>
                <w:rPr>
                  <w:rStyle w:val="InternetLink"/>
                  <w:rFonts w:ascii="Times New Roman;serif" w:hAnsi="Times New Roman;serif"/>
                  <w:b w:val="false"/>
                  <w:color w:val="000080"/>
                  <w:sz w:val="20"/>
                  <w:u w:val="single"/>
                </w:rPr>
                <w:t>March 28, 2026</w:t>
              </w:r>
            </w:hyperlink>
            <w:hyperlink w:anchor="iecbadb85086145d3932d30df12e097f6_19">
              <w:r>
                <w:rPr>
                  <w:rStyle w:val="InternetLink"/>
                  <w:rFonts w:ascii="Times New Roman;serif" w:hAnsi="Times New Roman;serif"/>
                  <w:b w:val="false"/>
                  <w:color w:val="000080"/>
                  <w:sz w:val="20"/>
                  <w:u w:val="single"/>
                </w:rPr>
                <w:t xml:space="preserve"> and</w:t>
              </w:r>
            </w:hyperlink>
            <w:hyperlink w:anchor="iecbadb85086145d3932d30df12e097f6_19">
              <w:r>
                <w:rPr>
                  <w:rStyle w:val="InternetLink"/>
                  <w:rFonts w:ascii="Times New Roman;serif" w:hAnsi="Times New Roman;serif"/>
                  <w:b w:val="false"/>
                  <w:color w:val="000080"/>
                  <w:sz w:val="20"/>
                  <w:u w:val="single"/>
                </w:rPr>
                <w:t xml:space="preserve"> March 2</w:t>
              </w:r>
            </w:hyperlink>
            <w:hyperlink w:anchor="iecbadb85086145d3932d30df12e097f6_19">
              <w:r>
                <w:rPr>
                  <w:rStyle w:val="InternetLink"/>
                  <w:rFonts w:ascii="Times New Roman;serif" w:hAnsi="Times New Roman;serif"/>
                  <w:b w:val="false"/>
                  <w:color w:val="000080"/>
                  <w:sz w:val="20"/>
                  <w:u w:val="single"/>
                </w:rPr>
                <w:t>9, 2025</w:t>
              </w:r>
            </w:hyperlink>
            <w:hyperlink w:anchor="iecbadb85086145d3932d30df12e097f6_19">
              <w:r>
                <w:rPr>
                  <w:rStyle w:val="InternetLink"/>
                  <w:rFonts w:ascii="Times New Roman;serif" w:hAnsi="Times New Roman;serif"/>
                  <w:b w:val="false"/>
                  <w:color w:val="000080"/>
                  <w:sz w:val="20"/>
                  <w:u w:val="single"/>
                </w:rPr>
                <w:t xml:space="preserve"> </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9">
              <w:r>
                <w:rPr>
                  <w:rStyle w:val="InternetLink"/>
                  <w:rFonts w:ascii="Times New Roman;serif" w:hAnsi="Times New Roman;serif"/>
                  <w:b w:val="false"/>
                  <w:strike w:val="false"/>
                  <w:dstrike w:val="false"/>
                  <w:color w:val="000000"/>
                  <w:sz w:val="20"/>
                  <w:u w:val="none"/>
                  <w:effect w:val="none"/>
                </w:rPr>
                <w:t>3</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2">
              <w:r>
                <w:rPr>
                  <w:rStyle w:val="InternetLink"/>
                  <w:rFonts w:ascii="Times New Roman;serif" w:hAnsi="Times New Roman;serif"/>
                  <w:b w:val="false"/>
                  <w:color w:val="000080"/>
                  <w:sz w:val="20"/>
                  <w:u w:val="single"/>
                </w:rPr>
                <w:t>Unaudited Condensed Consolidated Statements of Comprehensive Income (Loss) for the Three</w:t>
              </w:r>
            </w:hyperlink>
            <w:hyperlink w:anchor="iecbadb85086145d3932d30df12e097f6_22">
              <w:r>
                <w:rPr>
                  <w:rStyle w:val="InternetLink"/>
                  <w:rFonts w:ascii="Times New Roman;serif" w:hAnsi="Times New Roman;serif"/>
                  <w:b w:val="false"/>
                  <w:color w:val="000080"/>
                  <w:sz w:val="20"/>
                  <w:u w:val="single"/>
                </w:rPr>
                <w:t xml:space="preserve"> and Six</w:t>
              </w:r>
            </w:hyperlink>
            <w:hyperlink w:anchor="iecbadb85086145d3932d30df12e097f6_22">
              <w:r>
                <w:rPr>
                  <w:rStyle w:val="InternetLink"/>
                  <w:rFonts w:ascii="Times New Roman;serif" w:hAnsi="Times New Roman;serif"/>
                  <w:b w:val="false"/>
                  <w:color w:val="000080"/>
                  <w:sz w:val="20"/>
                  <w:u w:val="single"/>
                </w:rPr>
                <w:t xml:space="preserve"> Months Ended </w:t>
              </w:r>
            </w:hyperlink>
            <w:hyperlink w:anchor="iecbadb85086145d3932d30df12e097f6_22">
              <w:r>
                <w:rPr>
                  <w:rStyle w:val="InternetLink"/>
                  <w:rFonts w:ascii="Times New Roman;serif" w:hAnsi="Times New Roman;serif"/>
                  <w:b w:val="false"/>
                  <w:color w:val="000080"/>
                  <w:sz w:val="20"/>
                  <w:u w:val="single"/>
                </w:rPr>
                <w:t>March 28, 202</w:t>
              </w:r>
            </w:hyperlink>
            <w:hyperlink w:anchor="iecbadb85086145d3932d30df12e097f6_22">
              <w:r>
                <w:rPr>
                  <w:rStyle w:val="InternetLink"/>
                  <w:rFonts w:ascii="Times New Roman;serif" w:hAnsi="Times New Roman;serif"/>
                  <w:b w:val="false"/>
                  <w:color w:val="000080"/>
                  <w:sz w:val="20"/>
                  <w:u w:val="single"/>
                </w:rPr>
                <w:t>6</w:t>
              </w:r>
            </w:hyperlink>
            <w:hyperlink w:anchor="iecbadb85086145d3932d30df12e097f6_22">
              <w:r>
                <w:rPr>
                  <w:rStyle w:val="InternetLink"/>
                  <w:rFonts w:ascii="Times New Roman;serif" w:hAnsi="Times New Roman;serif"/>
                  <w:b w:val="false"/>
                  <w:color w:val="000080"/>
                  <w:sz w:val="20"/>
                  <w:u w:val="single"/>
                </w:rPr>
                <w:t xml:space="preserve"> and</w:t>
              </w:r>
            </w:hyperlink>
            <w:hyperlink w:anchor="iecbadb85086145d3932d30df12e097f6_22">
              <w:r>
                <w:rPr>
                  <w:rStyle w:val="InternetLink"/>
                  <w:rFonts w:ascii="Times New Roman;serif" w:hAnsi="Times New Roman;serif"/>
                  <w:b w:val="false"/>
                  <w:color w:val="000080"/>
                  <w:sz w:val="20"/>
                  <w:u w:val="single"/>
                </w:rPr>
                <w:t xml:space="preserve"> March 29, 2025</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2">
              <w:r>
                <w:rPr>
                  <w:rStyle w:val="InternetLink"/>
                  <w:rFonts w:ascii="Times New Roman;serif" w:hAnsi="Times New Roman;serif"/>
                  <w:b w:val="false"/>
                  <w:strike w:val="false"/>
                  <w:dstrike w:val="false"/>
                  <w:color w:val="000000"/>
                  <w:sz w:val="20"/>
                  <w:u w:val="none"/>
                  <w:effect w:val="none"/>
                </w:rPr>
                <w:t>4</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5">
              <w:r>
                <w:rPr>
                  <w:rStyle w:val="InternetLink"/>
                  <w:rFonts w:ascii="Times New Roman;serif" w:hAnsi="Times New Roman;serif"/>
                  <w:b w:val="false"/>
                  <w:color w:val="000080"/>
                  <w:sz w:val="20"/>
                  <w:u w:val="single"/>
                </w:rPr>
                <w:t>Unaudited Condensed Consolidated Statements of Changes in Stockholders' Equity for the Three</w:t>
              </w:r>
            </w:hyperlink>
            <w:hyperlink w:anchor="iecbadb85086145d3932d30df12e097f6_25">
              <w:r>
                <w:rPr>
                  <w:rStyle w:val="InternetLink"/>
                  <w:rFonts w:ascii="Times New Roman;serif" w:hAnsi="Times New Roman;serif"/>
                  <w:b w:val="false"/>
                  <w:color w:val="000080"/>
                  <w:sz w:val="20"/>
                  <w:u w:val="single"/>
                </w:rPr>
                <w:t xml:space="preserve"> and Six</w:t>
              </w:r>
            </w:hyperlink>
            <w:hyperlink w:anchor="iecbadb85086145d3932d30df12e097f6_25">
              <w:r>
                <w:rPr>
                  <w:rStyle w:val="InternetLink"/>
                  <w:rFonts w:ascii="Times New Roman;serif" w:hAnsi="Times New Roman;serif"/>
                  <w:b w:val="false"/>
                  <w:color w:val="000080"/>
                  <w:sz w:val="20"/>
                  <w:u w:val="single"/>
                </w:rPr>
                <w:t xml:space="preserve"> Months Ended </w:t>
              </w:r>
            </w:hyperlink>
            <w:hyperlink w:anchor="iecbadb85086145d3932d30df12e097f6_25">
              <w:r>
                <w:rPr>
                  <w:rStyle w:val="InternetLink"/>
                  <w:rFonts w:ascii="Times New Roman;serif" w:hAnsi="Times New Roman;serif"/>
                  <w:b w:val="false"/>
                  <w:color w:val="000080"/>
                  <w:sz w:val="20"/>
                  <w:u w:val="single"/>
                </w:rPr>
                <w:t>March 28, 2026</w:t>
              </w:r>
            </w:hyperlink>
            <w:hyperlink w:anchor="iecbadb85086145d3932d30df12e097f6_25">
              <w:r>
                <w:rPr>
                  <w:rStyle w:val="InternetLink"/>
                  <w:rFonts w:ascii="Times New Roman;serif" w:hAnsi="Times New Roman;serif"/>
                  <w:b w:val="false"/>
                  <w:color w:val="000080"/>
                  <w:sz w:val="20"/>
                  <w:u w:val="single"/>
                </w:rPr>
                <w:t xml:space="preserve"> and</w:t>
              </w:r>
            </w:hyperlink>
            <w:hyperlink w:anchor="iecbadb85086145d3932d30df12e097f6_25">
              <w:r>
                <w:rPr>
                  <w:rStyle w:val="InternetLink"/>
                  <w:rFonts w:ascii="Times New Roman;serif" w:hAnsi="Times New Roman;serif"/>
                  <w:b w:val="false"/>
                  <w:color w:val="000080"/>
                  <w:sz w:val="20"/>
                  <w:u w:val="single"/>
                </w:rPr>
                <w:t xml:space="preserve"> March 29, 2025</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5">
              <w:r>
                <w:rPr>
                  <w:rStyle w:val="InternetLink"/>
                  <w:rFonts w:ascii="Times New Roman;serif" w:hAnsi="Times New Roman;serif"/>
                  <w:b w:val="false"/>
                  <w:strike w:val="false"/>
                  <w:dstrike w:val="false"/>
                  <w:color w:val="000000"/>
                  <w:sz w:val="20"/>
                  <w:u w:val="none"/>
                  <w:effect w:val="none"/>
                </w:rPr>
                <w:t>5</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8">
              <w:r>
                <w:rPr>
                  <w:rStyle w:val="InternetLink"/>
                  <w:rFonts w:ascii="Times New Roman;serif" w:hAnsi="Times New Roman;serif"/>
                  <w:b w:val="false"/>
                  <w:color w:val="000080"/>
                  <w:sz w:val="20"/>
                  <w:u w:val="single"/>
                </w:rPr>
                <w:t xml:space="preserve">Unaudited Condensed Consolidated Statements of Cash Flows for the </w:t>
              </w:r>
            </w:hyperlink>
            <w:hyperlink w:anchor="iecbadb85086145d3932d30df12e097f6_28">
              <w:r>
                <w:rPr>
                  <w:rStyle w:val="InternetLink"/>
                  <w:rFonts w:ascii="Times New Roman;serif" w:hAnsi="Times New Roman;serif"/>
                  <w:b w:val="false"/>
                  <w:color w:val="000080"/>
                  <w:sz w:val="20"/>
                  <w:u w:val="single"/>
                </w:rPr>
                <w:t>Six</w:t>
              </w:r>
            </w:hyperlink>
            <w:hyperlink w:anchor="iecbadb85086145d3932d30df12e097f6_28">
              <w:r>
                <w:rPr>
                  <w:rStyle w:val="InternetLink"/>
                  <w:rFonts w:ascii="Times New Roman;serif" w:hAnsi="Times New Roman;serif"/>
                  <w:b w:val="false"/>
                  <w:color w:val="000080"/>
                  <w:sz w:val="20"/>
                  <w:u w:val="single"/>
                </w:rPr>
                <w:t xml:space="preserve"> Months Ended </w:t>
              </w:r>
            </w:hyperlink>
            <w:hyperlink w:anchor="iecbadb85086145d3932d30df12e097f6_28">
              <w:r>
                <w:rPr>
                  <w:rStyle w:val="InternetLink"/>
                  <w:rFonts w:ascii="Times New Roman;serif" w:hAnsi="Times New Roman;serif"/>
                  <w:b w:val="false"/>
                  <w:color w:val="000080"/>
                  <w:sz w:val="20"/>
                  <w:u w:val="single"/>
                </w:rPr>
                <w:t>March 28, 2026</w:t>
              </w:r>
            </w:hyperlink>
            <w:hyperlink w:anchor="iecbadb85086145d3932d30df12e097f6_28">
              <w:r>
                <w:rPr>
                  <w:rStyle w:val="InternetLink"/>
                  <w:rFonts w:ascii="Times New Roman;serif" w:hAnsi="Times New Roman;serif"/>
                  <w:b w:val="false"/>
                  <w:color w:val="000080"/>
                  <w:sz w:val="20"/>
                  <w:u w:val="single"/>
                </w:rPr>
                <w:t xml:space="preserve"> and</w:t>
              </w:r>
            </w:hyperlink>
            <w:hyperlink w:anchor="iecbadb85086145d3932d30df12e097f6_28">
              <w:r>
                <w:rPr>
                  <w:rStyle w:val="InternetLink"/>
                  <w:rFonts w:ascii="Times New Roman;serif" w:hAnsi="Times New Roman;serif"/>
                  <w:b w:val="false"/>
                  <w:color w:val="000080"/>
                  <w:sz w:val="20"/>
                  <w:u w:val="single"/>
                </w:rPr>
                <w:t xml:space="preserve"> March 29, 2025</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8">
              <w:r>
                <w:rPr>
                  <w:rStyle w:val="InternetLink"/>
                  <w:rFonts w:ascii="Times New Roman;serif" w:hAnsi="Times New Roman;serif"/>
                  <w:b w:val="false"/>
                  <w:strike w:val="false"/>
                  <w:dstrike w:val="false"/>
                  <w:color w:val="000000"/>
                  <w:sz w:val="20"/>
                  <w:u w:val="none"/>
                  <w:effect w:val="none"/>
                </w:rPr>
                <w:t>8</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31">
              <w:r>
                <w:rPr>
                  <w:rStyle w:val="InternetLink"/>
                  <w:rFonts w:ascii="Times New Roman;serif" w:hAnsi="Times New Roman;serif"/>
                  <w:b w:val="false"/>
                  <w:color w:val="0000FF"/>
                  <w:sz w:val="20"/>
                  <w:u w:val="single"/>
                </w:rPr>
                <w:t>Notes to Unaudited Condensed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31">
              <w:r>
                <w:rPr>
                  <w:rStyle w:val="InternetLink"/>
                  <w:rFonts w:ascii="Times New Roman;serif" w:hAnsi="Times New Roman;serif"/>
                  <w:b w:val="false"/>
                  <w:strike w:val="false"/>
                  <w:dstrike w:val="false"/>
                  <w:color w:val="000000"/>
                  <w:sz w:val="20"/>
                  <w:u w:val="none"/>
                  <w:effect w:val="none"/>
                </w:rPr>
                <w:t>10</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9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94">
              <w:r>
                <w:rPr>
                  <w:rStyle w:val="InternetLink"/>
                  <w:rFonts w:ascii="Times New Roman;serif" w:hAnsi="Times New Roman;serif"/>
                  <w:b w:val="false"/>
                  <w:strike w:val="false"/>
                  <w:dstrike w:val="false"/>
                  <w:color w:val="000000"/>
                  <w:sz w:val="20"/>
                  <w:u w:val="none"/>
                  <w:effect w:val="none"/>
                </w:rPr>
                <w:t>34</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97">
              <w:r>
                <w:rPr>
                  <w:rStyle w:val="InternetLink"/>
                  <w:rFonts w:ascii="Times New Roman;serif" w:hAnsi="Times New Roman;serif"/>
                  <w:b w:val="false"/>
                  <w:color w:val="0E32E1"/>
                  <w:sz w:val="20"/>
                  <w:u w:val="single"/>
                </w:rPr>
                <w:t>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97">
              <w:r>
                <w:rPr>
                  <w:rStyle w:val="InternetLink"/>
                  <w:rFonts w:ascii="Times New Roman;serif" w:hAnsi="Times New Roman;serif"/>
                  <w:b w:val="false"/>
                  <w:strike w:val="false"/>
                  <w:dstrike w:val="false"/>
                  <w:color w:val="000000"/>
                  <w:sz w:val="20"/>
                  <w:u w:val="none"/>
                  <w:effect w:val="none"/>
                </w:rPr>
                <w:t>48</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0">
              <w:r>
                <w:rPr>
                  <w:rStyle w:val="InternetLink"/>
                  <w:rFonts w:ascii="Times New Roman;serif" w:hAnsi="Times New Roman;serif"/>
                  <w:b w:val="false"/>
                  <w:color w:val="0E32E1"/>
                  <w:sz w:val="20"/>
                  <w:u w:val="single"/>
                </w:rPr>
                <w:t>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00">
              <w:r>
                <w:rPr>
                  <w:rStyle w:val="InternetLink"/>
                  <w:rFonts w:ascii="Times New Roman;serif" w:hAnsi="Times New Roman;serif"/>
                  <w:b w:val="false"/>
                  <w:strike w:val="false"/>
                  <w:dstrike w:val="false"/>
                  <w:color w:val="000000"/>
                  <w:sz w:val="20"/>
                  <w:u w:val="none"/>
                  <w:effect w:val="none"/>
                </w:rPr>
                <w:t>49</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ecbadb85086145d3932d30df12e097f6_103">
              <w:r>
                <w:rPr>
                  <w:rStyle w:val="InternetLink"/>
                  <w:rFonts w:ascii="Times New Roman;serif" w:hAnsi="Times New Roman;serif"/>
                  <w:b/>
                  <w:color w:val="0E32E1"/>
                  <w:sz w:val="20"/>
                  <w:u w:val="single"/>
                </w:rPr>
                <w:t>Part II -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6">
              <w:r>
                <w:rPr>
                  <w:rStyle w:val="InternetLink"/>
                  <w:rFonts w:ascii="Times New Roman;serif" w:hAnsi="Times New Roman;serif"/>
                  <w:b w:val="false"/>
                  <w:color w:val="0E32E1"/>
                  <w:sz w:val="20"/>
                  <w:u w:val="single"/>
                </w:rPr>
                <w:t>Legal Proceedings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06">
              <w:r>
                <w:rPr>
                  <w:rStyle w:val="InternetLink"/>
                  <w:rFonts w:ascii="Times New Roman;serif" w:hAnsi="Times New Roman;serif"/>
                  <w:b w:val="false"/>
                  <w:strike w:val="false"/>
                  <w:dstrike w:val="false"/>
                  <w:color w:val="000000"/>
                  <w:sz w:val="20"/>
                  <w:u w:val="none"/>
                  <w:effect w:val="none"/>
                </w:rPr>
                <w:t>51</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9">
              <w:r>
                <w:rPr>
                  <w:rStyle w:val="InternetLink"/>
                  <w:rFonts w:ascii="Times New Roman;serif" w:hAnsi="Times New Roman;serif"/>
                  <w:b w:val="false"/>
                  <w:color w:val="0E32E1"/>
                  <w:sz w:val="20"/>
                  <w:u w:val="single"/>
                </w:rPr>
                <w:t>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09">
              <w:r>
                <w:rPr>
                  <w:rStyle w:val="InternetLink"/>
                  <w:rFonts w:ascii="Times New Roman;serif" w:hAnsi="Times New Roman;serif"/>
                  <w:b w:val="false"/>
                  <w:strike w:val="false"/>
                  <w:dstrike w:val="false"/>
                  <w:color w:val="000000"/>
                  <w:sz w:val="20"/>
                  <w:u w:val="none"/>
                  <w:effect w:val="none"/>
                </w:rPr>
                <w:t>52</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2">
              <w:r>
                <w:rPr>
                  <w:rStyle w:val="InternetLink"/>
                  <w:rFonts w:ascii="Times New Roman;serif" w:hAnsi="Times New Roman;serif"/>
                  <w:b w:val="false"/>
                  <w:color w:val="0E32E1"/>
                  <w:sz w:val="20"/>
                  <w:u w:val="single"/>
                </w:rPr>
                <w:t>Unregistered Sales of Equity Securities and Use of Proceeds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2">
              <w:r>
                <w:rPr>
                  <w:rStyle w:val="InternetLink"/>
                  <w:rFonts w:ascii="Times New Roman;serif" w:hAnsi="Times New Roman;serif"/>
                  <w:b w:val="false"/>
                  <w:strike w:val="false"/>
                  <w:dstrike w:val="false"/>
                  <w:color w:val="000000"/>
                  <w:sz w:val="20"/>
                  <w:u w:val="none"/>
                  <w:effect w:val="none"/>
                </w:rPr>
                <w:t>52</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5">
              <w:r>
                <w:rPr>
                  <w:rStyle w:val="InternetLink"/>
                  <w:rFonts w:ascii="Times New Roman;serif" w:hAnsi="Times New Roman;serif"/>
                  <w:b w:val="false"/>
                  <w:color w:val="0E32E1"/>
                  <w:sz w:val="20"/>
                  <w:u w:val="single"/>
                </w:rPr>
                <w:t>Defaults Upon Senior Securities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5">
              <w:r>
                <w:rPr>
                  <w:rStyle w:val="InternetLink"/>
                  <w:rFonts w:ascii="Times New Roman;serif" w:hAnsi="Times New Roman;serif"/>
                  <w:b w:val="false"/>
                  <w:strike w:val="false"/>
                  <w:dstrike w:val="false"/>
                  <w:color w:val="000000"/>
                  <w:sz w:val="20"/>
                  <w:u w:val="none"/>
                  <w:effect w:val="none"/>
                </w:rPr>
                <w:t>52</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8">
              <w:r>
                <w:rPr>
                  <w:rStyle w:val="InternetLink"/>
                  <w:rFonts w:ascii="Times New Roman;serif" w:hAnsi="Times New Roman;serif"/>
                  <w:b w:val="false"/>
                  <w:color w:val="0E32E1"/>
                  <w:sz w:val="20"/>
                  <w:u w:val="single"/>
                </w:rPr>
                <w:t>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8">
              <w:r>
                <w:rPr>
                  <w:rStyle w:val="InternetLink"/>
                  <w:rFonts w:ascii="Times New Roman;serif" w:hAnsi="Times New Roman;serif"/>
                  <w:b w:val="false"/>
                  <w:strike w:val="false"/>
                  <w:dstrike w:val="false"/>
                  <w:color w:val="000000"/>
                  <w:sz w:val="20"/>
                  <w:u w:val="none"/>
                  <w:effect w:val="none"/>
                </w:rPr>
                <w:t>52</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21">
              <w:r>
                <w:rPr>
                  <w:rStyle w:val="InternetLink"/>
                  <w:rFonts w:ascii="Times New Roman;serif" w:hAnsi="Times New Roman;serif"/>
                  <w:b w:val="false"/>
                  <w:color w:val="0E32E1"/>
                  <w:sz w:val="20"/>
                  <w:u w:val="single"/>
                </w:rPr>
                <w:t>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21">
              <w:r>
                <w:rPr>
                  <w:rStyle w:val="InternetLink"/>
                  <w:rFonts w:ascii="Times New Roman;serif" w:hAnsi="Times New Roman;serif"/>
                  <w:b w:val="false"/>
                  <w:strike w:val="false"/>
                  <w:dstrike w:val="false"/>
                  <w:color w:val="000000"/>
                  <w:sz w:val="20"/>
                  <w:u w:val="none"/>
                  <w:effect w:val="none"/>
                </w:rPr>
                <w:t>52</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27">
              <w:r>
                <w:rPr>
                  <w:rStyle w:val="InternetLink"/>
                  <w:rFonts w:ascii="Times New Roman;serif" w:hAnsi="Times New Roman;serif"/>
                  <w:b w:val="false"/>
                  <w:color w:val="0E32E1"/>
                  <w:sz w:val="20"/>
                  <w:u w:val="single"/>
                </w:rPr>
                <w:t>Exhibits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27">
              <w:r>
                <w:rPr>
                  <w:rStyle w:val="InternetLink"/>
                  <w:rFonts w:ascii="Times New Roman;serif" w:hAnsi="Times New Roman;serif"/>
                  <w:b w:val="false"/>
                  <w:strike w:val="false"/>
                  <w:dstrike w:val="false"/>
                  <w:color w:val="000000"/>
                  <w:sz w:val="20"/>
                  <w:u w:val="none"/>
                  <w:effect w:val="none"/>
                </w:rPr>
                <w:t>53</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ecbadb85086145d3932d30df12e097f6_130">
              <w:r>
                <w:rPr>
                  <w:rStyle w:val="InternetLink"/>
                  <w:rFonts w:ascii="Times New Roman;serif" w:hAnsi="Times New Roman;serif"/>
                  <w:b w:val="false"/>
                  <w:color w:val="0E32E1"/>
                  <w:sz w:val="20"/>
                  <w:u w:val="single"/>
                </w:rPr>
                <w:t>Signatures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0">
              <w:r>
                <w:rPr>
                  <w:rStyle w:val="InternetLink"/>
                  <w:rFonts w:ascii="Times New Roman;serif" w:hAnsi="Times New Roman;serif"/>
                  <w:b w:val="false"/>
                  <w:strike w:val="false"/>
                  <w:dstrike w:val="false"/>
                  <w:color w:val="000000"/>
                  <w:sz w:val="20"/>
                  <w:u w:val="none"/>
                  <w:effect w:val="none"/>
                </w:rPr>
                <w:t>54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3"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CAUTIONARY NOTE ON FORWARD-LOOKING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the Company’s expectations or predictions of future financial or business performance or conditions.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contained in this Quarterly Report on Form 10-Q include, but are not limited to, statements about the Company’s ability to, or expectations that it will: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meet the technical requirements of existing or future agreements with its customers, including with respect to existing backlog;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expand its target customer base and maintain its existing customer base;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the benefits expected from its GreenBox Systems LLC joint venture, which is now doing business as Exol (“Exol”), the commercial agreement with Exol, the commercial agreement with Nueva Wal Mart de México, S. de R.L. de C.V and the acquisition of the Advanced Systems and Robotics business from Walmart;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its outlook, including its system gross margin;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and cost of any product replacement, programs and related recalls;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anticipate industry trends;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 and enhance its systems;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execute its growth strategy;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develop, design and sell systems that are differentiated from those of competitors;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execute its research and development strategy;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acquire, maintain, protect and enforce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attract, train and retain effective officers, key employees or directors;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comply with laws and regulations applicable to its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stay abreast of modified or new laws and regulations applying to its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successfully defend litigation;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issue equity securities in connection with future transactions;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meet future liquidity requirements and, if applicable, comply with restrictive covenants related to long-term indebtedness;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timely and effectively remediate any material weaknesses in its internal control over financial reporting;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anticipate rapid technological changes;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 the listing of the Symbotic common stock on Nasdaq;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effectively respond to general economic and business conditions.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made in this Quarterly Report on Form 10-Q also include, but are not limited to, statements with respect to: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future performance of Symbotic’s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revenues, expenses, adjusted EBITDA and anticipated cash needs;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cash flow, liquidity and sources of funding;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capital expenditures;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anticipated benefits of Symbotic’s leadership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effects of pending and future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effects of inflation, prevailing price levels, exchange rates, changes in trade agreements and trade protection measures including tariffs and other economic factors;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direct and indirect effects of geopolitical conditions in the United States and in global economies, including those resulting from acts of war and conflicts and responses to such events;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business disruption;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disruption to the business due to Symbotic’s dependency on Walmart;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increasing competition in the warehouse automation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delays in the design, production or launch of Symbotic’s systems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failure to meet customers’ requirements under existing or future contracts or customer’s expectations as to price or pricing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defects in new products or enhancements to existing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fluctuation of operating results from period to period due to a number of factors, including the pace of customer adoption of Symbotic’s new products and services and any changes in its product mix that shift too far into lower gross margin products;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consequences associated with joint ventures and legislative and regulatory actions and reforms.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the Company’s Annual Report on Form 10-K filed with the U.S. Securities and Exchange Commission (“SEC”) on November 24, 2025. These risk factors will be important to consider in determining future results and should be reviewed in their entirety. These forward-looking statements are expressed in good faith, and the Company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the Company’s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the Company believes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and are based on the beliefs, estimates, expectations and opinions of management on that date. The Company is not under any obligation, and expressly disclaims any obligation, to update, alter or otherwise revise any forward-looking statements made in this Quarterly Report on Form 10-Q, whether as a result of new information, future events or otherwise, except as required by law.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factors previously disclosed in the Company’s Annual Report on Form 10-K filed with the SEC on November 24, 2025,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Annualized and estimated numbers are not forecasts and may not reflect actual results.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Quarterly Report on Form 10-Q, the terms “Symbotic,” “we,” “us,” and “our” refer to Symbotic Inc. and its subsidiaries, unless the context indicates otherwise.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Symbotic Inc. </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88"/>
        <w:gridCol w:w="2235"/>
        <w:gridCol w:w="2180"/>
        <w:gridCol w:w="211"/>
        <w:gridCol w:w="976"/>
        <w:gridCol w:w="109"/>
        <w:gridCol w:w="109"/>
        <w:gridCol w:w="109"/>
        <w:gridCol w:w="109"/>
        <w:gridCol w:w="232"/>
        <w:gridCol w:w="1076"/>
        <w:gridCol w:w="171"/>
      </w:tblGrid>
      <w:tr>
        <w:trPr/>
        <w:tc>
          <w:tcPr>
            <w:tcW w:w="2688"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1,244,993 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186,705 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164,390 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86,582 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1,884,860 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123,034 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3,495,455 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2,395,729 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286,669 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200,442 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1,242,312 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1,729,423 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63,629 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2,467,790 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1,917,984 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3,000,000,000 shares authorized, 127,015,993 and 112,635,932 shares issued and outstanding at March 28, 2026 and September 27,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V-1 Common Stock, 1,000,000,000 shares authorized, 71,940,208 and 74,693,311 shares issued and outstanding at March 28, 2026 and September 27,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3"/>
        <w:gridCol w:w="2265"/>
        <w:gridCol w:w="2271"/>
        <w:gridCol w:w="211"/>
        <w:gridCol w:w="976"/>
        <w:gridCol w:w="109"/>
        <w:gridCol w:w="109"/>
        <w:gridCol w:w="109"/>
        <w:gridCol w:w="109"/>
        <w:gridCol w:w="211"/>
        <w:gridCol w:w="976"/>
        <w:gridCol w:w="156"/>
      </w:tblGrid>
      <w:tr>
        <w:trPr/>
        <w:tc>
          <w:tcPr>
            <w:tcW w:w="270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V-3 Common Stock, 450,000,000 shares authorized, 403,559,196 and 403,559,196 shares issued and outstanding at March 28, 2026 and September 27,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1,556,611 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(1,329,212)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(1,333,783)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686,144 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220,193 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477,745 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3,495,455 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2,395,729 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information)</w:t>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47"/>
        <w:gridCol w:w="1206"/>
        <w:gridCol w:w="1216"/>
        <w:gridCol w:w="241"/>
        <w:gridCol w:w="945"/>
        <w:gridCol w:w="117"/>
        <w:gridCol w:w="109"/>
        <w:gridCol w:w="109"/>
        <w:gridCol w:w="109"/>
        <w:gridCol w:w="241"/>
        <w:gridCol w:w="945"/>
        <w:gridCol w:w="117"/>
        <w:gridCol w:w="109"/>
        <w:gridCol w:w="109"/>
        <w:gridCol w:w="109"/>
        <w:gridCol w:w="211"/>
        <w:gridCol w:w="976"/>
        <w:gridCol w:w="109"/>
        <w:gridCol w:w="109"/>
        <w:gridCol w:w="109"/>
        <w:gridCol w:w="109"/>
        <w:gridCol w:w="241"/>
        <w:gridCol w:w="945"/>
        <w:gridCol w:w="167"/>
      </w:tblGrid>
      <w:tr>
        <w:trPr/>
        <w:tc>
          <w:tcPr>
            <w:tcW w:w="154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513,372 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977,431 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676,480 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549,651 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1,036,344 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495,551 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411,788 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792,778 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526,528 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438,859 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844,536 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191,808 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101,239 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92,566 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143,861 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131,265 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235,249 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(20,473)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(43,441)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(8,759)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(23,904)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(21,732)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per share of Class A Common Stock:</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125,538,207 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107,726,978 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120,506,529 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106,900,622 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134,364,904 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107,726,978 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130,869,376 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106,900,622 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 (Loss)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64"/>
        <w:gridCol w:w="1443"/>
        <w:gridCol w:w="1383"/>
        <w:gridCol w:w="257"/>
        <w:gridCol w:w="755"/>
        <w:gridCol w:w="132"/>
        <w:gridCol w:w="110"/>
        <w:gridCol w:w="110"/>
        <w:gridCol w:w="110"/>
        <w:gridCol w:w="245"/>
        <w:gridCol w:w="780"/>
        <w:gridCol w:w="126"/>
        <w:gridCol w:w="109"/>
        <w:gridCol w:w="109"/>
        <w:gridCol w:w="109"/>
        <w:gridCol w:w="240"/>
        <w:gridCol w:w="823"/>
        <w:gridCol w:w="124"/>
        <w:gridCol w:w="109"/>
        <w:gridCol w:w="109"/>
        <w:gridCol w:w="109"/>
        <w:gridCol w:w="229"/>
        <w:gridCol w:w="842"/>
        <w:gridCol w:w="178"/>
      </w:tblGrid>
      <w:tr>
        <w:trPr/>
        <w:tc>
          <w:tcPr>
            <w:tcW w:w="1664"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(8,048)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attributable to common stockholders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(27,287)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common stockholders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information)</w:t>
      </w:r>
    </w:p>
    <w:p>
      <w:pPr>
        <w:pStyle w:val="TextBody"/>
        <w:bidi w:val="0"/>
        <w:spacing w:before="60" w:after="283"/>
        <w:ind w:left="0" w:right="0" w:firstLine="360"/>
        <w:jc w:val="center"/>
        <w:rPr/>
      </w:pPr>
      <w:r>
        <w:rPr/>
      </w:r>
    </w:p>
    <w:tbl>
      <w:tblPr>
        <w:tblW w:w="15792" w:type="dxa"/>
        <w:jc w:val="left"/>
        <w:tblInd w:w="0" w:type="dxa"/>
        <w:tblLayout w:type="fixed"/>
        <w:tblCellMar>
          <w:top w:w="28" w:type="dxa"/>
          <w:left w:w="28" w:type="dxa"/>
          <w:bottom w:w="28" w:type="dxa"/>
          <w:right w:w="28" w:type="dxa"/>
        </w:tblCellMar>
      </w:tblPr>
      <w:tblGrid>
        <w:gridCol w:w="649"/>
        <w:gridCol w:w="268"/>
        <w:gridCol w:w="26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87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6"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March 28,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December 27,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123,225,754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72,982,208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(1,331,181)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296,437 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960,211 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2,642,606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(5,141)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equity offering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42,842 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28, 2026</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127,015,993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71,940,208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2,018,008 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(1,329,212)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341,521 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5792" w:type="dxa"/>
        <w:jc w:val="left"/>
        <w:tblInd w:w="0" w:type="dxa"/>
        <w:tblLayout w:type="fixed"/>
        <w:tblCellMar>
          <w:top w:w="28" w:type="dxa"/>
          <w:left w:w="28" w:type="dxa"/>
          <w:bottom w:w="28" w:type="dxa"/>
          <w:right w:w="28" w:type="dxa"/>
        </w:tblCellMar>
      </w:tblPr>
      <w:tblGrid>
        <w:gridCol w:w="630"/>
        <w:gridCol w:w="277"/>
        <w:gridCol w:w="27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6"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March 28,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September 27,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112,635,932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74,693,311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(1,340,862)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261,895 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483,213 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Cumulative effect from change in accounting principle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3,521,325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equity offering</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 to Symbotic Holdings LLC partners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79,354 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100,237 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28, 2026</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127,015,993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71,940,208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2,018,008 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(1,329,212)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341,521 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5657" w:type="dxa"/>
        <w:jc w:val="center"/>
        <w:tblInd w:w="0" w:type="dxa"/>
        <w:tblLayout w:type="fixed"/>
        <w:tblCellMar>
          <w:top w:w="28" w:type="dxa"/>
          <w:left w:w="28" w:type="dxa"/>
          <w:bottom w:w="28" w:type="dxa"/>
          <w:right w:w="28" w:type="dxa"/>
        </w:tblCellMar>
      </w:tblPr>
      <w:tblGrid>
        <w:gridCol w:w="649"/>
        <w:gridCol w:w="268"/>
        <w:gridCol w:w="26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March 29,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December 28,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106,521,915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76,588,618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1,525,382 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(1,326,361)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197,030 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1,286,900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365,293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(365,293)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108,380,772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76,223,325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1,535,899 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(1,328,165)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215,118 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5657" w:type="dxa"/>
        <w:jc w:val="left"/>
        <w:tblInd w:w="0" w:type="dxa"/>
        <w:tblLayout w:type="fixed"/>
        <w:tblCellMar>
          <w:top w:w="28" w:type="dxa"/>
          <w:left w:w="28" w:type="dxa"/>
          <w:bottom w:w="28" w:type="dxa"/>
          <w:right w:w="28" w:type="dxa"/>
        </w:tblCellMar>
      </w:tblPr>
      <w:tblGrid>
        <w:gridCol w:w="630"/>
        <w:gridCol w:w="277"/>
        <w:gridCol w:w="27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March 29,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September 28, 2024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104,689,377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76,965,386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(1,323,186)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192,954 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390,128 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(21,732)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2,939,571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(2,106)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Cancellation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47,705 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108,380,772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76,223,325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1,535,899 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(1,328,165)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215,118 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657"/>
        <w:gridCol w:w="2300"/>
        <w:gridCol w:w="2307"/>
        <w:gridCol w:w="211"/>
        <w:gridCol w:w="976"/>
        <w:gridCol w:w="109"/>
        <w:gridCol w:w="109"/>
        <w:gridCol w:w="109"/>
        <w:gridCol w:w="109"/>
        <w:gridCol w:w="232"/>
        <w:gridCol w:w="913"/>
        <w:gridCol w:w="173"/>
      </w:tblGrid>
      <w:tr>
        <w:trPr/>
        <w:tc>
          <w:tcPr>
            <w:tcW w:w="265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7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55,522 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from strategic investment fair value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(33,657)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474,602 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Acquisitions of strategic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paid for business 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(245,909)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for taxes related to net share settlement of stock-based compensation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common stock under employee stock purchase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Distributions to or on behalf of Symbotic Holdings LLC partners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764,452 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227,648 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730,354 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958,002 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293" w:type="dxa"/>
        <w:jc w:val="center"/>
        <w:tblInd w:w="0" w:type="dxa"/>
        <w:tblLayout w:type="fixed"/>
        <w:tblCellMar>
          <w:top w:w="28" w:type="dxa"/>
          <w:left w:w="28" w:type="dxa"/>
          <w:bottom w:w="28" w:type="dxa"/>
          <w:right w:w="28" w:type="dxa"/>
        </w:tblCellMar>
      </w:tblPr>
      <w:tblGrid>
        <w:gridCol w:w="2552"/>
        <w:gridCol w:w="2244"/>
        <w:gridCol w:w="2253"/>
        <w:gridCol w:w="211"/>
        <w:gridCol w:w="616"/>
        <w:gridCol w:w="109"/>
        <w:gridCol w:w="109"/>
        <w:gridCol w:w="109"/>
        <w:gridCol w:w="109"/>
        <w:gridCol w:w="211"/>
        <w:gridCol w:w="616"/>
        <w:gridCol w:w="154"/>
      </w:tblGrid>
      <w:tr>
        <w:trPr/>
        <w:tc>
          <w:tcPr>
            <w:tcW w:w="255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Transfer of equipment from inventories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Transfer of equipment from deferred cost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Non-cash contribution to unconsolidated entity</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40" w:before="2" w:after="2"/>
        <w:jc w:val="center"/>
        <w:rPr>
          <w:rFonts w:ascii="Times New Roman;serif" w:hAnsi="Times New Roman;serif"/>
          <w:b/>
          <w:color w:val="000000"/>
          <w:sz w:val="18"/>
        </w:rPr>
      </w:pPr>
      <w:r>
        <w:rPr>
          <w:rFonts w:ascii="Times New Roman;serif" w:hAnsi="Times New Roman;serif"/>
          <w:b/>
          <w:color w:val="000000"/>
          <w:sz w:val="18"/>
        </w:rPr>
        <w:t>Notes to Unaudited Condensed Consolidated Financial Statements</w:t>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Symbotic is an automation technology company established to develop technologies to improve operating efficiencies in modern warehouses. The Company’s vision is to make the supply chain work better for everyone. The Company does this by developing, commercializing, and deploying innovative and comprehensive technology solutions that dramatically improve supply chain operations. The Company automates the processing of pallets, cases and individual items in warehouses. Its systems enhance operations at the front end of the supply chain, and therefore benefit all supply partners further down the chain, irrespective of fulfillment strategy.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Wilmington, Massachusetts.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Consolidation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27, 2025, which are included within the Company’s Annual Report on Form 10-K filed with the SEC on November 24, 2025. The September 27, 2025 condensed consolidated balance sheet included herein is derived from the Company’s audited consolidated financial statements.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reported are computed based on thousands, except percentages, per share amounts, or as otherwise noted. As a result, certain totals may not sum due to rounding.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and reports using a 52-53 week fiscal year ending on the last Saturday of September of each calendar year. Each of the Company’s fiscal quarters end on the last Saturday of the third month of each quarter.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Company’s significant accounting policies are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the audited consolidated financial statements and related notes thereto as of and for the year ended September 27, 2025. Except as noted below, there have been no material changes to the significant accounting policies during the three month period ended March 28, 2026.</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Presentation of Restricted Cash</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587" w:type="dxa"/>
        <w:jc w:val="left"/>
        <w:tblInd w:w="0" w:type="dxa"/>
        <w:tblLayout w:type="fixed"/>
        <w:tblCellMar>
          <w:top w:w="28" w:type="dxa"/>
          <w:left w:w="28" w:type="dxa"/>
          <w:bottom w:w="28" w:type="dxa"/>
          <w:right w:w="28" w:type="dxa"/>
        </w:tblCellMar>
      </w:tblPr>
      <w:tblGrid>
        <w:gridCol w:w="2401"/>
        <w:gridCol w:w="2107"/>
        <w:gridCol w:w="2122"/>
        <w:gridCol w:w="211"/>
        <w:gridCol w:w="976"/>
        <w:gridCol w:w="109"/>
        <w:gridCol w:w="109"/>
        <w:gridCol w:w="109"/>
        <w:gridCol w:w="109"/>
        <w:gridCol w:w="236"/>
        <w:gridCol w:w="926"/>
        <w:gridCol w:w="172"/>
      </w:tblGrid>
      <w:tr>
        <w:trPr/>
        <w:tc>
          <w:tcPr>
            <w:tcW w:w="240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954,944 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cash classified in: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2,011,645 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958,002 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Volume of Business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concentration in the volume of purchases it conducts with its suppliers. For the three months ended March 28, 2026, there was one supplier that accounted for greater than 10% of total purchases, and the aggregate purchases from this supplier amounted to $52.3 million. For the six months ended March 28, 2026, there were two suppliers that accounted for greater than 10% of total purchases, and the aggregate purchases from these suppliers amounted to $230.3 million. For the three and six months ended March 29, 2025, there was one supplier that accounted for greater than 10% of total purchases, and the aggregate purchases from this supplier amounted to $61.1 million and $104.2 million, respectively.</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will adopt this standard and disclose any impact from this standard in its fiscal year 2026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United States. Key provisions of the OBBBA include permanent extension of once-temporary provisions of the Tax Cuts and Jobs Act of 2017, along with the introduction of other significant changes that may impact the Company. The legislation has multiple effective dates, with certain provisions effective in the Company’s fiscal year 2025 and others implemented through the Company’s fiscal year 2028. The Company continues to evaluate the impact of the OBBBA and has included the impact of changes in the law that were effective during its fiscal year 2025 in the results of its consolidated financial statements.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Change in Accounting Principle - Stock-Based Compensation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fiscal year 2026, the Company changed its stock-based compensation policy for recognizing expense for graded vesting awards with only service conditions from the accelerated attribution method to the straight-line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pPr>
      <w:r>
        <w:rPr>
          <w:rFonts w:ascii="Times New Roman;serif" w:hAnsi="Times New Roman;serif"/>
          <w:b w:val="false"/>
          <w:color w:val="000000"/>
          <w:sz w:val="20"/>
        </w:rPr>
        <w:t>attribution method. In connection with the Business Combination in June 2022, the Company granted restricted stock unit (“RSU”) awards with accelerated vesting terms. As those RSU awards with accelerated vesting terms have fully vested since the Business Combination, the Company believes the straight-line attribution method for stock-based compensation expense for awards solely subject to time-based vesting conditions is the preferable accounting policy in accordance with Accounting Standards Codification (“ASC”) Topic 718</w:t>
      </w:r>
      <w:r>
        <w:rPr>
          <w:rFonts w:ascii="Times New Roman;serif" w:hAnsi="Times New Roman;serif"/>
          <w:b w:val="false"/>
          <w:i/>
          <w:color w:val="000000"/>
          <w:sz w:val="20"/>
        </w:rPr>
        <w:t>, Compensation - Stock Compensation</w:t>
      </w:r>
      <w:r>
        <w:rPr>
          <w:rFonts w:ascii="Times New Roman;serif" w:hAnsi="Times New Roman;serif"/>
          <w:b w:val="false"/>
          <w:color w:val="000000"/>
          <w:sz w:val="20"/>
        </w:rPr>
        <w:t xml:space="preserve">, because it more accurately reflects how the Company’s ongoing equity awards are earned over the service period and is the predominant method used in its industry. The Company applied the change retrospectively adjusting all periods presented and recorded a cumulative effect adjustment to additional paid-in capital, prepaid expenses and other current assets, and accumulated deficit as of September 28, 2025, resulting in a decrease to additional paid-in capital of $44.1 million, a decrease in GreenBox Systems LLC, which is now doing business as Exol (“Exol”), accounts receivable due from the shared services agreement of $5.5 million and a decrease to accumulated deficit of $38.6 million before giving effect to the impact to the noncontrolling interest. For the year ended September 28, 2024, the cumulative effect of the change in accounting principle on additional paid-in capital and accumulated deficit was an increase to additional paid-in capital of $0.8 million and a decrease to accumulated deficit of $0.7 million. For the three and six months ended March 28, 2026, the effect of the change in accounting principle on income from continuing operations and net income was a decrease of $1.4 million and an increase of $7.9 million, respectively. For the three months ended March 28, 2026, there was no effect of the change in accounting principle on basic earnings per share (“EPS”), and the effect of the change in the accounting principle on diluted EPS was a $0.01 decrease per share of Class A common stock. For the six months ended March 28, 2026, the effect of the change in accounting principle on basic and diluted EPS was a $0.01 increase per share of Class A common stock.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effect of the change in accounting policy and the impact on the Company’s unaudited condensed consolidated financial statements and the consolidated financial statements for the periods presented (in thousands, except per share data):</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090"/>
        <w:gridCol w:w="779"/>
        <w:gridCol w:w="785"/>
        <w:gridCol w:w="439"/>
        <w:gridCol w:w="2166"/>
        <w:gridCol w:w="226"/>
        <w:gridCol w:w="109"/>
        <w:gridCol w:w="109"/>
        <w:gridCol w:w="109"/>
        <w:gridCol w:w="443"/>
        <w:gridCol w:w="2187"/>
        <w:gridCol w:w="229"/>
        <w:gridCol w:w="109"/>
        <w:gridCol w:w="109"/>
        <w:gridCol w:w="109"/>
        <w:gridCol w:w="244"/>
        <w:gridCol w:w="780"/>
        <w:gridCol w:w="183"/>
      </w:tblGrid>
      <w:tr>
        <w:trPr/>
        <w:tc>
          <w:tcPr>
            <w:tcW w:w="10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September 27,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92,050 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86,582 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1,564,815 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1,556,611 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4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(1,340,862)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(1,333,783)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261,895 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257,552 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9"/>
        <w:gridCol w:w="908"/>
        <w:gridCol w:w="916"/>
        <w:gridCol w:w="481"/>
        <w:gridCol w:w="1884"/>
        <w:gridCol w:w="248"/>
        <w:gridCol w:w="109"/>
        <w:gridCol w:w="109"/>
        <w:gridCol w:w="109"/>
        <w:gridCol w:w="485"/>
        <w:gridCol w:w="1902"/>
        <w:gridCol w:w="250"/>
        <w:gridCol w:w="109"/>
        <w:gridCol w:w="109"/>
        <w:gridCol w:w="109"/>
        <w:gridCol w:w="241"/>
        <w:gridCol w:w="766"/>
        <w:gridCol w:w="181"/>
      </w:tblGrid>
      <w:tr>
        <w:trPr/>
        <w:tc>
          <w:tcPr>
            <w:tcW w:w="12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 cost of revenue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414,560 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411,788 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 cost of revenue</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25,168 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441,823 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438,859 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107,828 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61,540 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57,960 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78,347 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(5,042)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139,887 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131,265 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(32,059)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(20,473)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(20,345)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(8,759)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(21,438)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(17,513)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(8,048)</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2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4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9"/>
        <w:gridCol w:w="908"/>
        <w:gridCol w:w="916"/>
        <w:gridCol w:w="481"/>
        <w:gridCol w:w="1884"/>
        <w:gridCol w:w="248"/>
        <w:gridCol w:w="109"/>
        <w:gridCol w:w="109"/>
        <w:gridCol w:w="109"/>
        <w:gridCol w:w="485"/>
        <w:gridCol w:w="1902"/>
        <w:gridCol w:w="250"/>
        <w:gridCol w:w="109"/>
        <w:gridCol w:w="109"/>
        <w:gridCol w:w="109"/>
        <w:gridCol w:w="241"/>
        <w:gridCol w:w="766"/>
        <w:gridCol w:w="181"/>
      </w:tblGrid>
      <w:tr>
        <w:trPr/>
        <w:tc>
          <w:tcPr>
            <w:tcW w:w="12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 cost of revenue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796,378 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792,778 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 cost of revenue</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48,120 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47,870 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848,477 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844,536 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187,867 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191,808 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105,133 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101,239 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139,421 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244,554 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235,249 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(56,687)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(43,441)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(37,151)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(39,958)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(32,557)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(21,732)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(7,401)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2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4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0"/>
        <w:gridCol w:w="1100"/>
        <w:gridCol w:w="1107"/>
        <w:gridCol w:w="432"/>
        <w:gridCol w:w="1695"/>
        <w:gridCol w:w="223"/>
        <w:gridCol w:w="109"/>
        <w:gridCol w:w="109"/>
        <w:gridCol w:w="109"/>
        <w:gridCol w:w="436"/>
        <w:gridCol w:w="1709"/>
        <w:gridCol w:w="225"/>
        <w:gridCol w:w="109"/>
        <w:gridCol w:w="109"/>
        <w:gridCol w:w="109"/>
        <w:gridCol w:w="232"/>
        <w:gridCol w:w="796"/>
        <w:gridCol w:w="176"/>
      </w:tblGrid>
      <w:tr>
        <w:trPr/>
        <w:tc>
          <w:tcPr>
            <w:tcW w:w="14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6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(39,958)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2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leases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gains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70,128 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55,522 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from strategic investment fair value adjustment</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64,181 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64,181 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(33,657)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(33,657)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99,808 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(7,479)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(20,145)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(20,145)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474,602 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474,602 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3. Noncontrolling Interests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Noncontrolling interests represent the portion of net assets in consolidated entities that are not owned by the Company.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three and six months ended March 28, 2026.</w:t>
      </w:r>
    </w:p>
    <w:tbl>
      <w:tblPr>
        <w:tblW w:w="12173" w:type="dxa"/>
        <w:jc w:val="left"/>
        <w:tblInd w:w="0" w:type="dxa"/>
        <w:tblLayout w:type="fixed"/>
        <w:tblCellMar>
          <w:top w:w="28" w:type="dxa"/>
          <w:left w:w="28" w:type="dxa"/>
          <w:bottom w:w="28" w:type="dxa"/>
          <w:right w:w="28" w:type="dxa"/>
        </w:tblCellMar>
      </w:tblPr>
      <w:tblGrid>
        <w:gridCol w:w="393"/>
        <w:gridCol w:w="306"/>
        <w:gridCol w:w="307"/>
        <w:gridCol w:w="593"/>
        <w:gridCol w:w="593"/>
        <w:gridCol w:w="458"/>
        <w:gridCol w:w="109"/>
        <w:gridCol w:w="109"/>
        <w:gridCol w:w="109"/>
        <w:gridCol w:w="721"/>
        <w:gridCol w:w="465"/>
        <w:gridCol w:w="458"/>
        <w:gridCol w:w="109"/>
        <w:gridCol w:w="109"/>
        <w:gridCol w:w="109"/>
        <w:gridCol w:w="593"/>
        <w:gridCol w:w="593"/>
        <w:gridCol w:w="285"/>
        <w:gridCol w:w="109"/>
        <w:gridCol w:w="109"/>
        <w:gridCol w:w="109"/>
        <w:gridCol w:w="686"/>
        <w:gridCol w:w="395"/>
        <w:gridCol w:w="458"/>
        <w:gridCol w:w="109"/>
        <w:gridCol w:w="109"/>
        <w:gridCol w:w="109"/>
        <w:gridCol w:w="721"/>
        <w:gridCol w:w="270"/>
        <w:gridCol w:w="458"/>
        <w:gridCol w:w="109"/>
        <w:gridCol w:w="109"/>
        <w:gridCol w:w="109"/>
        <w:gridCol w:w="540"/>
        <w:gridCol w:w="541"/>
        <w:gridCol w:w="704"/>
      </w:tblGrid>
      <w:tr>
        <w:trPr/>
        <w:tc>
          <w:tcPr>
            <w:tcW w:w="3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123,225,754 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476,541,404 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599,767,158 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112,635,932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478,252,507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590,888,439</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2,748,239 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2,748,239 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11,626,958 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11,626,958 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1,042,000 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(1,042,000)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2,753,103 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(2,753,103)</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March 28, 2026</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127,015,993 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475,499,404 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602,515,397 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127,015,993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475,499,404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602,515,397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 ownership at March 28, 2026</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three and six months ended March 29, 2025.</w:t>
      </w:r>
    </w:p>
    <w:tbl>
      <w:tblPr>
        <w:tblW w:w="12444" w:type="dxa"/>
        <w:jc w:val="left"/>
        <w:tblInd w:w="0" w:type="dxa"/>
        <w:tblLayout w:type="fixed"/>
        <w:tblCellMar>
          <w:top w:w="28" w:type="dxa"/>
          <w:left w:w="28" w:type="dxa"/>
          <w:bottom w:w="28" w:type="dxa"/>
          <w:right w:w="28" w:type="dxa"/>
        </w:tblCellMar>
      </w:tblPr>
      <w:tblGrid>
        <w:gridCol w:w="633"/>
        <w:gridCol w:w="306"/>
        <w:gridCol w:w="307"/>
        <w:gridCol w:w="593"/>
        <w:gridCol w:w="593"/>
        <w:gridCol w:w="458"/>
        <w:gridCol w:w="109"/>
        <w:gridCol w:w="109"/>
        <w:gridCol w:w="109"/>
        <w:gridCol w:w="721"/>
        <w:gridCol w:w="465"/>
        <w:gridCol w:w="458"/>
        <w:gridCol w:w="109"/>
        <w:gridCol w:w="109"/>
        <w:gridCol w:w="109"/>
        <w:gridCol w:w="593"/>
        <w:gridCol w:w="593"/>
        <w:gridCol w:w="285"/>
        <w:gridCol w:w="109"/>
        <w:gridCol w:w="109"/>
        <w:gridCol w:w="109"/>
        <w:gridCol w:w="593"/>
        <w:gridCol w:w="593"/>
        <w:gridCol w:w="458"/>
        <w:gridCol w:w="109"/>
        <w:gridCol w:w="109"/>
        <w:gridCol w:w="109"/>
        <w:gridCol w:w="721"/>
        <w:gridCol w:w="465"/>
        <w:gridCol w:w="458"/>
        <w:gridCol w:w="109"/>
        <w:gridCol w:w="109"/>
        <w:gridCol w:w="109"/>
        <w:gridCol w:w="593"/>
        <w:gridCol w:w="593"/>
        <w:gridCol w:w="330"/>
      </w:tblGrid>
      <w:tr>
        <w:trPr/>
        <w:tc>
          <w:tcPr>
            <w:tcW w:w="6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106,521,915 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480,897,814 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587,419,729 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104,689,377 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481,274,582 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585,963,959 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1,493,564 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1,493,564 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3,146,235 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3,146,235 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365,293 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(365,293)</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545,160 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(545,160)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108,380,772 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480,532,521 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588,913,293 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108,380,772 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480,532,521 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588,913,293 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 ownership at March 29, 2025</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good or service on its own or together with other resources that are readily available and whether the Company’s commitment to provide the goods or services to the customer is separately identifiable from other obligations in the contract.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upon transfer of control of promised goods or services in a contract with a customer, generally as title and risk of loss pass to the customer, in an amount that reflects the consideration the Company expects to receive in exchange for those goods or services. The Company considers the contractual consideration payable by the customer and assesses variable consideration that may affect the total transaction price, including contractual discounts, changes in total System contract cost estimates, contract incentive payments, shipping fees, inflation adjustments, and other sources of variable consideration, when determining the transaction price of each contract. The Company estimates variable consideration for a performance obligation utilizing one of the two prescribed methods, the expected value method or the most likely amount method, depending on which method best predicts the amount of consideration the Company expects to be entitled to or expects to incur. When applying these methods, the Company considers all information that is reasonably available, including historical, current, and estimates of future performance. Variable consideration revenue is recognized only to the extent that it is probable that a significant reversal of revenue will not occur or when the uncertainty associated with the variable consideration is resolved, and when collection is considered probable. Changes in circumstances could impact the Company’s estimates made in determining the value of variable consideration recorded. When determining if the variable consideration is constrained, the Company considers if factors exist that could increase the likelihood or the magnitude of a potential reversal of revenue. The Company updates its estimates of variable consideration each reporting period and the effect of changes to those estimates on the transaction price is recognized as an adjustment to revenue on a cumulative catch-up basis. During the second quarter of fiscal year 2026, based on assessment of historical, current, and estimates of future performance, certain amounts which were previously constrained related to contract incentive payments have now been included in the transaction price.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all consideration payable to a customer as a reduction of revenue. Consideration payable to a customer may include cash amounts that the Company is obligated to pay or expects to pay a customer, as well as credits or other items that can be applied against amounts owed to the Company from the customer. In instances where the timing of revenue recognition differs from the timing of invoicing, the Company has determined its contracts do not include a significant financing component. Taxes collected from customers, which are subsequently remitted to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disaggregation of revenue based on product and service type on the condensed consolidated statements of operations as it believes these categories best depict how the nature, amount, timing, and uncertainty of revenue and cash flows are affected by economic factors.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accounts receivable, and contract liabilities from contracts with customers (in thousands):</w:t>
      </w:r>
    </w:p>
    <w:tbl>
      <w:tblPr>
        <w:tblW w:w="5761" w:type="dxa"/>
        <w:jc w:val="left"/>
        <w:tblInd w:w="0" w:type="dxa"/>
        <w:tblLayout w:type="fixed"/>
        <w:tblCellMar>
          <w:top w:w="28" w:type="dxa"/>
          <w:left w:w="28" w:type="dxa"/>
          <w:bottom w:w="28" w:type="dxa"/>
          <w:right w:w="28" w:type="dxa"/>
        </w:tblCellMar>
      </w:tblPr>
      <w:tblGrid>
        <w:gridCol w:w="902"/>
        <w:gridCol w:w="792"/>
        <w:gridCol w:w="795"/>
        <w:gridCol w:w="211"/>
        <w:gridCol w:w="976"/>
        <w:gridCol w:w="109"/>
        <w:gridCol w:w="109"/>
        <w:gridCol w:w="109"/>
        <w:gridCol w:w="109"/>
        <w:gridCol w:w="259"/>
        <w:gridCol w:w="1201"/>
        <w:gridCol w:w="18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186,705 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1,367,244 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unbilled accounts receivable and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When satisfaction of the performance obligations occurs in advance of invoicing or payment being received, an unbilled accounts receivable is generated. During the six months ended March 28, 2026, the Company recognized $620.0 million of the contract liability balance at September 27, 2025, as revenue upon transfer of the products or services to customers. During the six months ended March 29, 2025, the Company recognized $420.0 million of the contract liability balance at September 28, 2024, as revenue upon transfer of the products or services to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For contracts with a duration of greater than one year, the transaction price allocated to performance obligations that are unsatisfied as of March 28, 2026 was $22.7 billion, which is primarily comprised of undelivered or partially undelivered Systems under contract, and which a substantial majority relates to undelivered or partially undelivered Systems in connection with the Master Automation Agreement (“MAA”) with Walmart Inc. (“Walmart”) to implement Systems in all of Walmart’s 42 regional distribution centers, and in connection with the Commercial Agreement with Exol, under which Symbotic will implement its System into Exol distribution center locations. As the Company accounts for Exol as an equity method investment, the remaining performance obligation includes the Company’s proportionate share of unconsolidated variable interest entity contracts. In the second quarter of fiscal year 2025, Symbotic LLC entered into a Master Automation Agreement (“2025 Walmart MAA”), which sets forth the terms and conditions governing the development, manufacture, and installation of online pickup and delivery systems by Symbotic LLC for Walmart. The contingent promise to purchase 400 automated systems for online pickup and delivery at Walmart stores under the 2025 Walmart MAA could increase the Company’s future remaining performance obligation by more than $5.0 billion. The Company expects to recognize approximately 14% of its remaining performance obligations as revenue in the next 12 months, approximately 61%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 or for performance obligations where revenue is recognized under the right to invoice practical expedient.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28, 2026 and March 29, 2025, there was one customer, including all affiliates, subsidiaries, and consolidated entities, that individually accounted for 10% or more of total revenue. The following table represents this customer’s aggregate percent of total revenue.</w:t>
      </w:r>
    </w:p>
    <w:tbl>
      <w:tblPr>
        <w:tblW w:w="7433" w:type="dxa"/>
        <w:jc w:val="left"/>
        <w:tblInd w:w="0" w:type="dxa"/>
        <w:tblLayout w:type="fixed"/>
        <w:tblCellMar>
          <w:top w:w="28" w:type="dxa"/>
          <w:left w:w="28" w:type="dxa"/>
          <w:bottom w:w="28" w:type="dxa"/>
          <w:right w:w="28" w:type="dxa"/>
        </w:tblCellMar>
      </w:tblPr>
      <w:tblGrid>
        <w:gridCol w:w="391"/>
        <w:gridCol w:w="344"/>
        <w:gridCol w:w="345"/>
        <w:gridCol w:w="287"/>
        <w:gridCol w:w="287"/>
        <w:gridCol w:w="716"/>
        <w:gridCol w:w="146"/>
        <w:gridCol w:w="146"/>
        <w:gridCol w:w="146"/>
        <w:gridCol w:w="287"/>
        <w:gridCol w:w="287"/>
        <w:gridCol w:w="716"/>
        <w:gridCol w:w="109"/>
        <w:gridCol w:w="109"/>
        <w:gridCol w:w="109"/>
        <w:gridCol w:w="287"/>
        <w:gridCol w:w="287"/>
        <w:gridCol w:w="716"/>
        <w:gridCol w:w="128"/>
        <w:gridCol w:w="128"/>
        <w:gridCol w:w="128"/>
        <w:gridCol w:w="270"/>
        <w:gridCol w:w="270"/>
        <w:gridCol w:w="79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March 28, 2026 and September 27, 2025, one customer accounted for over 10% of the Company’s accounts receivable balance. The following table represents this customer’s aggregate percent of total accounts receivable.</w:t>
      </w:r>
    </w:p>
    <w:tbl>
      <w:tblPr>
        <w:tblW w:w="4346" w:type="dxa"/>
        <w:jc w:val="left"/>
        <w:tblInd w:w="0" w:type="dxa"/>
        <w:tblLayout w:type="fixed"/>
        <w:tblCellMar>
          <w:top w:w="28" w:type="dxa"/>
          <w:left w:w="28" w:type="dxa"/>
          <w:bottom w:w="28" w:type="dxa"/>
          <w:right w:w="28" w:type="dxa"/>
        </w:tblCellMar>
      </w:tblPr>
      <w:tblGrid>
        <w:gridCol w:w="391"/>
        <w:gridCol w:w="344"/>
        <w:gridCol w:w="345"/>
        <w:gridCol w:w="287"/>
        <w:gridCol w:w="287"/>
        <w:gridCol w:w="716"/>
        <w:gridCol w:w="109"/>
        <w:gridCol w:w="109"/>
        <w:gridCol w:w="109"/>
        <w:gridCol w:w="336"/>
        <w:gridCol w:w="336"/>
        <w:gridCol w:w="9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concentration in the volume of business transacted with this customer may lead to a material impact on the Company’s results from operations if a total or partial loss of the business relationship were to occur. As of the date of the issuance of these financial statements, the Company is not aware of any specific event or circumstance related to this customer relationship that would result in a material adverse impact to its results of operations or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in Wilmington, Massachusetts, Montreal, Canada, Plant City, Florida, Andover, Massachusetts, Milpitas, California, Coppell, Texas, and Ho Chi Minh City, Vietnam through operating lease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 finance lease agreements. The operating lease arrangements expire at various dates through December 2030.</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sheet location of the Company’s operating leases for each of the periods presented (in thousands):</w:t>
      </w:r>
    </w:p>
    <w:tbl>
      <w:tblPr>
        <w:tblW w:w="7091" w:type="dxa"/>
        <w:jc w:val="left"/>
        <w:tblInd w:w="0" w:type="dxa"/>
        <w:tblLayout w:type="fixed"/>
        <w:tblCellMar>
          <w:top w:w="28" w:type="dxa"/>
          <w:left w:w="28" w:type="dxa"/>
          <w:bottom w:w="28" w:type="dxa"/>
          <w:right w:w="28" w:type="dxa"/>
        </w:tblCellMar>
      </w:tblPr>
      <w:tblGrid>
        <w:gridCol w:w="1385"/>
        <w:gridCol w:w="1212"/>
        <w:gridCol w:w="1227"/>
        <w:gridCol w:w="261"/>
        <w:gridCol w:w="894"/>
        <w:gridCol w:w="135"/>
        <w:gridCol w:w="109"/>
        <w:gridCol w:w="109"/>
        <w:gridCol w:w="109"/>
        <w:gridCol w:w="320"/>
        <w:gridCol w:w="1096"/>
        <w:gridCol w:w="234"/>
      </w:tblGrid>
      <w:tr>
        <w:trPr/>
        <w:tc>
          <w:tcPr>
            <w:tcW w:w="13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31,680 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following table presents maturities of the Company’s operating lease liabilities as of March 28, 2026, presented under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(in thousands):</w:t>
      </w:r>
    </w:p>
    <w:tbl>
      <w:tblPr>
        <w:tblW w:w="4063" w:type="dxa"/>
        <w:jc w:val="left"/>
        <w:tblInd w:w="0" w:type="dxa"/>
        <w:tblLayout w:type="fixed"/>
        <w:tblCellMar>
          <w:top w:w="28" w:type="dxa"/>
          <w:left w:w="28" w:type="dxa"/>
          <w:bottom w:w="28" w:type="dxa"/>
          <w:right w:w="28" w:type="dxa"/>
        </w:tblCellMar>
      </w:tblPr>
      <w:tblGrid>
        <w:gridCol w:w="989"/>
        <w:gridCol w:w="868"/>
        <w:gridCol w:w="872"/>
        <w:gridCol w:w="259"/>
        <w:gridCol w:w="886"/>
        <w:gridCol w:w="189"/>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Remaining fiscal year 2026</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2029</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2030 and thereafter</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32,451 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Implied interest</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28, 2026 was 7.5%.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28, 2026, the weighted-average remaining lease term of the Company’s operating leases was approximately 2.4 years. Operating cash flows for amounts included in the measurement of the Company’s operating lease liabilities were $3.7 million for the six months ended March 28,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at March 28, 2026 and September 27, 2025 consist of the following (in thousands):</w:t>
      </w:r>
    </w:p>
    <w:tbl>
      <w:tblPr>
        <w:tblW w:w="5905" w:type="dxa"/>
        <w:jc w:val="center"/>
        <w:tblInd w:w="0" w:type="dxa"/>
        <w:tblLayout w:type="fixed"/>
        <w:tblCellMar>
          <w:top w:w="28" w:type="dxa"/>
          <w:left w:w="28" w:type="dxa"/>
          <w:bottom w:w="28" w:type="dxa"/>
          <w:right w:w="28" w:type="dxa"/>
        </w:tblCellMar>
      </w:tblPr>
      <w:tblGrid>
        <w:gridCol w:w="955"/>
        <w:gridCol w:w="841"/>
        <w:gridCol w:w="843"/>
        <w:gridCol w:w="237"/>
        <w:gridCol w:w="930"/>
        <w:gridCol w:w="122"/>
        <w:gridCol w:w="109"/>
        <w:gridCol w:w="109"/>
        <w:gridCol w:w="109"/>
        <w:gridCol w:w="292"/>
        <w:gridCol w:w="1145"/>
        <w:gridCol w:w="213"/>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Raw materials and components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144,004 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133,989 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201,243 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164,390 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at March 28, 2026 and September 27, 2025 consists of the following (in thousands):</w:t>
      </w:r>
    </w:p>
    <w:tbl>
      <w:tblPr>
        <w:tblW w:w="10205" w:type="dxa"/>
        <w:jc w:val="left"/>
        <w:tblInd w:w="0" w:type="dxa"/>
        <w:tblLayout w:type="fixed"/>
        <w:tblCellMar>
          <w:top w:w="28" w:type="dxa"/>
          <w:left w:w="28" w:type="dxa"/>
          <w:bottom w:w="28" w:type="dxa"/>
          <w:right w:w="28" w:type="dxa"/>
        </w:tblCellMar>
      </w:tblPr>
      <w:tblGrid>
        <w:gridCol w:w="2554"/>
        <w:gridCol w:w="2224"/>
        <w:gridCol w:w="2230"/>
        <w:gridCol w:w="233"/>
        <w:gridCol w:w="917"/>
        <w:gridCol w:w="120"/>
        <w:gridCol w:w="109"/>
        <w:gridCol w:w="109"/>
        <w:gridCol w:w="109"/>
        <w:gridCol w:w="282"/>
        <w:gridCol w:w="1107"/>
        <w:gridCol w:w="211"/>
      </w:tblGrid>
      <w:tr>
        <w:trPr/>
        <w:tc>
          <w:tcPr>
            <w:tcW w:w="255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 furniture and fixtures, test equipment, and other equipment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191,387 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151,729 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209,109 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167,960 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(50,311)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146,458 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28, 2026 and March 29, 2025, depreciation expense was $7.4 million and $7.0 million, respectively. For the six months ended March 28, 2026 and March 29, 2025, depreciation expense was $12.3 million and $13.2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8. Business Acquisitions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Business acquisition-related costs during the three months ended March 28, 2026 and March 29, 2025 were $0.7 million and $3.3 million, respectively. Business acquisition-related costs during the six months ended March 28, 2026 and March 29, 2025 were $0.7 million and $7.1 million, respectively. Separate financial results and pro forma financial information for ASR (defined below) have not been presented as the effect of this acquisition was not material to the Company’s financial results.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Advanced Systems &amp; Robotics Inc.</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27, 2025, the Company acquired all of the outstanding equity interests of Walmart’s Advanced Systems &amp; Robotics Inc. (“ASR”) for $200.0 million in cash (the “ASR Acquisition) pursuant to a Purchase and Sale Agreement with Walmart (the “ASR Purchase Agreement”). The ASR Acquisition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The Company finalized its allocation of the purchase price in the second quarter of fiscal year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final allocation of the purchase price for ASR and fair values of the assets acquired and liabilities assumed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5825" w:type="dxa"/>
        <w:jc w:val="left"/>
        <w:tblInd w:w="0" w:type="dxa"/>
        <w:tblLayout w:type="fixed"/>
        <w:tblCellMar>
          <w:top w:w="28" w:type="dxa"/>
          <w:left w:w="28" w:type="dxa"/>
          <w:bottom w:w="28" w:type="dxa"/>
          <w:right w:w="28" w:type="dxa"/>
        </w:tblCellMar>
      </w:tblPr>
      <w:tblGrid>
        <w:gridCol w:w="1675"/>
        <w:gridCol w:w="1476"/>
        <w:gridCol w:w="1483"/>
        <w:gridCol w:w="211"/>
        <w:gridCol w:w="826"/>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Consideration payable to customer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cost reimbursement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 price - business combination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Allocation of the purchase price - business combination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purchase price allocation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identified intangible asset acquired is developed technology, which has a gross carrying amount of $78.0 million and has an estimated useful life of 7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9. Intangible Assets and Goodwill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asset acquisitions in fiscal years 2024, 2025, and 2026, and the ASR Acquisition in January 2025, the Company acquired developed technology, customer relationship, and in-process research and development (“IP R&amp;D”) intangible assets. The developed technology and customer relationship intangible assets will be amortized over a useful life of 3 to 7 years on a straight-line basis. The IP R&amp;D intangible asset is an indefinite-lived intangible asset which is capitalized on the Company’s condensed consolidated balance sheets and measured for impairment. The carrying value of the IP R&amp;D at March 28, 2026 was $11.4 million. The estimated weighted average useful life of the amortizable intangible assets is 6.4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acquired intangible assets that are subject to amortization as of March 28, 2026 and March 29, 2025 (in thousands).</w:t>
      </w:r>
    </w:p>
    <w:tbl>
      <w:tblPr>
        <w:tblW w:w="10600" w:type="dxa"/>
        <w:jc w:val="left"/>
        <w:tblInd w:w="0" w:type="dxa"/>
        <w:tblLayout w:type="fixed"/>
        <w:tblCellMar>
          <w:top w:w="28" w:type="dxa"/>
          <w:left w:w="28" w:type="dxa"/>
          <w:bottom w:w="28" w:type="dxa"/>
          <w:right w:w="28" w:type="dxa"/>
        </w:tblCellMar>
      </w:tblPr>
      <w:tblGrid>
        <w:gridCol w:w="501"/>
        <w:gridCol w:w="334"/>
        <w:gridCol w:w="336"/>
        <w:gridCol w:w="295"/>
        <w:gridCol w:w="295"/>
        <w:gridCol w:w="296"/>
        <w:gridCol w:w="109"/>
        <w:gridCol w:w="109"/>
        <w:gridCol w:w="109"/>
        <w:gridCol w:w="211"/>
        <w:gridCol w:w="721"/>
        <w:gridCol w:w="109"/>
        <w:gridCol w:w="109"/>
        <w:gridCol w:w="109"/>
        <w:gridCol w:w="109"/>
        <w:gridCol w:w="211"/>
        <w:gridCol w:w="761"/>
        <w:gridCol w:w="109"/>
        <w:gridCol w:w="109"/>
        <w:gridCol w:w="109"/>
        <w:gridCol w:w="109"/>
        <w:gridCol w:w="211"/>
        <w:gridCol w:w="721"/>
        <w:gridCol w:w="109"/>
        <w:gridCol w:w="109"/>
        <w:gridCol w:w="109"/>
        <w:gridCol w:w="109"/>
        <w:gridCol w:w="211"/>
        <w:gridCol w:w="826"/>
        <w:gridCol w:w="109"/>
        <w:gridCol w:w="109"/>
        <w:gridCol w:w="109"/>
        <w:gridCol w:w="109"/>
        <w:gridCol w:w="239"/>
        <w:gridCol w:w="717"/>
        <w:gridCol w:w="125"/>
        <w:gridCol w:w="109"/>
        <w:gridCol w:w="109"/>
        <w:gridCol w:w="109"/>
        <w:gridCol w:w="211"/>
        <w:gridCol w:w="82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(5,068)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(5,068)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28, 2026 and March 29, 2025, amortization expense was $3.9 million and $4.2 million, respectively. For the six months ended March 28, 2026 and March 29, 2025, amortization expense was $7.7 million and $4.8 million, respectively.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annual pre-tax amortization expense of definite-lived intangible assets as of the date indicated (in thousands):</w:t>
      </w:r>
    </w:p>
    <w:tbl>
      <w:tblPr>
        <w:tblW w:w="4094" w:type="dxa"/>
        <w:jc w:val="left"/>
        <w:tblInd w:w="0" w:type="dxa"/>
        <w:tblLayout w:type="fixed"/>
        <w:tblCellMar>
          <w:top w:w="28" w:type="dxa"/>
          <w:left w:w="28" w:type="dxa"/>
          <w:bottom w:w="28" w:type="dxa"/>
          <w:right w:w="28" w:type="dxa"/>
        </w:tblCellMar>
      </w:tblPr>
      <w:tblGrid>
        <w:gridCol w:w="946"/>
        <w:gridCol w:w="830"/>
        <w:gridCol w:w="834"/>
        <w:gridCol w:w="288"/>
        <w:gridCol w:w="986"/>
        <w:gridCol w:w="210"/>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Intangible Assets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Remaining fiscal year 2026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15,922 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12,865 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2029</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2030 and thereafter</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75,643 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goodwill at March 28, 2026 was $59.9 million. As a result of the ASR Acquisition, the Company recorded $59.9 million of goodwill. Prior to the ASR Acquisition, the Company did not have goodwill on its consolidated balance sheets. The Company tests goodwill for impairment at least annually. Through the date the interim condensed consolidated financial statements were issued, no triggering events have occurred that would indicate that a potential impairment exists.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10. Restructuring Charges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During the third quarter of fiscal year 2025, management committed to a reduction of the Company’s workforce by approximately 325 employees primarily related to employees that joined the Company’s workforce in connection with the ASR Acquisition. This workforce reduction was substantially completed by December 27, 2025. In the first quarter of fiscal year 2026, management committed to a reduction of the Company’s workforce by approximately 115 employees across the organization to align resource investment to business needs. This workforce reduction was substantially completed in the second quarter of fiscal year 2026.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Company’s condensed consolidated balance sheets. As the ASR Purchase Agreement contemplated reimbursement for certain types of restructuring costs, a receivable was recorded as part of purchase accounting, which is included within prepaid expenses and other current assets in the purchase price allocation in Note 8,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related to the Company’s severance liability as of March 28, 2026 (in thousands).</w:t>
      </w:r>
    </w:p>
    <w:tbl>
      <w:tblPr>
        <w:tblW w:w="4843" w:type="dxa"/>
        <w:jc w:val="left"/>
        <w:tblInd w:w="0" w:type="dxa"/>
        <w:tblLayout w:type="fixed"/>
        <w:tblCellMar>
          <w:top w:w="28" w:type="dxa"/>
          <w:left w:w="28" w:type="dxa"/>
          <w:bottom w:w="28" w:type="dxa"/>
          <w:right w:w="28" w:type="dxa"/>
        </w:tblCellMar>
      </w:tblPr>
      <w:tblGrid>
        <w:gridCol w:w="1269"/>
        <w:gridCol w:w="1118"/>
        <w:gridCol w:w="1122"/>
        <w:gridCol w:w="287"/>
        <w:gridCol w:w="838"/>
        <w:gridCol w:w="209"/>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liability at September 27, 2025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paid and other</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liability at March 28, 2026</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material severance activity for the three or six months ended March 29, 2025 or for the three months ended March 28, 2026. For the six months ended March 28, 2026, the Company recognized $2.7 million of restructuring expense, which is included within restructuring charges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in addition to state and local income taxes, with respect to its allocable share of any taxable income or loss of Symbotic Holdings. The remaining share of Symbotic Holdings income or loss is non-taxable to the Company and is not reflected in current or deferred income taxes. The Company’s foreign subsidiaries are subject to income tax in their local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28, 2026, the Company recorded a current income tax expense of $0.6 million and $1.2 million, respectively. For the three and six months ended March 29, 2025, the Company recorded a current income tax benefit of $1.4 million and $1.2 million, respectively. For the three and six months ended March 28, 2026, the Company recorded a pre-tax income and recorded a full valuation allowance against its domestic deferred tax assets and a partial valuation allowance against its foreign deferred tax assets. The Company incurs state tax expense by Symbotic LLC at the flow-through entity level and foreign tax expense at its foreign subsidiaries. The effective tax rate for the three and six months ended March 28, 2026 was 5.72% and 4.95%, respectively, as compared to an effective tax rate of 12.42% and 4.46%, respectively, for the three months ended March 29, 2025. The effective tax rate differs from the federal statutory income tax rate primarily due to the flow-through entity level taxes and the effect of the valuation allowance against the Company’s net federal, state, and foreign deferred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28, 2026,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28, 2026, future payments under the Tax Receivable Agreement (“TRA”) with respect to the purchase of Symbotic Holdings units which occurred as part of or subsequent to the Business Combination are expected to be $484.4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condensed consolidated statements of operations in the period in which the change occurs. As of March 28, 2026, no TRA liability was recorded based on the amount expected to be paid for cash tax savings related to fiscal year 2026. No TRA liability was recorded for periods after fiscal year 2026 based on current projections of future taxable income and taking into consideration the Company’s full valuation allowance against its net deferred tax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12. Fair Value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1 – inputs to the valuation methodology are quoted prices (unadjusted) for an identical asset or liability in an active market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2 – inputs to the valuation methodology include quoted prices for a similar asset or liability in an active market or model-derived valuations in which all significant inputs are observable for substantially the full term of the asset or liability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to the valuation methodology are unobservable and significant to the fair value measurement of the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measured and recorded at fair value on a recurring basis using the above input categories as of March 28, 2026 and September 27, 2025 (in thousands):</w:t>
      </w:r>
    </w:p>
    <w:tbl>
      <w:tblPr>
        <w:tblW w:w="12778" w:type="dxa"/>
        <w:jc w:val="center"/>
        <w:tblInd w:w="0" w:type="dxa"/>
        <w:tblLayout w:type="fixed"/>
        <w:tblCellMar>
          <w:top w:w="28" w:type="dxa"/>
          <w:left w:w="28" w:type="dxa"/>
          <w:bottom w:w="28" w:type="dxa"/>
          <w:right w:w="28" w:type="dxa"/>
        </w:tblCellMar>
      </w:tblPr>
      <w:tblGrid>
        <w:gridCol w:w="645"/>
        <w:gridCol w:w="224"/>
        <w:gridCol w:w="227"/>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1,354,737 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1,416,521 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1,253,498 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no liabilities measured and recorded at fair value on a recurring basis as of March 28, 2026 and September 27, 2025.</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condensed consolidated balance sheets. At March 28, 2026, the fair value of the warrant issued as described in Note 13, </w:t>
      </w:r>
      <w:r>
        <w:rPr>
          <w:rFonts w:ascii="Times New Roman;serif" w:hAnsi="Times New Roman;serif"/>
          <w:b w:val="false"/>
          <w:i/>
          <w:color w:val="000000"/>
          <w:sz w:val="20"/>
        </w:rPr>
        <w:t xml:space="preserve">Derivative Instruments, </w:t>
      </w:r>
      <w:r>
        <w:rPr>
          <w:rFonts w:ascii="Times New Roman;serif" w:hAnsi="Times New Roman;serif"/>
          <w:b w:val="false"/>
          <w:color w:val="000000"/>
          <w:sz w:val="20"/>
        </w:rPr>
        <w:t>is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Other certain non-marketable strategic investments are carried at cost and are subject to remeasurement only upon the occurrence of a triggering event.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 Company has not elected the fair value option for these investments.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statements of operations. The Company held $21.7 million of strategic investments without readily determinable fair values at March 28, 2026 and $20.0 million of strategic investments without readily determinable fair values at September 27, 2025. These investments are included in other assets on the consolidated balance sheets.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adjusts the fair values of its strategic investments based on observable price changes. No observable changes were noted for the three months ended March 28, 2026 and thus no fair value adjustment was recorded. A fair value adjustment resulting from an increase in fair value on strategic investments of $1.7 million was recorded to “other income, net” for the six months ended March 28, 2026. There were no losses, or impairments recorded for the three or six months ended March 28,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certain other non-marketable strategic investments measured at fair value on a non-recurring basis. The Company has not elected the fair value option for these investments. The Company held $23.3 million of these investments at March 28, 2026 and September 27, 2025. These investments are included in other assets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13. Derivative Instruments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warrants are accounted for as a derivative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as a result of certain net settlement provisions in the warrant agreements. The Company reports the warrants at their fair values within “other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March 28, 2026 is $16.8 million. There is no impact recorded to “other income, net” on the Company’s condensed consolidated statements of operations for the three and six months ended March 28, 2026 as there has been no change to the fair value of the warrants during the three and six months ended March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ASC Topic 850, </w:t>
      </w:r>
      <w:r>
        <w:rPr>
          <w:rFonts w:ascii="Times New Roman;serif" w:hAnsi="Times New Roman;serif"/>
          <w:b w:val="false"/>
          <w:i/>
          <w:color w:val="000000"/>
          <w:sz w:val="20"/>
        </w:rPr>
        <w:t xml:space="preserve">Related Party Disclosures </w:t>
      </w:r>
      <w:r>
        <w:rPr>
          <w:rFonts w:ascii="Times New Roman;serif" w:hAnsi="Times New Roman;serif"/>
          <w:b w:val="false"/>
          <w:color w:val="000000"/>
          <w:sz w:val="20"/>
        </w:rPr>
        <w:t>(“ASC Topic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ended March 28, 2026, the Company determined that C&amp;S Wholesale Grocers, Inc. (“C&amp;S”), Exol, and certain current holders of Symbotic Holdings were each a related party under ASC Topic 850. The following transactions were related party transactions under ASC Topic 850.</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Aircraft Time Sharing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months ended March 28, 2026 and March 29, 2025, the Company incurred expense of $0.2 million and $0.5 million, respectively, related to these aircraft time-sharing agreements. For the six months ended March 28, 2026 and March 29, 2025, the Company incurred expense of $0.7 million and $0.9 million, respectively, related to these aircraft time-sharing agreements.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Usage of Facility and Employee Services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months ended March 28, 2026 and March 29, 2025, the Company incurred expense of $0.4 million and $0.3 million, respectively, related to this arrangement. For the six months ended March 28, 2026 and March 29, 2025, the Company incurred expense of $0.8 million and $0.7 million, respectively, related to this arrangement.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Operating Lease Agreements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year 2025, the Company entered into lease agreements with C&amp;S for the lease of warehouse space in Plant City, FL and Coppell, TX. The Company’s estimated lease term for these lease agreements is for 2 years. Combined, the Company recognized $0.6 million and less than $0.1 million in rent expense for the three months ended March 28, 2026 and March 29, 2025, respectively. Combined, the Company recognized $1.2 million and less than $0.1 million in rent expense for the six months ended March 28, 2026 and March 29,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Customer Contracts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customer contracts with C&amp;S relating to System implementations, software maintenance services and the operations of Systems. For the three months ended March 28, 2026 and March 29, 2025, revenue of $2.9 million and $2.9 million was recognized, respectively, relating to these customer contracts. For the six months ended March 28, 2026 and March 29, 2025, revenue of $4.0 million and $5.2 million was recognized, respectively, relating to these customer contracts.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$5.2 million unbilled accounts receivable and accounts receivable due from C&amp;S at March 28, 2026, and $2.4 million unbilled accounts receivable and accounts receivable due from C&amp;S at September 27,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$1.3 million and $0.5 million of deferred revenue related to contracts with C&amp;S at March 28, 2026 and September 27, 2025, respectively.</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Exol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customer contract relating to System implementations and shared services with Exol. For the three months ended March 28, 2026 and March 29, 2025, revenue of $51.3 million and $4.9 million was recognized, respectively, relating to this customer contract. For the six months ended March 28, 2026 and March 29, 2025, revenue of $89.5 million and $7.6 million was recognized, respectively, relating to this customer contract.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$33.3 million and $0.6 million unbilled accounts receivable and accounts receivable due from the customer contract at March 28,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$2.6 million and $13.1 million accounts receivable due from the shared service agreement at March 28,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$168.1 million and $142.7 million of deferred revenue related to contracts with Exol at March 28,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allocated to performance obligations that are unsatisfied as of March 28, 2026 was $11.6 billion. </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Cash funding of $11.3 million was made by the Company to Exol in relation to the VIE (as further described in Note 16, </w:t>
      </w:r>
      <w:r>
        <w:rPr>
          <w:rFonts w:ascii="Times New Roman;serif" w:hAnsi="Times New Roman;serif"/>
          <w:b w:val="false"/>
          <w:i/>
          <w:color w:val="000000"/>
          <w:sz w:val="20"/>
        </w:rPr>
        <w:t>Variable Interest Entities</w:t>
      </w:r>
      <w:r>
        <w:rPr>
          <w:rFonts w:ascii="Times New Roman;serif" w:hAnsi="Times New Roman;serif"/>
          <w:b w:val="false"/>
          <w:color w:val="000000"/>
          <w:sz w:val="20"/>
        </w:rPr>
        <w:t>) for the three months ended March 28, 2026. No cash funding was made by the Company to Exol in relation to the VIE for the three months ended March 29, 2025. Cash funding of $49.8 million and $6.8 million was made by the Company to Exol in relation to the VIE for the six months ended March 28, 2026 and March 29, 2025, respectively. Non-cash funding in the form of a stock contribution of $2.8 million was made by the Company to Exol for the three and six months ended March 29, 2025. No non-cash funding was made for the three and six months ended March 28, 2026.</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Distribution to Symbotic Holdings LLC Partners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There were no tax distributions made by the Company to or on behalf of its members for the three months ended March 28, 2026. For the three months ended March 29, 2025, there were $0.4 million of tax distributions made by the Company to or on behalf of its members, of which $0.3 million was distributed to or on behalf of those who met the definition of a related party in accordance with ASC Topic 850. For the six months ended March 28, 2026 and March 29, 2025, there were $1.2 million and $1.2 million of tax distributions made by the Company to or on behalf of its members, of which $1.2 million and $1.1 million was distributed to or on behalf of those who met the definition of a related party in accordance with ASC Topic 850,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Purchase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obligations to purchase goods or services, which specify significant terms, including fixed or minimum quantities to be purchased and fixed, minimum, or variable price provisions. As of March 28, 2026, the purchase commitments covered by these arrangements are $1.1 billion in the aggregate, of which $1.0 billion are less than one year.</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leases certain of its facilities under operating leases expiring in various years through 2030. Refer to Note 5, </w:t>
      </w:r>
      <w:r>
        <w:rPr>
          <w:rFonts w:ascii="Times New Roman;serif" w:hAnsi="Times New Roman;serif"/>
          <w:b w:val="false"/>
          <w:i/>
          <w:color w:val="000000"/>
          <w:sz w:val="20"/>
        </w:rPr>
        <w:t>Leases</w:t>
      </w:r>
      <w:r>
        <w:rPr>
          <w:rFonts w:ascii="Times New Roman;serif" w:hAnsi="Times New Roman;serif"/>
          <w:b w:val="false"/>
          <w:color w:val="000000"/>
          <w:sz w:val="20"/>
        </w:rPr>
        <w:t xml:space="preserve">, for a schedule of future lease payments under non-cancellable leases as of March 28,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2"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Warranty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limited warranty on its Systems and has established a reserve for warranty obligations based on estimated warranty costs. The reserve is included as part of accrued expenses and other long-term liabilities in the accompanying condensed consolidated balance sheets.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Activity related to the warranty accrual is as follows (in thousands): </w:t>
      </w:r>
    </w:p>
    <w:tbl>
      <w:tblPr>
        <w:tblW w:w="8824" w:type="dxa"/>
        <w:jc w:val="left"/>
        <w:tblInd w:w="0" w:type="dxa"/>
        <w:tblLayout w:type="fixed"/>
        <w:tblCellMar>
          <w:top w:w="28" w:type="dxa"/>
          <w:left w:w="28" w:type="dxa"/>
          <w:bottom w:w="28" w:type="dxa"/>
          <w:right w:w="28" w:type="dxa"/>
        </w:tblCellMar>
      </w:tblPr>
      <w:tblGrid>
        <w:gridCol w:w="956"/>
        <w:gridCol w:w="840"/>
        <w:gridCol w:w="843"/>
        <w:gridCol w:w="261"/>
        <w:gridCol w:w="894"/>
        <w:gridCol w:w="135"/>
        <w:gridCol w:w="109"/>
        <w:gridCol w:w="109"/>
        <w:gridCol w:w="109"/>
        <w:gridCol w:w="261"/>
        <w:gridCol w:w="894"/>
        <w:gridCol w:w="135"/>
        <w:gridCol w:w="109"/>
        <w:gridCol w:w="109"/>
        <w:gridCol w:w="109"/>
        <w:gridCol w:w="261"/>
        <w:gridCol w:w="894"/>
        <w:gridCol w:w="135"/>
        <w:gridCol w:w="109"/>
        <w:gridCol w:w="109"/>
        <w:gridCol w:w="109"/>
        <w:gridCol w:w="259"/>
        <w:gridCol w:w="886"/>
        <w:gridCol w:w="18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44,163 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36,863 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31,935 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38,334 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41,783 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Warranty usage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81,575 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45,725 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81,575 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45,725 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year 2026, following monitoring and testing that identified performance trends requiring further evaluation, the Company initiated a replacement program for certain System components, including a targeted recall. The Company recorded an additional liability of $34.3 million as of March 28, 2026, representing estimated costs associated with component replacements within the structure and related repairs. This amount is included within warranty liabilities in accrued expenses and other current liabilities in the condensed consolidated balance sheets. The Company expects to complete these activities within one year. The recorded liability represents all probable and reasonably estimable costs directly associated with the program. Based on available information, the Company does not expect these matters to have a material adverse effect on its results of operations or cash flows in future periods. Actual costs could differ materially due to uncertainties, including potential additional expenses or other unforeseen events.</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 2024, a putative class action captioned Decker v. Symbotic Inc. et al., Case No. 24-cv-12976 was filed in the United States District Court for the District of Massachusetts by an alleged purchaser of the Company’s common stock. The complaint asserted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brought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plaintiffs filed an amended complaint captioned Traina v. Symbotic Inc. et al., Case No. 24-cv-12196. Like the Decker complaint, the amended complaint asserts claims for violations of federal securities laws against the Company and four officers of the Company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filed a motion to dismiss the amended complaint on September 11, 2025. The plaintiffs filed an opposition to the motion to dismiss on November 11, 2025. The Company filed its reply brief in support of its motion to dismiss on December 11, 2025. A hearing on the motion to dismiss was held on December 16,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intends to vigorously defend these cases. If a court ultimately determines that the Company is liable in either or both of these cases, the Company may be subject to substantial damages. The Company cannot predict with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degree of certainty the outcome of these matters or determine the extent of any potential liabilities. The Company also cannot provide an estimate of the possible loss or range of loss. Any adverse outcome in these matters could expose the Company to substantial damages that may have a material adverse impact on the Company’s operations and cash flows. Despite the potential for significant damages, the Company does not believe, based on currently available information, that the outcome of these proceedings will have a material adverse effect on the Company’s financial condition, although the outcome could be material to the Company’s operating results for any particular period, depending, in part, upon the operating results for such period.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were granted on November 24,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the Company’s operations and cash flows. Despite the potential for significant damages, the Company does not believe, based on currently available information, that the outcome of this proceeding will have a material adverse effect on the Company’s financial condition, although the outcome could be material to the Company’s operating results for any particular period, depending, in part, upon the operating results for such period.</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March 28, 2026, the Company has made appropriate provisions related to such matters and does not believe that such matters will have a material adverse effect on the Company’s consolidated operations, financial position, or liquidity.</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Indemnifications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March 28, 2026 and September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16. Variable Interest Entities (“VIE”)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Sunlight, “SoftBank”), and Exol, related to, among other things, the formation of Exol as a venture between the Symbotic Group and SoftBank and a warrant to purchase Class A Common Stock of Symbotic (the “Exol Warrant”). On July 23, 2023, Exol also entered into a Master Services, License and Equipment Agreement with Symbotic LLC with respect to the purchase of Systems (“Exol Commercial Agreement”).</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Exol was established on July 21, 2023, to build and automate supply chain networks globally by operating and financing the Company’s artificial intelligence and automation technology for the warehouse. Symbotic Holdings and Sunlight own 35% and 65% of Exol, respectively. The Company evaluated for VIEs upon the formation of Exol in accordance with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The Company holds a variable interest in Exol through its equity interest in Exol. Exol is a VIE resulting from Exol’s lack of sufficient equity to finance its operations without additional subordinated financial support from both the Company and SoftBank. The consolidation of Exol is not required as the Company is not the primary beneficiary of this VIE as it does not have the power to direct the activities that most significantly impact Exol’s economic performance. Such power is conveyed through Exol’s board of directors and the Company does not have control over Exol’s board of directors.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recorded investments in the unconsolidated VIE and related estimated maximum exposure to loss are as follows (in thousands):</w:t>
      </w:r>
    </w:p>
    <w:tbl>
      <w:tblPr>
        <w:tblW w:w="6913" w:type="dxa"/>
        <w:jc w:val="left"/>
        <w:tblInd w:w="0" w:type="dxa"/>
        <w:tblLayout w:type="fixed"/>
        <w:tblCellMar>
          <w:top w:w="28" w:type="dxa"/>
          <w:left w:w="28" w:type="dxa"/>
          <w:bottom w:w="28" w:type="dxa"/>
          <w:right w:w="28" w:type="dxa"/>
        </w:tblCellMar>
      </w:tblPr>
      <w:tblGrid>
        <w:gridCol w:w="185"/>
        <w:gridCol w:w="162"/>
        <w:gridCol w:w="164"/>
        <w:gridCol w:w="526"/>
        <w:gridCol w:w="2065"/>
        <w:gridCol w:w="274"/>
        <w:gridCol w:w="109"/>
        <w:gridCol w:w="109"/>
        <w:gridCol w:w="109"/>
        <w:gridCol w:w="505"/>
        <w:gridCol w:w="2337"/>
        <w:gridCol w:w="36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Investments in Unconsolidated VIE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Symbotic's Maximum Exposure to Loss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Exol</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135,675 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1,513,904 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its maximum exposure to loss of $1,513.9 million while considering its equity investment in the VIE, any amounts owed to the Company for services which may have been provided, and future funding commitments of $1,511.3 million. As of March 28, 2026, there is a $135.7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Exol Commercial Agreement to reimburse the Company in the event of a termination. If the VIE’s commitment under the Exol Commercial Agreement was taken into consideration, there would be no maximum exposure to loss presented as the VIE’s commitment under the Exol Commercial Agreement exceeds the Company’s future funding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17. Net Income (Loss) per Share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of Class A common stock is computed by dividing net income (loss) attributable to common shareholders by the weighted-average number of shares of Class A common stock outstanding during the period. Diluted earnings per share of Class A common stock is computed by dividing net income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 for the three and six months ended March 29, 2025, diluted weighted-average shares outstanding and diluted net loss per share is the same as basic weighted-average shares outstanding and basic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for both basic and diluted earnings per share of Class A common stock (in thousands, except per share information):</w:t>
      </w:r>
    </w:p>
    <w:tbl>
      <w:tblPr>
        <w:tblW w:w="10205" w:type="dxa"/>
        <w:jc w:val="left"/>
        <w:tblInd w:w="0" w:type="dxa"/>
        <w:tblLayout w:type="fixed"/>
        <w:tblCellMar>
          <w:top w:w="28" w:type="dxa"/>
          <w:left w:w="28" w:type="dxa"/>
          <w:bottom w:w="28" w:type="dxa"/>
          <w:right w:w="28" w:type="dxa"/>
        </w:tblCellMar>
      </w:tblPr>
      <w:tblGrid>
        <w:gridCol w:w="1510"/>
        <w:gridCol w:w="1237"/>
        <w:gridCol w:w="1177"/>
        <w:gridCol w:w="302"/>
        <w:gridCol w:w="884"/>
        <w:gridCol w:w="133"/>
        <w:gridCol w:w="109"/>
        <w:gridCol w:w="109"/>
        <w:gridCol w:w="109"/>
        <w:gridCol w:w="297"/>
        <w:gridCol w:w="889"/>
        <w:gridCol w:w="127"/>
        <w:gridCol w:w="109"/>
        <w:gridCol w:w="109"/>
        <w:gridCol w:w="109"/>
        <w:gridCol w:w="268"/>
        <w:gridCol w:w="918"/>
        <w:gridCol w:w="124"/>
        <w:gridCol w:w="109"/>
        <w:gridCol w:w="109"/>
        <w:gridCol w:w="109"/>
        <w:gridCol w:w="264"/>
        <w:gridCol w:w="922"/>
        <w:gridCol w:w="172"/>
      </w:tblGrid>
      <w:tr>
        <w:trPr/>
        <w:tc>
          <w:tcPr>
            <w:tcW w:w="15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the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125,538,207 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107,726,978 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120,506,529 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106,900,622 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8,826,697 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107,726,978 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10,362,847 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106,900,622 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134,364,904 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107,726,978 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130,869,376 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106,900,622 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Earnings (loss) per share - Basic</w:t>
            </w:r>
          </w:p>
        </w:tc>
        <w:tc>
          <w:tcPr>
            <w:tcW w:w="3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Dilutive</w:t>
            </w:r>
          </w:p>
        </w:tc>
        <w:tc>
          <w:tcPr>
            <w:tcW w:w="3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and the average market price per share during the period for calculating any potential dilutive effect of its equity instruments. The average stock price for the three months ended March 28, 2026 and March 29, 2025 was $57.60 and $25.58, respectively. The average stock price for the six months ended March 28, 2026 and March 29, 2025 was $61.81 and $27.06, respectively.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shares were immaterial for the three months ended March 28, 2026. For the three months ended March 28, 2026, there were 5.6 million dilutive common stock equivalents related to the RSUs which were included in the diluted EPS calculation, and 3.1 million dilutive common stock equivalents related to the unvested Exol Warrant that were included in the diluted EPS calculation. For the six months ended March 29, 2025, there were 6.6 million dilutive common stock equivalents related to the RSUs which were included in the diluted EPS calculation, and 3.7 million dilutive common stock equivalents related to the unvested Exol Warrant that were included in the diluted EPS calculation.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29, 2025, there were 5.9 million potentially dilutive common stock equivalents related to the RSUs which would have been included in the diluted EPS calculation and 7.3 million anti-dilutive common stock equivalents related to the unvested Exol Warrant that could potentially dilute EPS in the future. For the six months ended March 29, 2025, there were 6.3 million potentially dilutive common stock equivalents related to the RSUs which would have been included in the diluted EPS calculation and 6.3 million anti-dilutive common stock equivalents related to the unvested Exol Warrant that could potentially dilute EPS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18. Stock-Based Compensation and Warrants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two tables show stock-based compensation expense by award type and where the stock-based compensation expense is recorded in the Company’s condensed consolidated statements of operations (in thousands):</w:t>
      </w:r>
    </w:p>
    <w:tbl>
      <w:tblPr>
        <w:tblW w:w="9935" w:type="dxa"/>
        <w:jc w:val="left"/>
        <w:tblInd w:w="0" w:type="dxa"/>
        <w:tblLayout w:type="fixed"/>
        <w:tblCellMar>
          <w:top w:w="28" w:type="dxa"/>
          <w:left w:w="28" w:type="dxa"/>
          <w:bottom w:w="28" w:type="dxa"/>
          <w:right w:w="28" w:type="dxa"/>
        </w:tblCellMar>
      </w:tblPr>
      <w:tblGrid>
        <w:gridCol w:w="1358"/>
        <w:gridCol w:w="1195"/>
        <w:gridCol w:w="1197"/>
        <w:gridCol w:w="261"/>
        <w:gridCol w:w="894"/>
        <w:gridCol w:w="135"/>
        <w:gridCol w:w="109"/>
        <w:gridCol w:w="109"/>
        <w:gridCol w:w="109"/>
        <w:gridCol w:w="261"/>
        <w:gridCol w:w="894"/>
        <w:gridCol w:w="135"/>
        <w:gridCol w:w="109"/>
        <w:gridCol w:w="109"/>
        <w:gridCol w:w="109"/>
        <w:gridCol w:w="261"/>
        <w:gridCol w:w="894"/>
        <w:gridCol w:w="135"/>
        <w:gridCol w:w="109"/>
        <w:gridCol w:w="109"/>
        <w:gridCol w:w="109"/>
        <w:gridCol w:w="259"/>
        <w:gridCol w:w="886"/>
        <w:gridCol w:w="189"/>
      </w:tblGrid>
      <w:tr>
        <w:trPr/>
        <w:tc>
          <w:tcPr>
            <w:tcW w:w="13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RSUs (service-based and performance-based)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50,266 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92,324 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57,385 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34,154 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94,490 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6"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 of stock-based compensation expense on income by line item (in thousands):</w:t>
      </w:r>
    </w:p>
    <w:tbl>
      <w:tblPr>
        <w:tblW w:w="10205" w:type="dxa"/>
        <w:jc w:val="left"/>
        <w:tblInd w:w="0" w:type="dxa"/>
        <w:tblLayout w:type="fixed"/>
        <w:tblCellMar>
          <w:top w:w="28" w:type="dxa"/>
          <w:left w:w="28" w:type="dxa"/>
          <w:bottom w:w="28" w:type="dxa"/>
          <w:right w:w="28" w:type="dxa"/>
        </w:tblCellMar>
      </w:tblPr>
      <w:tblGrid>
        <w:gridCol w:w="1499"/>
        <w:gridCol w:w="1289"/>
        <w:gridCol w:w="1295"/>
        <w:gridCol w:w="257"/>
        <w:gridCol w:w="882"/>
        <w:gridCol w:w="133"/>
        <w:gridCol w:w="109"/>
        <w:gridCol w:w="109"/>
        <w:gridCol w:w="109"/>
        <w:gridCol w:w="257"/>
        <w:gridCol w:w="882"/>
        <w:gridCol w:w="133"/>
        <w:gridCol w:w="109"/>
        <w:gridCol w:w="109"/>
        <w:gridCol w:w="109"/>
        <w:gridCol w:w="257"/>
        <w:gridCol w:w="882"/>
        <w:gridCol w:w="133"/>
        <w:gridCol w:w="109"/>
        <w:gridCol w:w="109"/>
        <w:gridCol w:w="109"/>
        <w:gridCol w:w="255"/>
        <w:gridCol w:w="875"/>
        <w:gridCol w:w="195"/>
      </w:tblGrid>
      <w:tr>
        <w:trPr/>
        <w:tc>
          <w:tcPr>
            <w:tcW w:w="149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Systems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Software maintenance and support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Operation services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23,610 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27,257 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94,490 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59,267 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Exol Warrant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23, 2023, the Company issued the Exol Warrant to Sunlight, which allows Sunlight to acquire up to an aggregate of 11,434,360 shares of the Company’s Class A Common Stock, subject to certain vesting conditions. The Exol Warrant had a grant date fair value of $19.90 per share. The Exol Warrant vests upon conditions defined in the Exol Warrant, as Exol makes additional expenditures to the Company in connection with the Framework Agreement. There are up to eight vesting tranches in the Exol Warrant based on increments of expenditures where approximately 1,429,295 shares may vest per tranche, subject to certain conditions defined in the Exol Warrant. Upon vesting, shares may be acquired at an exercise price of $41.9719 per share. The warrant contains customary anti-dilution, down-round, and change-in-control provisions. The right to purchase shares pursuant to the Exol Warrant expires 36 months following the end of the initial term of the Framework Agreement, which is July 23, 2027, or if applicable, the extension term of the Framework Agreement, which is July 23, 2029. As of March 28, 2026, none of the shares issuable pursuant to the Exol Warrant had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19. Segment and Geographic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Operating segments are defined as components of an enterprise for which separate financial information is regularly evaluated by the Company’s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that are supplemental to those disclosed in these consolidated financial statements, that are regularly provided to the CODM. The allocation of resources and assessment of performance of the operating segment is based on consolidated net income (loss) and gross margin as shown in our consolidated statements of operations. The CODM considers net income (loss) and gross margin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and property and equipment, net by geographic region, based on physical location of the operations recording the sale or the assets are as follows: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geographical region for the three and six months ended March 28, 2026 and March 29, 2025 are as follows (in thousands):</w:t>
      </w:r>
    </w:p>
    <w:tbl>
      <w:tblPr>
        <w:tblW w:w="10205" w:type="dxa"/>
        <w:jc w:val="left"/>
        <w:tblInd w:w="0" w:type="dxa"/>
        <w:tblLayout w:type="fixed"/>
        <w:tblCellMar>
          <w:top w:w="28" w:type="dxa"/>
          <w:left w:w="28" w:type="dxa"/>
          <w:bottom w:w="28" w:type="dxa"/>
          <w:right w:w="28" w:type="dxa"/>
        </w:tblCellMar>
      </w:tblPr>
      <w:tblGrid>
        <w:gridCol w:w="1327"/>
        <w:gridCol w:w="1160"/>
        <w:gridCol w:w="1158"/>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8"/>
      </w:tblGrid>
      <w:tr>
        <w:trPr/>
        <w:tc>
          <w:tcPr>
            <w:tcW w:w="132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627,921 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524,503 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1,233,558 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1,010,688 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25,656 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676,480 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1,306,465 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1,036,344 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revenue generated outside of the United States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by geographical region at March 28, 2026 and at September 27, 2025 are as follows (in thousands):</w:t>
      </w:r>
    </w:p>
    <w:tbl>
      <w:tblPr>
        <w:tblW w:w="9506" w:type="dxa"/>
        <w:jc w:val="center"/>
        <w:tblInd w:w="0" w:type="dxa"/>
        <w:tblLayout w:type="fixed"/>
        <w:tblCellMar>
          <w:top w:w="28" w:type="dxa"/>
          <w:left w:w="28" w:type="dxa"/>
          <w:bottom w:w="28" w:type="dxa"/>
          <w:right w:w="28" w:type="dxa"/>
        </w:tblCellMar>
      </w:tblPr>
      <w:tblGrid>
        <w:gridCol w:w="2263"/>
        <w:gridCol w:w="1983"/>
        <w:gridCol w:w="1994"/>
        <w:gridCol w:w="237"/>
        <w:gridCol w:w="930"/>
        <w:gridCol w:w="122"/>
        <w:gridCol w:w="109"/>
        <w:gridCol w:w="109"/>
        <w:gridCol w:w="109"/>
        <w:gridCol w:w="292"/>
        <w:gridCol w:w="1145"/>
        <w:gridCol w:w="213"/>
      </w:tblGrid>
      <w:tr>
        <w:trPr/>
        <w:tc>
          <w:tcPr>
            <w:tcW w:w="226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146,304 </w:t>
            </w:r>
          </w:p>
        </w:tc>
        <w:tc>
          <w:tcPr>
            <w:tcW w:w="12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146,458 </w:t>
            </w:r>
          </w:p>
        </w:tc>
        <w:tc>
          <w:tcPr>
            <w:tcW w:w="12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property and equipment, net held outside of the United States</w:t>
            </w:r>
          </w:p>
        </w:tc>
        <w:tc>
          <w:tcPr>
            <w:tcW w:w="12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evaluated subsequent events and transactions that occurred after the balance sheet date up to the date that the consolidated financial statements were issued. Apart from the item described below, the Company did not identify any subsequent events that would have required adjustment or disclosure in the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7, 2026, Symbotic LLC entered into a Subscription Agreement with Nyobolt Limited (“Nyobolt”). Pursuant to the Subscription Agreement, Symbotic LLC invested approximately $50.0 million in Nyobolt and received Series C Shares in Nyobolt. Concurrently, Symbotic LLC also entered into warrant agreements with Nyobolt (“2026 warrant agreements”) which, subject to meeting certain conditions, will entitle the Company to acquire a fixed number of shares of Nyobolt during the period of time set forth in the 2026 warrant agreements. The warrants vest at a specified price per share upon meeting certain commercial-based milestones. If, and when, the relevant milestones are reached, the corresponding warrants will become exercisable up until the expiration date of the warrants in April 2046.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60" w:after="240"/>
        <w:ind w:left="0" w:right="0" w:firstLine="51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27, 2025, as included within our Annual Report on Form 10-K, as filed with the Securities and Exchange Commission on November 24, 2025.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vision is to make the supply chain work better for everyone. We do this by developing, commercializing, and deploying innovative and comprehensive technology solutions that dramatically improve supply chain operations. We automate the processing of pallets, cases and items (known as eaches) in warehouses.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robotic based automation systems, which include hardware and essential software, move, store and sort cases and eaches in warehouses. Our systems are operational in a number of the world’s largest retailers, including Walmart, wholesale distributors, including C&amp;S Wholesale Grocers, and are being deployed in GreenBox Systems LLC, which is now doing business as Exol (“Exol”), our warehouse-as-a-service joint venture. We have spent significant time working closely with our customers to develop, test and refine our technology. We have approximately $22.7 billion of backlog as of March 28, 2026, of which our agreements with Walmart and Exol comprise the vast majority.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devoted significant funds and resources to date in developing and diversifying our systems and related applications. Our systems are designed to increase efficiency, speed and flexibility of the supply chain by using proprietary robotics and A.I.-powered software for the movement and storage of goods. Our intellectual property is protected by a portfolio of approximately 1,100 issued and/or pending patents.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we acquired the Advanced Systems and Robotics (“ASR”) business from Walmart and signed a Master Automation Agreement that provides for the development, manufacture and installation of automated systems for online pickup and delivery at Walmart retail stores (“2025 Walmart MAA”). This acquisition added a new product category for us to address the opportunity for automated fulfillment of customer orders at the local and store level, which supports the growth of e-commerce. Under the 2025 Walmart MAA, as of March 28, 2026, we are operating several micro-fulfillment systems, which we will continue to support. We are in the process of developing an advanced micro-fulfillment system for future deployments.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Components of Consolidated Statements of Operations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that are readily available and whether our commitment to provide the goods or services to the customer is separately identifiable from other promises in the contract.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identified the following distinct performance obligations in our contracts with customers: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“Operation Services” is defined as assistance services, which can range from training services to managed services to on-site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is composed of the following for each of our distinct performance obligations: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xml:space="preserve">: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 </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xml:space="preserve">: Operation Services cost of revenue consists primarily of labor cost for our operations team who is providing assistance services to our customers. Operation Services cost of revenue also includes the cost of spare parts sold to our customers as needed to service their System. Operation Services cost of revenue is expensed as incurred.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 costs for items such as salaries and benefits and other personnel-related costs, maintenance and supplies, professional fees for external legal, accounting, and other consulting services, intangible asset amortization, and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dividend and interest income earned on our money market accounts and the impact of foreign currency transaction gains and losses associated with monetary assets and liabilities.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Six Months Ended March 28, 2026 and March 29,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1"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2"/>
        <w:gridCol w:w="1300"/>
        <w:gridCol w:w="1311"/>
        <w:gridCol w:w="229"/>
        <w:gridCol w:w="901"/>
        <w:gridCol w:w="118"/>
        <w:gridCol w:w="109"/>
        <w:gridCol w:w="109"/>
        <w:gridCol w:w="109"/>
        <w:gridCol w:w="229"/>
        <w:gridCol w:w="901"/>
        <w:gridCol w:w="118"/>
        <w:gridCol w:w="109"/>
        <w:gridCol w:w="109"/>
        <w:gridCol w:w="109"/>
        <w:gridCol w:w="211"/>
        <w:gridCol w:w="976"/>
        <w:gridCol w:w="109"/>
        <w:gridCol w:w="109"/>
        <w:gridCol w:w="109"/>
        <w:gridCol w:w="109"/>
        <w:gridCol w:w="229"/>
        <w:gridCol w:w="898"/>
        <w:gridCol w:w="172"/>
      </w:tblGrid>
      <w:tr>
        <w:trPr/>
        <w:tc>
          <w:tcPr>
            <w:tcW w:w="152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634,496 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513,372 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977,431 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676,480 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549,651 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1,036,344 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495,551 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792,778 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526,528 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438,859 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844,536 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191,808 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101,239 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92,566 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143,861 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131,265 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235,249 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(20,473)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(43,441)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(23,904)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2"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55"/>
        <w:gridCol w:w="1332"/>
        <w:gridCol w:w="1342"/>
        <w:gridCol w:w="287"/>
        <w:gridCol w:w="259"/>
        <w:gridCol w:w="603"/>
        <w:gridCol w:w="174"/>
        <w:gridCol w:w="174"/>
        <w:gridCol w:w="174"/>
        <w:gridCol w:w="287"/>
        <w:gridCol w:w="259"/>
        <w:gridCol w:w="603"/>
        <w:gridCol w:w="109"/>
        <w:gridCol w:w="109"/>
        <w:gridCol w:w="109"/>
        <w:gridCol w:w="287"/>
        <w:gridCol w:w="259"/>
        <w:gridCol w:w="603"/>
        <w:gridCol w:w="159"/>
        <w:gridCol w:w="159"/>
        <w:gridCol w:w="159"/>
        <w:gridCol w:w="272"/>
        <w:gridCol w:w="252"/>
        <w:gridCol w:w="679"/>
      </w:tblGrid>
      <w:tr>
        <w:trPr/>
        <w:tc>
          <w:tcPr>
            <w:tcW w:w="155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0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60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0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00"/>
        <w:jc w:val="both"/>
        <w:rPr>
          <w:rFonts w:ascii="Times New Roman;serif" w:hAnsi="Times New Roman;serif"/>
          <w:b w:val="false"/>
          <w:i/>
          <w:color w:val="000000"/>
          <w:sz w:val="16"/>
        </w:rPr>
      </w:pPr>
      <w:r>
        <w:rPr>
          <w:rFonts w:ascii="Times New Roman;serif" w:hAnsi="Times New Roman;serif"/>
          <w:b w:val="false"/>
          <w:i/>
          <w:color w:val="000000"/>
          <w:sz w:val="16"/>
        </w:rPr>
        <w:t xml:space="preserve">*Percentages are based on actual values. Totals may not sum due to rounding.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Three and Six Months Ended March 28, 2026 Compared to the Three and Six Months Ended March 29,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tbl>
      <w:tblPr>
        <w:tblW w:w="8292" w:type="dxa"/>
        <w:jc w:val="left"/>
        <w:tblInd w:w="0" w:type="dxa"/>
        <w:tblLayout w:type="fixed"/>
        <w:tblCellMar>
          <w:top w:w="28" w:type="dxa"/>
          <w:left w:w="28" w:type="dxa"/>
          <w:bottom w:w="28" w:type="dxa"/>
          <w:right w:w="28" w:type="dxa"/>
        </w:tblCellMar>
      </w:tblPr>
      <w:tblGrid>
        <w:gridCol w:w="1052"/>
        <w:gridCol w:w="924"/>
        <w:gridCol w:w="934"/>
        <w:gridCol w:w="237"/>
        <w:gridCol w:w="930"/>
        <w:gridCol w:w="122"/>
        <w:gridCol w:w="109"/>
        <w:gridCol w:w="109"/>
        <w:gridCol w:w="109"/>
        <w:gridCol w:w="237"/>
        <w:gridCol w:w="930"/>
        <w:gridCol w:w="122"/>
        <w:gridCol w:w="109"/>
        <w:gridCol w:w="109"/>
        <w:gridCol w:w="109"/>
        <w:gridCol w:w="211"/>
        <w:gridCol w:w="826"/>
        <w:gridCol w:w="109"/>
        <w:gridCol w:w="109"/>
        <w:gridCol w:w="109"/>
        <w:gridCol w:w="109"/>
        <w:gridCol w:w="180"/>
        <w:gridCol w:w="181"/>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634,496 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513,372 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676,480 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549,651 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three months ended March 28, 2026, as compared to the three months ended March 29, 2025, due to there being 70 Systems in Deployment during the fiscal quarter ended March 28, 2026, as compared to 46 Systems in Deployment during the same quarter of fiscal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52 Operational Systems which are under Software Maintenance and Support contracts for the three months ended March 28, 2026, as compared to 37 Operational Systems which were under Software Maintenance and Support contracts for the three months ended March 29,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Operation Services revenue is primarily attributable to a decrease in training services provided to our customers for the three months ended March 28, 2026, as compared to the three months ended March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3"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8306" w:type="dxa"/>
        <w:jc w:val="left"/>
        <w:tblInd w:w="0" w:type="dxa"/>
        <w:tblLayout w:type="fixed"/>
        <w:tblCellMar>
          <w:top w:w="28" w:type="dxa"/>
          <w:left w:w="28" w:type="dxa"/>
          <w:bottom w:w="28" w:type="dxa"/>
          <w:right w:w="28" w:type="dxa"/>
        </w:tblCellMar>
      </w:tblPr>
      <w:tblGrid>
        <w:gridCol w:w="1052"/>
        <w:gridCol w:w="924"/>
        <w:gridCol w:w="93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1,306,465 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six months ended March 28, 2026, as compared to the six months ended March 29, 2025, due to additional revenue generated from the 2025 Walmart MAA and there being 70 Systems in Deployment during the six months ended March 28, 2026, as compared to 46 Systems in Deployment during the same quarter of fiscal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52 Operational Systems which are under Software Maintenance and Support contracts for the six months ended March 28, 2026, as compared to 37 Operational Systems which were under Software Maintenance and Support contracts for the six months ended March 29,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revenue is attributable to an increase in the number of Operational Systems where we are performing Operation Services for the six months ended March 28, 2026, as compared to the six months ended March 29, 2025, partially offset by a decrease in training services provided to our customers. As we continue to increase the number of Operational Systems, an increase in the number of Operation Services contracts is expected.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gross profit for the three months ended March 28, 2026 and March 29, 2025: </w:t>
      </w:r>
    </w:p>
    <w:tbl>
      <w:tblPr>
        <w:tblW w:w="7228" w:type="dxa"/>
        <w:jc w:val="center"/>
        <w:tblInd w:w="0" w:type="dxa"/>
        <w:tblLayout w:type="fixed"/>
        <w:tblCellMar>
          <w:top w:w="28" w:type="dxa"/>
          <w:left w:w="28" w:type="dxa"/>
          <w:bottom w:w="28" w:type="dxa"/>
          <w:right w:w="28" w:type="dxa"/>
        </w:tblCellMar>
      </w:tblPr>
      <w:tblGrid>
        <w:gridCol w:w="1052"/>
        <w:gridCol w:w="924"/>
        <w:gridCol w:w="934"/>
        <w:gridCol w:w="237"/>
        <w:gridCol w:w="930"/>
        <w:gridCol w:w="122"/>
        <w:gridCol w:w="109"/>
        <w:gridCol w:w="109"/>
        <w:gridCol w:w="109"/>
        <w:gridCol w:w="237"/>
        <w:gridCol w:w="930"/>
        <w:gridCol w:w="122"/>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138,945 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101,584 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$37.4 million for the three months ended March 28, 2026, as compared to the three months ended March 29, 2025. The increase in Systems gross profit is primarily driven by our capture of the increasing value we are driving for customers as well as the 70 Systems in Deployment during the three months ended March 29, 2025, as compared to 46 Systems in Deployment during the three months ended March 29, 2025. The increase in Systems gross profit was further driven by continued strong project execution and cost discipline, partially offset by increased tariff expenses as tariff regulations continue to evolve and increased warranty expense.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three months ended March 28, 2026, as compared to the three months ended March 29, 2025,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Operation Services gross profit for the three months ended March 28, 2026, as compared to the three months ended March 29, 2025, is driven by an increased cost for our managed services portfolio. This cost increase resulted in a decreased margin, which was partially offset by the increase in the number of Operational Systems from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4"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gross profit for the six months ended March 28, 2026 and March 29, 2025: </w:t>
      </w:r>
    </w:p>
    <w:tbl>
      <w:tblPr>
        <w:tblW w:w="7228" w:type="dxa"/>
        <w:jc w:val="left"/>
        <w:tblInd w:w="0" w:type="dxa"/>
        <w:tblLayout w:type="fixed"/>
        <w:tblCellMar>
          <w:top w:w="28" w:type="dxa"/>
          <w:left w:w="28" w:type="dxa"/>
          <w:bottom w:w="28" w:type="dxa"/>
          <w:right w:w="28" w:type="dxa"/>
        </w:tblCellMar>
      </w:tblPr>
      <w:tblGrid>
        <w:gridCol w:w="1052"/>
        <w:gridCol w:w="924"/>
        <w:gridCol w:w="934"/>
        <w:gridCol w:w="237"/>
        <w:gridCol w:w="930"/>
        <w:gridCol w:w="122"/>
        <w:gridCol w:w="109"/>
        <w:gridCol w:w="109"/>
        <w:gridCol w:w="109"/>
        <w:gridCol w:w="237"/>
        <w:gridCol w:w="930"/>
        <w:gridCol w:w="122"/>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259,364 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184,653 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283,376 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191,808 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91,568 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$74.7 million for the six months ended March 28, 2026, as compared to the six months ended March 29, 2025. The increase in Systems gross profit is primarily driven by our capture of the increasing value we are driving for customers as well as the 70 Systems in Deployment during the six months ended March 29, 2025, as compared to 46 Systems in Deployment during the six months ended March 29, 2025. The increase in Systems gross profit was further driven by continued strong project execution and cost discipline, partially offset by increased tariff expenses as tariff regulations continue to evolve, and increased warranty expense.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six months ended March 28, 2026, as compared to the six months ended March 29, 2025,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gross profit for the six months ended March 28, 2026, as compared to the six months ended March 29, 2025, is primarily driven by operational efficiencies and an increase in the number of Operational Systems from the prior year.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647" w:type="dxa"/>
        <w:jc w:val="center"/>
        <w:tblInd w:w="0" w:type="dxa"/>
        <w:tblLayout w:type="fixed"/>
        <w:tblCellMar>
          <w:top w:w="28" w:type="dxa"/>
          <w:left w:w="28" w:type="dxa"/>
          <w:bottom w:w="28" w:type="dxa"/>
          <w:right w:w="28" w:type="dxa"/>
        </w:tblCellMar>
      </w:tblPr>
      <w:tblGrid>
        <w:gridCol w:w="843"/>
        <w:gridCol w:w="739"/>
        <w:gridCol w:w="743"/>
        <w:gridCol w:w="226"/>
        <w:gridCol w:w="773"/>
        <w:gridCol w:w="290"/>
        <w:gridCol w:w="109"/>
        <w:gridCol w:w="109"/>
        <w:gridCol w:w="109"/>
        <w:gridCol w:w="226"/>
        <w:gridCol w:w="773"/>
        <w:gridCol w:w="290"/>
        <w:gridCol w:w="109"/>
        <w:gridCol w:w="109"/>
        <w:gridCol w:w="109"/>
        <w:gridCol w:w="211"/>
        <w:gridCol w:w="691"/>
        <w:gridCol w:w="109"/>
        <w:gridCol w:w="109"/>
        <w:gridCol w:w="109"/>
        <w:gridCol w:w="109"/>
        <w:gridCol w:w="218"/>
        <w:gridCol w:w="218"/>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51,283 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57,960 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three months ended March 28, 2026, as compared to the three months ended March 29, 2025, is due to the following:</w:t>
      </w:r>
    </w:p>
    <w:tbl>
      <w:tblPr>
        <w:tblW w:w="6599" w:type="dxa"/>
        <w:jc w:val="center"/>
        <w:tblInd w:w="0" w:type="dxa"/>
        <w:tblLayout w:type="fixed"/>
        <w:tblCellMar>
          <w:top w:w="28" w:type="dxa"/>
          <w:left w:w="28" w:type="dxa"/>
          <w:bottom w:w="28" w:type="dxa"/>
          <w:right w:w="28" w:type="dxa"/>
        </w:tblCellMar>
      </w:tblPr>
      <w:tblGrid>
        <w:gridCol w:w="1965"/>
        <w:gridCol w:w="1730"/>
        <w:gridCol w:w="1735"/>
        <w:gridCol w:w="233"/>
        <w:gridCol w:w="766"/>
        <w:gridCol w:w="170"/>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(6,677)</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remained relatively flat for the three months ended March 28, 2026, as compared to the three months ended March 29, 2025. We had an increase in stock-based compensation expense due to incremental grants made for the three months ended March 28, 2026, as compared to the three months ended March 29, 2025. This increase was partially offset by a decrease in payroll-related expenses for the three months ended March 28, 2026, as compared to the three months ended March 29, 2025, driven by the reduction in force which occurred in the first quarter of fiscal year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 expenses decreased for the three months ended March 28, 2026, as compared to the three months ended March 29, 2025, primarily from a decrease in prototype-related costs as we have completed older research and development projects, while costs for current research and development projects require fewer prototypes.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5"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7560" w:type="dxa"/>
        <w:jc w:val="left"/>
        <w:tblInd w:w="0" w:type="dxa"/>
        <w:tblLayout w:type="fixed"/>
        <w:tblCellMar>
          <w:top w:w="28" w:type="dxa"/>
          <w:left w:w="28" w:type="dxa"/>
          <w:bottom w:w="28" w:type="dxa"/>
          <w:right w:w="28" w:type="dxa"/>
        </w:tblCellMar>
      </w:tblPr>
      <w:tblGrid>
        <w:gridCol w:w="843"/>
        <w:gridCol w:w="739"/>
        <w:gridCol w:w="743"/>
        <w:gridCol w:w="226"/>
        <w:gridCol w:w="773"/>
        <w:gridCol w:w="290"/>
        <w:gridCol w:w="109"/>
        <w:gridCol w:w="109"/>
        <w:gridCol w:w="109"/>
        <w:gridCol w:w="211"/>
        <w:gridCol w:w="826"/>
        <w:gridCol w:w="271"/>
        <w:gridCol w:w="109"/>
        <w:gridCol w:w="109"/>
        <w:gridCol w:w="109"/>
        <w:gridCol w:w="211"/>
        <w:gridCol w:w="691"/>
        <w:gridCol w:w="109"/>
        <w:gridCol w:w="109"/>
        <w:gridCol w:w="109"/>
        <w:gridCol w:w="109"/>
        <w:gridCol w:w="164"/>
        <w:gridCol w:w="166"/>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94,289 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six months ended March 28, 2026, as compared to the six months ended March 29, 2025, is due to the following:</w:t>
      </w:r>
    </w:p>
    <w:tbl>
      <w:tblPr>
        <w:tblW w:w="6599" w:type="dxa"/>
        <w:jc w:val="left"/>
        <w:tblInd w:w="0" w:type="dxa"/>
        <w:tblLayout w:type="fixed"/>
        <w:tblCellMar>
          <w:top w:w="28" w:type="dxa"/>
          <w:left w:w="28" w:type="dxa"/>
          <w:bottom w:w="28" w:type="dxa"/>
          <w:right w:w="28" w:type="dxa"/>
        </w:tblCellMar>
      </w:tblPr>
      <w:tblGrid>
        <w:gridCol w:w="1965"/>
        <w:gridCol w:w="1730"/>
        <w:gridCol w:w="1735"/>
        <w:gridCol w:w="233"/>
        <w:gridCol w:w="766"/>
        <w:gridCol w:w="170"/>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(6,950)</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decreased for the six months ended March 28, 2026, as compared to the six months ended March 29, 2025. The primary driver in the decrease to employee-related costs for the six months ended March 28, 2026, as compared to the six months ended March 29, 2025, was from an increase in engineering resources assigned to customer projects, which was primarily related to the 2025 MAA.</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 expenses decreased for the six months ended March 28, 2026, as compared to the six months ended March 29, 2025, primarily from a decrease in prototype-related costs as we have completed older research and development projects, while costs for current research and development projects require fewer prototypes. This decrease was partially offset by an increase in amortization expense attributable to the intangible assets that we acquired through our asset and business combination transactions.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276" w:type="dxa"/>
        <w:jc w:val="center"/>
        <w:tblInd w:w="0" w:type="dxa"/>
        <w:tblLayout w:type="fixed"/>
        <w:tblCellMar>
          <w:top w:w="28" w:type="dxa"/>
          <w:left w:w="28" w:type="dxa"/>
          <w:bottom w:w="28" w:type="dxa"/>
          <w:right w:w="28" w:type="dxa"/>
        </w:tblCellMar>
      </w:tblPr>
      <w:tblGrid>
        <w:gridCol w:w="1087"/>
        <w:gridCol w:w="955"/>
        <w:gridCol w:w="957"/>
        <w:gridCol w:w="226"/>
        <w:gridCol w:w="773"/>
        <w:gridCol w:w="290"/>
        <w:gridCol w:w="109"/>
        <w:gridCol w:w="109"/>
        <w:gridCol w:w="109"/>
        <w:gridCol w:w="226"/>
        <w:gridCol w:w="773"/>
        <w:gridCol w:w="290"/>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92,566 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three months ended March 28, 2026, as compared to the three months ended March 29, 2025, is due to the following: </w:t>
      </w:r>
    </w:p>
    <w:tbl>
      <w:tblPr>
        <w:tblW w:w="4469" w:type="dxa"/>
        <w:jc w:val="center"/>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19,261 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three months ended March 28, 2026, as compared to the three months ended March 29, 2025, primarily as a result of our full-time employee and contractor headcount growth within our selling, general, and administrative functions. We increased our headcount primarily to support our rapid acceleration of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Allocated overhead and other expenses increased in the three months ended March 28, 2026, as compared to the three months ended March 29, 2025, primarily due to an increase in information technology related costs to support growth within our employee base and infrastructure. This increase was partially offset by a decrease in legal expenses from the prior year as we incurred more legal expenses related to our internal controls remediation and acquisition activity for the three months ended March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6"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8314" w:type="dxa"/>
        <w:jc w:val="left"/>
        <w:tblInd w:w="0" w:type="dxa"/>
        <w:tblLayout w:type="fixed"/>
        <w:tblCellMar>
          <w:top w:w="28" w:type="dxa"/>
          <w:left w:w="28" w:type="dxa"/>
          <w:bottom w:w="28" w:type="dxa"/>
          <w:right w:w="28" w:type="dxa"/>
        </w:tblCellMar>
      </w:tblPr>
      <w:tblGrid>
        <w:gridCol w:w="1087"/>
        <w:gridCol w:w="955"/>
        <w:gridCol w:w="95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six months ended March 28, 2026, as compared to the six months ended March 29, 2025, is due to the following: </w:t>
      </w:r>
    </w:p>
    <w:tbl>
      <w:tblPr>
        <w:tblW w:w="4469" w:type="dxa"/>
        <w:jc w:val="left"/>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39,676 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six months ended March 28, 2026, as compared to the six months ended March 29, 2025,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Allocated overhead and other expenses remained flat in the six months ended March 28, 2026, as compared to the six months ended March 29, 2025, primarily due to an increase in information technology related costs to support growth within our employee base and infrastructure as well as an increase in rent and property tax as we have increased our number of properties as we expand into other locations. This increase was partially offset by a decrease in legal expenses from the prior year as we incurred more legal expenses related to our internal controls remediation and acquisition activity for the six months ended March 29,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7391" w:type="dxa"/>
        <w:jc w:val="center"/>
        <w:tblInd w:w="0" w:type="dxa"/>
        <w:tblLayout w:type="fixed"/>
        <w:tblCellMar>
          <w:top w:w="28" w:type="dxa"/>
          <w:left w:w="28" w:type="dxa"/>
          <w:bottom w:w="28" w:type="dxa"/>
          <w:right w:w="28" w:type="dxa"/>
        </w:tblCellMar>
      </w:tblPr>
      <w:tblGrid>
        <w:gridCol w:w="840"/>
        <w:gridCol w:w="741"/>
        <w:gridCol w:w="744"/>
        <w:gridCol w:w="226"/>
        <w:gridCol w:w="773"/>
        <w:gridCol w:w="290"/>
        <w:gridCol w:w="109"/>
        <w:gridCol w:w="109"/>
        <w:gridCol w:w="109"/>
        <w:gridCol w:w="226"/>
        <w:gridCol w:w="773"/>
        <w:gridCol w:w="290"/>
        <w:gridCol w:w="109"/>
        <w:gridCol w:w="109"/>
        <w:gridCol w:w="109"/>
        <w:gridCol w:w="211"/>
        <w:gridCol w:w="541"/>
        <w:gridCol w:w="109"/>
        <w:gridCol w:w="109"/>
        <w:gridCol w:w="109"/>
        <w:gridCol w:w="109"/>
        <w:gridCol w:w="164"/>
        <w:gridCol w:w="16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11,714 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months ended March 28, 2026, as compared to the three months ended March 29, 2025, was primarily due to the fair value adjustment made in the three months ended March 29, 2025 when such adjustment did not occur in the three months ended March 28, 2026. This decrease was partially offset by an increase in interest income due to higher interest earned on invested cash balances for the three months ended March 28, 2026, as compared to the three months ended March 29, 2025.</w:t>
      </w:r>
    </w:p>
    <w:tbl>
      <w:tblPr>
        <w:tblW w:w="7497" w:type="dxa"/>
        <w:jc w:val="left"/>
        <w:tblInd w:w="0" w:type="dxa"/>
        <w:tblLayout w:type="fixed"/>
        <w:tblCellMar>
          <w:top w:w="28" w:type="dxa"/>
          <w:left w:w="28" w:type="dxa"/>
          <w:bottom w:w="28" w:type="dxa"/>
          <w:right w:w="28" w:type="dxa"/>
        </w:tblCellMar>
      </w:tblPr>
      <w:tblGrid>
        <w:gridCol w:w="840"/>
        <w:gridCol w:w="741"/>
        <w:gridCol w:w="744"/>
        <w:gridCol w:w="226"/>
        <w:gridCol w:w="773"/>
        <w:gridCol w:w="290"/>
        <w:gridCol w:w="109"/>
        <w:gridCol w:w="109"/>
        <w:gridCol w:w="109"/>
        <w:gridCol w:w="226"/>
        <w:gridCol w:w="773"/>
        <w:gridCol w:w="290"/>
        <w:gridCol w:w="109"/>
        <w:gridCol w:w="109"/>
        <w:gridCol w:w="109"/>
        <w:gridCol w:w="211"/>
        <w:gridCol w:w="616"/>
        <w:gridCol w:w="109"/>
        <w:gridCol w:w="109"/>
        <w:gridCol w:w="109"/>
        <w:gridCol w:w="109"/>
        <w:gridCol w:w="180"/>
        <w:gridCol w:w="181"/>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six months ended March 28, 2026, as compared to the six months ended March 29, 2025, was primarily due to higher interest earned on invested cash balances for the six months ended March 28, 2026, as compared to the six months ended March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7"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7920" w:type="dxa"/>
        <w:jc w:val="left"/>
        <w:tblInd w:w="0" w:type="dxa"/>
        <w:tblLayout w:type="fixed"/>
        <w:tblCellMar>
          <w:top w:w="28" w:type="dxa"/>
          <w:left w:w="28" w:type="dxa"/>
          <w:bottom w:w="28" w:type="dxa"/>
          <w:right w:w="28" w:type="dxa"/>
        </w:tblCellMar>
      </w:tblPr>
      <w:tblGrid>
        <w:gridCol w:w="889"/>
        <w:gridCol w:w="784"/>
        <w:gridCol w:w="787"/>
        <w:gridCol w:w="316"/>
        <w:gridCol w:w="811"/>
        <w:gridCol w:w="162"/>
        <w:gridCol w:w="120"/>
        <w:gridCol w:w="120"/>
        <w:gridCol w:w="120"/>
        <w:gridCol w:w="291"/>
        <w:gridCol w:w="850"/>
        <w:gridCol w:w="149"/>
        <w:gridCol w:w="109"/>
        <w:gridCol w:w="109"/>
        <w:gridCol w:w="109"/>
        <w:gridCol w:w="211"/>
        <w:gridCol w:w="691"/>
        <w:gridCol w:w="109"/>
        <w:gridCol w:w="109"/>
        <w:gridCol w:w="109"/>
        <w:gridCol w:w="109"/>
        <w:gridCol w:w="269"/>
        <w:gridCol w:w="271"/>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income tax expense for the three months ended March 28, 2026, as compared to the three months ended March 29, 2025, is attributable to the expense related to current international and state income taxes which were offset in fiscal year 2025 by a partial release of the valuation allowance in connection with the ASR Acquisition.</w:t>
      </w:r>
    </w:p>
    <w:tbl>
      <w:tblPr>
        <w:tblW w:w="7888" w:type="dxa"/>
        <w:jc w:val="left"/>
        <w:tblInd w:w="0" w:type="dxa"/>
        <w:tblLayout w:type="fixed"/>
        <w:tblCellMar>
          <w:top w:w="28" w:type="dxa"/>
          <w:left w:w="28" w:type="dxa"/>
          <w:bottom w:w="28" w:type="dxa"/>
          <w:right w:w="28" w:type="dxa"/>
        </w:tblCellMar>
      </w:tblPr>
      <w:tblGrid>
        <w:gridCol w:w="889"/>
        <w:gridCol w:w="784"/>
        <w:gridCol w:w="787"/>
        <w:gridCol w:w="269"/>
        <w:gridCol w:w="882"/>
        <w:gridCol w:w="139"/>
        <w:gridCol w:w="109"/>
        <w:gridCol w:w="109"/>
        <w:gridCol w:w="109"/>
        <w:gridCol w:w="291"/>
        <w:gridCol w:w="849"/>
        <w:gridCol w:w="150"/>
        <w:gridCol w:w="109"/>
        <w:gridCol w:w="109"/>
        <w:gridCol w:w="109"/>
        <w:gridCol w:w="211"/>
        <w:gridCol w:w="691"/>
        <w:gridCol w:w="109"/>
        <w:gridCol w:w="109"/>
        <w:gridCol w:w="109"/>
        <w:gridCol w:w="109"/>
        <w:gridCol w:w="269"/>
        <w:gridCol w:w="271"/>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8"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income tax expense for the six months ended March 28, 2026, as compared to the six months ended March 29, 2025, is attributable to the expense related to current international and state income taxes which were offset in fiscal year 2025 by a partial release of the valuation allowance in connection with the ASR Acquisition.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Adjusted research and development expenses, Adjusted selling, general, and administrative expenses, and free cash flow, as discussed below.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our basis for excluding them from our non-GAAP financial measures, are outlined below:</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Stock-based compensation</w:t>
      </w:r>
      <w:r>
        <w:rPr>
          <w:color w:val="000000"/>
        </w:rPr>
        <w:t xml:space="preserve"> – </w:t>
      </w:r>
      <w:r>
        <w:rPr>
          <w:rFonts w:ascii="Times New Roman;serif" w:hAnsi="Times New Roman;serif"/>
          <w:b w:val="false"/>
          <w:color w:val="000000"/>
          <w:sz w:val="20"/>
        </w:rPr>
        <w:t xml:space="preserve">Although stock-based compensation is an important aspect of the compensation paid to our employees, the 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48"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companies. Our stock-based compensation non-GAAP financial measures exclusion includes non-cash stock-based compensation expense and payroll taxes related to stock-based compensation awards.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Business combination transaction expenses</w:t>
      </w:r>
      <w:r>
        <w:rPr>
          <w:color w:val="000000"/>
        </w:rPr>
        <w:t xml:space="preserve"> – </w:t>
      </w:r>
      <w:r>
        <w:rPr>
          <w:rFonts w:ascii="Times New Roman;serif" w:hAnsi="Times New Roman;serif"/>
          <w:b w:val="false"/>
          <w:color w:val="000000"/>
          <w:sz w:val="20"/>
        </w:rPr>
        <w:t>Business combination transaction expenses represent the expenses incurred related to strategic acquisition 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to prior periods and to peer companies because such amounts vary significantly based on the magnitude of the transaction and do not reflect our core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Restructuring charges</w:t>
      </w:r>
      <w:r>
        <w:rPr>
          <w:color w:val="000000"/>
        </w:rPr>
        <w:t xml:space="preserve"> – </w:t>
      </w:r>
      <w:r>
        <w:rPr>
          <w:rFonts w:ascii="Times New Roman;serif" w:hAnsi="Times New Roman;serif"/>
          <w:b w:val="false"/>
          <w:color w:val="000000"/>
          <w:sz w:val="20"/>
        </w:rPr>
        <w:t>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 The restructuring charges in fiscal year 2025 represent those charges incurred related to a reduction of our workforce across all areas of the employees that joined our workforce in connection with the ASR Acquisition.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Equity method investment</w:t>
      </w:r>
      <w:r>
        <w:rPr>
          <w:color w:val="000000"/>
        </w:rPr>
        <w:t xml:space="preserve"> – </w:t>
      </w:r>
      <w:r>
        <w:rPr>
          <w:rFonts w:ascii="Times New Roman;serif" w:hAnsi="Times New Roman;serif"/>
          <w:b w:val="false"/>
          <w:color w:val="000000"/>
          <w:sz w:val="20"/>
        </w:rPr>
        <w:t xml:space="preserve">Equity method investment represents our proportionate share of income or loss of unconsolidated variable interest entities. We exclude this from our non-GAAP financial measures to provide a useful comparison of our operating results to prior periods and to our peer companies because such amounts are not representative of our normal operating activities.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Internal control remediation </w:t>
      </w:r>
      <w:r>
        <w:rPr>
          <w:color w:val="000000"/>
        </w:rPr>
        <w:t xml:space="preserve">– </w:t>
      </w:r>
      <w:r>
        <w:rPr>
          <w:rFonts w:ascii="Times New Roman;serif" w:hAnsi="Times New Roman;serif"/>
          <w:b w:val="false"/>
          <w:color w:val="000000"/>
          <w:sz w:val="20"/>
        </w:rPr>
        <w:t>Internal control remediation costs represent professional services fees related to the Company’s efforts to remediate internal control material weaknesses. We excluded these fees from our non-GAAP financial measures to provide a useful comparison of our operating results to prior periods and to our peer companies because such amounts are not representative of our normal operating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Business transformation costs </w:t>
      </w:r>
      <w:r>
        <w:rPr>
          <w:color w:val="000000"/>
        </w:rPr>
        <w:t xml:space="preserve">– </w:t>
      </w:r>
      <w:r>
        <w:rPr>
          <w:rFonts w:ascii="Times New Roman;serif" w:hAnsi="Times New Roman;serif"/>
          <w:b w:val="false"/>
          <w:color w:val="000000"/>
          <w:sz w:val="20"/>
        </w:rPr>
        <w:t xml:space="preserve">Business transformation costs represent consultancy fees incurred for specific business initiatives that do not reflect the cost of normal business operations.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Fair value adjustments on strategic investments </w:t>
      </w:r>
      <w:r>
        <w:rPr>
          <w:color w:val="000000"/>
        </w:rPr>
        <w:t xml:space="preserve">– </w:t>
      </w:r>
      <w:r>
        <w:rPr>
          <w:rFonts w:ascii="Times New Roman;serif" w:hAnsi="Times New Roman;serif"/>
          <w:b w:val="false"/>
          <w:color w:val="000000"/>
          <w:sz w:val="20"/>
        </w:rPr>
        <w:t xml:space="preserve">Fair value adjustments on strategic investments primarily consist of the gain or loss on strategic investments, which includes recurring fair value adjustments which are adjusted for observable price changes and any potential impairments. See Note 12, </w:t>
      </w:r>
      <w:r>
        <w:rPr>
          <w:rFonts w:ascii="Times New Roman;serif" w:hAnsi="Times New Roman;serif"/>
          <w:b w:val="false"/>
          <w:i/>
          <w:color w:val="000000"/>
          <w:sz w:val="20"/>
        </w:rPr>
        <w:t>Fair Value Measures</w:t>
      </w:r>
      <w:r>
        <w:rPr>
          <w:rFonts w:ascii="Times New Roman;serif" w:hAnsi="Times New Roman;serif"/>
          <w:b w:val="false"/>
          <w:color w:val="000000"/>
          <w:sz w:val="20"/>
        </w:rPr>
        <w:t>, included in this report for additional information on our strategic investment activity. We exclude fair value adjustments on strategic investments given the volatility in ongoing adjustments to the valuation of these strategic investments and because such adjustments are unrelated to the operating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49"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loss to Adjusted EBITDA for the three and six months ended March 28, 2026 and March 29, 2025 (in thousands):</w:t>
      </w:r>
    </w:p>
    <w:tbl>
      <w:tblPr>
        <w:tblW w:w="10144" w:type="dxa"/>
        <w:jc w:val="left"/>
        <w:tblInd w:w="0" w:type="dxa"/>
        <w:tblLayout w:type="fixed"/>
        <w:tblCellMar>
          <w:top w:w="28" w:type="dxa"/>
          <w:left w:w="28" w:type="dxa"/>
          <w:bottom w:w="28" w:type="dxa"/>
          <w:right w:w="28" w:type="dxa"/>
        </w:tblCellMar>
      </w:tblPr>
      <w:tblGrid>
        <w:gridCol w:w="1433"/>
        <w:gridCol w:w="1259"/>
        <w:gridCol w:w="1268"/>
        <w:gridCol w:w="261"/>
        <w:gridCol w:w="894"/>
        <w:gridCol w:w="135"/>
        <w:gridCol w:w="109"/>
        <w:gridCol w:w="109"/>
        <w:gridCol w:w="109"/>
        <w:gridCol w:w="261"/>
        <w:gridCol w:w="894"/>
        <w:gridCol w:w="135"/>
        <w:gridCol w:w="109"/>
        <w:gridCol w:w="109"/>
        <w:gridCol w:w="109"/>
        <w:gridCol w:w="237"/>
        <w:gridCol w:w="930"/>
        <w:gridCol w:w="122"/>
        <w:gridCol w:w="109"/>
        <w:gridCol w:w="109"/>
        <w:gridCol w:w="109"/>
        <w:gridCol w:w="242"/>
        <w:gridCol w:w="915"/>
        <w:gridCol w:w="177"/>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(9,852)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57,188 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36,376 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101,305 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adjustments on strategic investments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77,753 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34,718 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144,656 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52,622 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tbl>
      <w:tblPr>
        <w:tblW w:w="8776" w:type="dxa"/>
        <w:jc w:val="left"/>
        <w:tblInd w:w="0" w:type="dxa"/>
        <w:tblLayout w:type="fixed"/>
        <w:tblCellMar>
          <w:top w:w="28" w:type="dxa"/>
          <w:left w:w="28" w:type="dxa"/>
          <w:bottom w:w="28" w:type="dxa"/>
          <w:right w:w="28" w:type="dxa"/>
        </w:tblCellMar>
      </w:tblPr>
      <w:tblGrid>
        <w:gridCol w:w="939"/>
        <w:gridCol w:w="822"/>
        <w:gridCol w:w="833"/>
        <w:gridCol w:w="237"/>
        <w:gridCol w:w="930"/>
        <w:gridCol w:w="122"/>
        <w:gridCol w:w="109"/>
        <w:gridCol w:w="109"/>
        <w:gridCol w:w="109"/>
        <w:gridCol w:w="237"/>
        <w:gridCol w:w="930"/>
        <w:gridCol w:w="122"/>
        <w:gridCol w:w="109"/>
        <w:gridCol w:w="109"/>
        <w:gridCol w:w="109"/>
        <w:gridCol w:w="237"/>
        <w:gridCol w:w="930"/>
        <w:gridCol w:w="122"/>
        <w:gridCol w:w="109"/>
        <w:gridCol w:w="109"/>
        <w:gridCol w:w="109"/>
        <w:gridCol w:w="236"/>
        <w:gridCol w:w="926"/>
        <w:gridCol w:w="172"/>
      </w:tblGrid>
      <w:tr>
        <w:trPr/>
        <w:tc>
          <w:tcPr>
            <w:tcW w:w="9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149,952 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110,792 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283,376 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191,808 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26,879 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165,774 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121,810 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313,309 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208,027 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4" w:type="dxa"/>
        <w:jc w:val="left"/>
        <w:tblInd w:w="0" w:type="dxa"/>
        <w:tblLayout w:type="fixed"/>
        <w:tblCellMar>
          <w:top w:w="28" w:type="dxa"/>
          <w:left w:w="28" w:type="dxa"/>
          <w:bottom w:w="28" w:type="dxa"/>
          <w:right w:w="28" w:type="dxa"/>
        </w:tblCellMar>
      </w:tblPr>
      <w:tblGrid>
        <w:gridCol w:w="879"/>
        <w:gridCol w:w="774"/>
        <w:gridCol w:w="77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research and development expenses and Adjusted selling, general, and administrative expenses to be important indicators of profitability which we use in our financial and operational decision-making and evaluation of our overall operating performance. We define Adjusted research and development expenses and Adjusted selling, general, and administrative expenses as GAAP research and development expense or selling, general, and administrative expense excluding the items indicated in the tables below. The following tables reconcile GAAP research and development expenses to Adjusted research and development expenses and GAAP selling, general, and administrative expenses to Adjusted selling, general, and administrative expenses during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0"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979" w:type="dxa"/>
        <w:jc w:val="left"/>
        <w:tblInd w:w="0" w:type="dxa"/>
        <w:tblLayout w:type="fixed"/>
        <w:tblCellMar>
          <w:top w:w="28" w:type="dxa"/>
          <w:left w:w="28" w:type="dxa"/>
          <w:bottom w:w="28" w:type="dxa"/>
          <w:right w:w="28" w:type="dxa"/>
        </w:tblCellMar>
      </w:tblPr>
      <w:tblGrid>
        <w:gridCol w:w="1376"/>
        <w:gridCol w:w="1206"/>
        <w:gridCol w:w="1212"/>
        <w:gridCol w:w="261"/>
        <w:gridCol w:w="894"/>
        <w:gridCol w:w="135"/>
        <w:gridCol w:w="109"/>
        <w:gridCol w:w="109"/>
        <w:gridCol w:w="109"/>
        <w:gridCol w:w="261"/>
        <w:gridCol w:w="894"/>
        <w:gridCol w:w="135"/>
        <w:gridCol w:w="109"/>
        <w:gridCol w:w="109"/>
        <w:gridCol w:w="109"/>
        <w:gridCol w:w="261"/>
        <w:gridCol w:w="894"/>
        <w:gridCol w:w="135"/>
        <w:gridCol w:w="109"/>
        <w:gridCol w:w="109"/>
        <w:gridCol w:w="109"/>
        <w:gridCol w:w="236"/>
        <w:gridCol w:w="926"/>
        <w:gridCol w:w="172"/>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94,289 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101,239 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(10,151)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(25,044)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 expenses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40,321 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59,094 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69,362 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5"/>
        <w:gridCol w:w="1311"/>
        <w:gridCol w:w="1314"/>
        <w:gridCol w:w="254"/>
        <w:gridCol w:w="872"/>
        <w:gridCol w:w="131"/>
        <w:gridCol w:w="109"/>
        <w:gridCol w:w="109"/>
        <w:gridCol w:w="109"/>
        <w:gridCol w:w="254"/>
        <w:gridCol w:w="872"/>
        <w:gridCol w:w="131"/>
        <w:gridCol w:w="109"/>
        <w:gridCol w:w="109"/>
        <w:gridCol w:w="109"/>
        <w:gridCol w:w="233"/>
        <w:gridCol w:w="916"/>
        <w:gridCol w:w="120"/>
        <w:gridCol w:w="109"/>
        <w:gridCol w:w="109"/>
        <w:gridCol w:w="109"/>
        <w:gridCol w:w="232"/>
        <w:gridCol w:w="913"/>
        <w:gridCol w:w="176"/>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92,566 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173,785 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(25,857)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(28,460)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58,971 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46,774 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109,493 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86,101 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tbl>
      <w:tblPr>
        <w:tblW w:w="10205" w:type="dxa"/>
        <w:jc w:val="left"/>
        <w:tblInd w:w="0" w:type="dxa"/>
        <w:tblLayout w:type="fixed"/>
        <w:tblCellMar>
          <w:top w:w="28" w:type="dxa"/>
          <w:left w:w="28" w:type="dxa"/>
          <w:bottom w:w="28" w:type="dxa"/>
          <w:right w:w="28" w:type="dxa"/>
        </w:tblCellMar>
      </w:tblPr>
      <w:tblGrid>
        <w:gridCol w:w="1691"/>
        <w:gridCol w:w="1321"/>
        <w:gridCol w:w="1325"/>
        <w:gridCol w:w="222"/>
        <w:gridCol w:w="872"/>
        <w:gridCol w:w="114"/>
        <w:gridCol w:w="109"/>
        <w:gridCol w:w="109"/>
        <w:gridCol w:w="109"/>
        <w:gridCol w:w="222"/>
        <w:gridCol w:w="872"/>
        <w:gridCol w:w="114"/>
        <w:gridCol w:w="109"/>
        <w:gridCol w:w="109"/>
        <w:gridCol w:w="109"/>
        <w:gridCol w:w="222"/>
        <w:gridCol w:w="872"/>
        <w:gridCol w:w="114"/>
        <w:gridCol w:w="109"/>
        <w:gridCol w:w="109"/>
        <w:gridCol w:w="109"/>
        <w:gridCol w:w="222"/>
        <w:gridCol w:w="871"/>
        <w:gridCol w:w="170"/>
      </w:tblGrid>
      <w:tr>
        <w:trPr/>
        <w:tc>
          <w:tcPr>
            <w:tcW w:w="169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261,341 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269,575 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474,602 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249,015 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407,461 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446,685 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28, 2026, our principal sources of liquidity were cash received from customers upon the inception and continuation of contracts to install Systems.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net cash provided by operating activities, net cash used in investing activities, and net cash provided by (used in) financing activities for the six months ended March 28, 2026 and March 29, 2025:</w:t>
      </w:r>
    </w:p>
    <w:tbl>
      <w:tblPr>
        <w:tblW w:w="5605" w:type="dxa"/>
        <w:jc w:val="center"/>
        <w:tblInd w:w="0" w:type="dxa"/>
        <w:tblLayout w:type="fixed"/>
        <w:tblCellMar>
          <w:top w:w="28" w:type="dxa"/>
          <w:left w:w="28" w:type="dxa"/>
          <w:bottom w:w="28" w:type="dxa"/>
          <w:right w:w="28" w:type="dxa"/>
        </w:tblCellMar>
      </w:tblPr>
      <w:tblGrid>
        <w:gridCol w:w="961"/>
        <w:gridCol w:w="843"/>
        <w:gridCol w:w="850"/>
        <w:gridCol w:w="223"/>
        <w:gridCol w:w="952"/>
        <w:gridCol w:w="115"/>
        <w:gridCol w:w="109"/>
        <w:gridCol w:w="109"/>
        <w:gridCol w:w="109"/>
        <w:gridCol w:w="222"/>
        <w:gridCol w:w="950"/>
        <w:gridCol w:w="162"/>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March 29,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452,881 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474,602 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(115,404)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(245,909)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426,983 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1"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$452.9 million during the six months ended March 28, 2026. Net cash provided by operating activities was primarily due to our net income of $22.8 million adjusted for non-cash items of $139.2 million, primarily consisting of $20.0 million depreciation and amortization, $94.5 million stock-based compensation, and $9.6 million provision for excess and obsolete inventory, offset by cash provided by operating assets and liabilities of $290.9 million. Cash provided by operating assets and liabilities of $290.9 million was primarily driven by net working capital changes, including the timing of cash payments to vendors and cash receipts from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$474.6 million during the six months ended March 29, 2025. Net cash provided by operating activities was primarily due to our net loss of $26.7 million adjusted for non-cash items of $76.2 million, primarily consisting of $18.0 million depreciation and amortization, $55.5 million stock-based compensation, offset by cash provided by operating assets and liabilities of $425.1 million. Cash provided by operating assets and liabilities of $425.1 million was primarily driven by net working capital changes, including the timing of cash payments to vendors and cash receipts from customers, an increase in inventory purchases to meet our installation timeline for our customer’s Deployments in connection with the Walmart MAA and other customer contracts, as well as an increase in deferred revenue resulting from an increase in the number of Deployments.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investing activities have consisted primarily of property and equipment purchases, capitalization of internal use software development costs, and acquisitions of strategic investments.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 during the six months ended March 28, 2026 consisted of $45.4 million of purchased property and equipment and $70.0 million of cash paid for strategic investments, which includes our investment in our unconsolidated variable interest entity, Exol. No other significant investing activities occurred during the six months ended March 28,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provided by investing activities during the six months ended March 29, 2025 consisted of $27.9 million of purchased property and equipment and $18.0 million related to acquisitions of strategic investments, which includes our investment in our unconsolidated variable interest entity, Exol, and cash paid for the acquisition of ASR of $200.0 million.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financing activities typically consist of payments and proceeds related to our equity incentive plans for both RSUs and ESPP, and also include proceeds from equity financing transactions.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28, 2026, we received net proceeds of $424.3 million from the issuance of Class A common stock upon completion of our equity financing transaction in December 2025. No other significant financing activities occurred during the six months ended March 28,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29, 2025, we paid taxes of $3.0 million related to net share settlement of RSUs and we also paid $1.2 million in distributions to or on behalf of Symbotic Holdings partners to fund all or part of their obligations with respect to the taxable income of Symbotic Holdings that is allocated to them.</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 and Liquidity Outlook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operations along with equity infusions have historically been sufficient to fund our operating activities and other cash requirements. At March 28, 2026, we had a cash and cash equivalents balance of $2,009.4 million. Our cash requirements for the three and six months ended March 28, 2026 were primarily related to inventory purchases in order to deliver our Systems to our customers in an orderly manner in line with our installation timeline, and acquisitions of strategic investments to expand our investment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2"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and minimum contractual obligations. Contractual obligations are cash that we are obligated to pay as part of certain contracts that we have entered into during our course of business. Our contractual obligations consist of operating lease liabilities that are included in our condensed consolidated balance sheet and vendor commitments associated with agreements that are legally binding. Our operating lease cash requirements have not changed materially since September 27, 2025, and are disclosed within Note 5, </w:t>
      </w:r>
      <w:r>
        <w:rPr>
          <w:rFonts w:ascii="Times New Roman;serif" w:hAnsi="Times New Roman;serif"/>
          <w:b w:val="false"/>
          <w:i/>
          <w:color w:val="000000"/>
          <w:sz w:val="20"/>
        </w:rPr>
        <w:t>Leases</w:t>
      </w:r>
      <w:r>
        <w:rPr>
          <w:rFonts w:ascii="Times New Roman;serif" w:hAnsi="Times New Roman;serif"/>
          <w:b w:val="false"/>
          <w:color w:val="000000"/>
          <w:sz w:val="20"/>
        </w:rPr>
        <w:t>, included elsewhere in this Quarterly Report on Form 10-Q.</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current and long-term material cash requirements as of March 28, 2026 for our vendor commitments: </w:t>
      </w:r>
    </w:p>
    <w:tbl>
      <w:tblPr>
        <w:tblW w:w="9343" w:type="dxa"/>
        <w:jc w:val="left"/>
        <w:tblInd w:w="0" w:type="dxa"/>
        <w:tblLayout w:type="fixed"/>
        <w:tblCellMar>
          <w:top w:w="28" w:type="dxa"/>
          <w:left w:w="28" w:type="dxa"/>
          <w:bottom w:w="28" w:type="dxa"/>
          <w:right w:w="28" w:type="dxa"/>
        </w:tblCellMar>
      </w:tblPr>
      <w:tblGrid>
        <w:gridCol w:w="673"/>
        <w:gridCol w:w="592"/>
        <w:gridCol w:w="595"/>
        <w:gridCol w:w="211"/>
        <w:gridCol w:w="976"/>
        <w:gridCol w:w="109"/>
        <w:gridCol w:w="109"/>
        <w:gridCol w:w="109"/>
        <w:gridCol w:w="109"/>
        <w:gridCol w:w="259"/>
        <w:gridCol w:w="1017"/>
        <w:gridCol w:w="134"/>
        <w:gridCol w:w="109"/>
        <w:gridCol w:w="109"/>
        <w:gridCol w:w="109"/>
        <w:gridCol w:w="211"/>
        <w:gridCol w:w="721"/>
        <w:gridCol w:w="109"/>
        <w:gridCol w:w="109"/>
        <w:gridCol w:w="109"/>
        <w:gridCol w:w="109"/>
        <w:gridCol w:w="225"/>
        <w:gridCol w:w="498"/>
        <w:gridCol w:w="116"/>
        <w:gridCol w:w="109"/>
        <w:gridCol w:w="109"/>
        <w:gridCol w:w="109"/>
        <w:gridCol w:w="435"/>
        <w:gridCol w:w="837"/>
        <w:gridCol w:w="317"/>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Payments due in:</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Vendor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993,313 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the change in accounting principle disclosed below, there have been no significant changes in our critical accounting policies and estimates during the six months ended March 28, 2026, as compared to the critical accounting policies and estimates disclosed in the audited consolidated financial statements and related notes thereto as of and for the year ended September 27, 2025, which are included within the Annual Report on Form 10-K filed with the SEC on November 24, 2025.</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In the first quarter of fiscal year 2026, we changed our stock-based compensation policy for recognizing expense for graded vesting awards with only service conditions from the accelerated attribution method to the straight-line attribution method. In connection with the Business Combination in June 2022, we granted RSUs with accelerated vesting terms. As those initial RSU awards with accelerated vesting terms have fully vested since the Business Combination, we believe the straight-line attribution method for stock-based compensation expense for awards solely subject to time-based vesting conditions is the preferable accounting policy in accordance with ASC Topic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because it more accurately reflects how our ongoing equity awards are earned over the service period and is the predominant method used in its industry. With the transition from the accelerated attribution method to the straight-line attribution method, we no longer consider stock-based compensation related to our service-based RSUs to be a critical accounting policy.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28, 2026, we had no off-balance sheet arrangements as defined in Instruction 8 to Item 303(b) of Regulation S-K.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assessment of our sensitivity to market risk since our presentation set forth in Item 7A, “Quantitative and Qualitative Disclosures About Market Risk” in the Annual Report on Form 10-K filed with the SEC on November 24,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3"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March 28, 2026, our disclosure controls and procedures were not effective at the reasonable assurance level due to the previously reported material weakness described below.</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Previously Reported Material Weakness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“Part II. Item 9A. Controls and Procedures” in our Annual Report on Form 10-K for the year ended September 27, 2025, our Chief Executive Officer and Chief Financial Officer concluded that our disclosure controls and procedures were not effective at the reasonable assurance level because of the existence of a material weakness.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28, 2026, the Company did not effectively design procedures and controls over the timing of the recognition of cost of revenue. This resulted in timing discrepancies in the recognition of cost of revenue during the year ended September 27, 2025. Given that we recognize revenue on a percentage of completion basis, this also resulted in timing discrepancies in the recognition of revenue during the year ended September 27, 2025. These deficiencies in internal control over financial reporting constituted a material weakness as of March 28,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the material weakness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this material weakness will not result in a misstatement to the annual or interim consolidated financial statements for future periods that would not be prevented or detected.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60" w:after="283"/>
        <w:ind w:left="0" w:right="0" w:firstLine="360"/>
        <w:jc w:val="left"/>
        <w:rPr/>
      </w:pPr>
      <w:r>
        <w:rPr>
          <w:rFonts w:ascii="Times New Roman;serif" w:hAnsi="Times New Roman;serif"/>
          <w:b w:val="false"/>
          <w:color w:val="000000"/>
          <w:sz w:val="20"/>
          <w:shd w:fill="FFFFFF" w:val="clear"/>
        </w:rPr>
        <w:t xml:space="preserve">Subject to the steps taken in connection with the remediation plan noted below, </w:t>
      </w:r>
      <w:r>
        <w:rPr>
          <w:rFonts w:ascii="Times New Roman;serif" w:hAnsi="Times New Roman;serif"/>
          <w:b w:val="false"/>
          <w:color w:val="000000"/>
          <w:sz w:val="20"/>
        </w:rPr>
        <w:t>there have been no changes in our internal control over financial reporting for the three months ended March 28, 2026 that have materially affected, or are reasonably likely to materially affect, our internal control over financial reporting.</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Material Weakness Remediation Plan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has developed a remediation plan, which it began implementing during fiscal year 2025, that includes the following elements: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redesign of the operational processes and evidence requirements for the receipt of goods and services, with a focus on data around documenting the timing of the receipt of goods and services;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implementing additional compensating controls over the timing of the receipt of goods and services, with a continued focus on milestone related expenses;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training of the employees of the organization receiving goods and services;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4"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implementing a long term ERP system solution to manage vendors which will automate certain aspects of goods and services receipts in fiscal year 2027.</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implementation of additional compensating controls over the timing of the receipt of goods and services during the third and fourth quarters of fiscal year 2025. Management is committed to the completion of the remediation of this material weakness and expects to successfully implement enhanced control processes.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this material weakness will be remediated, that additional actions will not be required to remediate this material weakness, or the costs of any such additional actions. This material weakness will not be considered remediated until the remediated controls operate for a sufficient period of time and management has concluded, through further testing, that these controls are operating effectively.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5"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other relief.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 2024, a putative class action captioned Decker v. Symbotic Inc. et al., Case No. 24-cv-12976 was filed in the United States District Court for the District of Massachusetts by an alleged purchaser of our common stock. The complaint asserted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brought claims seeking unspecified damages, attorneys’ fees, expert fees, and other costs and relief on behalf of himself and a putative class of persons who purchased our stock between February 8, 2024 and November 26, 2024. On May 5, 2025, the court entered an order appointing a lead plaintiff pursuant to the Private Securities Litigation Reform Act and setting a schedule for the filing of an amended complaint and our response to the complaint.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plaintiffs filed an amended complaint captioned Traina v. Symbotic Inc. et al., Case No. 24-cv-12196. Like the Decker complaint, the amended complaint asserts claims for violations of federal securities laws against us and four of our officers on the grounds that we made false and/or misleading statements or omissions related to our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our stock between November 20, 2023 and February 5,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filed a motion to dismiss the amended complaint on September 11, 2025. The plaintiffs filed an opposition to the motion to dismiss on November 11, 2025. We filed our reply brief in support of our motion to dismiss on December 11, 2025. A hearing on the motion to dismiss was held on December 16,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vigorously defend these cases. If a court ultimately determines that we are liable in either or both of these cases, we may be subject to substantial damages. We cannot predict with any degree of certainty the outcome of these matters or determine the extent of any potential liabilities. We also cannot provide an estimate of the possible loss or range of loss. Any adverse outcome in these matters could expose us to substantial damages that may have a material adverse impact on our operations and cash flows. Despite the potential for significant damages, we do not believe, based on currently available information, that the outcome of these proceedings will have a material adverse effect on our financial condition, although the outcome could be material to our operating results for any particular period, depending, in part, upon the operating results for such period.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were granted on November 24,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vigorously defend these cases. If a court ultimately determines that we are liable, we may be subject to substantial damages. We cannot predict with any degree of certainty the outcome of this matter or determine the extent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6"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For a detailed discussion of these risks, please see the section in our Annual Report on Form 10-K filed with the SEC on November 24, 2025 titled “Risk Factors”. Any of the matters highlighted in those risk factors could adversely affect our business, results of operation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28, 2026, no director or officer, as defined in Rule 16a-1(f) under the Exchange Act, adopted or terminated a “Rule 10b5-1 trading agreement” or a “non-Rule 10b5-1 trading agreement” as defined in Regulation S-K Item 408.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7"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86"/>
        <w:gridCol w:w="252"/>
        <w:gridCol w:w="254"/>
        <w:gridCol w:w="109"/>
        <w:gridCol w:w="109"/>
        <w:gridCol w:w="109"/>
        <w:gridCol w:w="2033"/>
        <w:gridCol w:w="1939"/>
        <w:gridCol w:w="1958"/>
        <w:gridCol w:w="109"/>
        <w:gridCol w:w="109"/>
        <w:gridCol w:w="109"/>
        <w:gridCol w:w="175"/>
        <w:gridCol w:w="175"/>
        <w:gridCol w:w="176"/>
        <w:gridCol w:w="125"/>
        <w:gridCol w:w="125"/>
        <w:gridCol w:w="125"/>
        <w:gridCol w:w="240"/>
        <w:gridCol w:w="240"/>
        <w:gridCol w:w="241"/>
        <w:gridCol w:w="125"/>
        <w:gridCol w:w="125"/>
        <w:gridCol w:w="125"/>
        <w:gridCol w:w="241"/>
        <w:gridCol w:w="241"/>
        <w:gridCol w:w="350"/>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0"/>
                  <w:u w:val="single"/>
                </w:rPr>
                <w:t>Certificate of Incorporation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20"/>
                  <w:u w:val="single"/>
                </w:rPr>
                <w:t>Bylaws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20"/>
                  <w:u w:val="single"/>
                </w:rPr>
                <w:t>Warrant to purchase common units, dated June 7, 2022, between Symbotic Holdings LLC and Walmart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erif" w:hAnsi="Times New Roman;serif"/>
                  <w:b w:val="false"/>
                  <w:color w:val="0000FF"/>
                  <w:sz w:val="20"/>
                  <w:u w:val="single"/>
                </w:rPr>
                <w:t>Warrant to purchase class A common stock, dated July 23, 2023, between Symbotic Inc. and Sunlight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7/24/2023</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6">
              <w:r>
                <w:rPr>
                  <w:rStyle w:val="InternetLink"/>
                  <w:rFonts w:ascii="Times New Roman;serif" w:hAnsi="Times New Roman;serif"/>
                  <w:b w:val="false"/>
                  <w:color w:val="0000FF"/>
                  <w:sz w:val="20"/>
                  <w:u w:val="single"/>
                </w:rPr>
                <w:t>Description of securities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12/9/2022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7">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7/24/2023</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formofsymboticofferlette.htm">
              <w:r>
                <w:rPr>
                  <w:rStyle w:val="InternetLink"/>
                  <w:rFonts w:ascii="Times New Roman;serif" w:hAnsi="Times New Roman;serif"/>
                  <w:b w:val="false"/>
                  <w:color w:val="0000FF"/>
                  <w:sz w:val="20"/>
                  <w:u w:val="single"/>
                </w:rPr>
                <w:t>Form of Offer Letter for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1-q226.htm">
              <w:r>
                <w:rPr>
                  <w:rStyle w:val="InternetLink"/>
                  <w:rFonts w:ascii="Times New Roman;serif" w:hAnsi="Times New Roman;serif"/>
                  <w:b w:val="false"/>
                  <w:color w:val="0000FF"/>
                  <w:sz w:val="20"/>
                  <w:u w:val="single"/>
                </w:rPr>
                <w:t>Certification of Chief Executive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2-q226.htm">
              <w:r>
                <w:rPr>
                  <w:rStyle w:val="InternetLink"/>
                  <w:rFonts w:ascii="Times New Roman;serif" w:hAnsi="Times New Roman;serif"/>
                  <w:b w:val="false"/>
                  <w:color w:val="0000FF"/>
                  <w:sz w:val="20"/>
                  <w:u w:val="single"/>
                </w:rPr>
                <w:t>Certification of Chief Financial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1-q2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2-q2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
        <w:gridCol w:w="117"/>
        <w:gridCol w:w="117"/>
        <w:gridCol w:w="2880"/>
        <w:gridCol w:w="2880"/>
        <w:gridCol w:w="4078"/>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w:t>
            </w:r>
          </w:p>
        </w:tc>
        <w:tc>
          <w:tcPr>
            <w:tcW w:w="983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Certain of the exhibits and schedules have been omitted in accordance with Item 601(a)(5) of Regulation S-K. We agree to furnish a copy of all omitted exhibits and schedules to the SEC upon its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p>
      <w:pPr>
        <w:pStyle w:val="TextBody"/>
        <w:bidi w:val="0"/>
        <w:spacing w:lineRule="auto" w:line="288" w:before="60" w:after="283"/>
        <w:jc w:val="left"/>
        <w:rPr>
          <w:color w:val="000000"/>
        </w:rPr>
      </w:pPr>
      <w:r>
        <w:rPr>
          <w:color w:val="000000"/>
        </w:rPr>
        <w:t>                </w:t>
      </w:r>
    </w:p>
    <w:tbl>
      <w:tblPr>
        <w:tblW w:w="6015" w:type="dxa"/>
        <w:jc w:val="left"/>
        <w:tblInd w:w="0" w:type="dxa"/>
        <w:tblLayout w:type="fixed"/>
        <w:tblCellMar>
          <w:top w:w="28" w:type="dxa"/>
          <w:left w:w="28" w:type="dxa"/>
          <w:bottom w:w="28" w:type="dxa"/>
          <w:right w:w="28" w:type="dxa"/>
        </w:tblCellMar>
      </w:tblPr>
      <w:tblGrid>
        <w:gridCol w:w="462"/>
        <w:gridCol w:w="405"/>
        <w:gridCol w:w="408"/>
        <w:gridCol w:w="1387"/>
        <w:gridCol w:w="1387"/>
        <w:gridCol w:w="196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Symbotic Inc.</w:t>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Controller and Chief Accounting Officer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center"/>
        <w:rPr/>
      </w:pPr>
      <w:bookmarkStart w:id="0" w:name="formofsymboticofferlette.htm"/>
      <w:bookmarkStart w:id="1" w:name="ksformofsymboticofferlette"/>
      <w:bookmarkEnd w:id="0"/>
      <w:bookmarkEnd w:id="1"/>
      <w:r>
        <w:rPr/>
        <w:drawing>
          <wp:inline distT="0" distB="0" distL="0" distR="0">
            <wp:extent cx="10048875" cy="52006500"/>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jc w:val="center"/>
        <w:rPr>
          <w:color w:val="FFFFFF"/>
          <w:sz w:val="2"/>
        </w:rPr>
      </w:pPr>
      <w:r>
        <w:rPr>
          <w:color w:val="FFFFFF"/>
          <w:sz w:val="2"/>
        </w:rPr>
        <w:t xml:space="preserve">[Form of Offer Letter for Executive Officers] [DATE] [NAME] [ADDRESS] [ADDRESS] [EMAIL ADDRESS] Dear [NAME], Congratulations! On behalf of Symbotic, we are excited to offer you the position of [JOB TITLE] based out of our [LOCATION] office. This position will report to [MANAGER]. Your anticipated start date will be [DATE], or a date as may be mutually agreed by you and [MANAGER]. We feel your background and experience will be a beneficial addition to our team. The terms of your employment are as set forth below. Compensa on You will receive an initial annual base salary of $[AMOUNT], subject to appropriate withholdings and deductions, paid in accordance with Symbotic’s payroll schedule, which is currently bi-weekly payments paid one week in arrears. Incentive Plan You will be eligible to participate in Symbotic’s Short Term Incentive Plan with a target opportunity equal to [AMOUNT]% of your base salary. Under the provisions of this plan, you are eligible for a discretionary bonus that is aligned with both individual and company goals. [Include if applicable] [Incentive pay for fiscal year [CURRENT FISCAL YEAR] will be pro-rated from your start date.] Incentive pay is discretionary, and all employees must be employed in good standing with Symbotic at the time of the incentive payment in order to be eligible. [Include if applicable][Sign On Bonus In apprecia on of your decision to join us, you will receive a sign-on bonus of $[AMOUNT], subject to appropriate withholdings and deduc ons, which will be paid [PERIOD] a er your start date, subject to your con nued employment through the payment date. The bonus is not earned unless and un l you remain ac vely employed for a period of [PERIOD] following payment of the bonus, and the full gross amount of the sign-on bonus paid to you shall be repayable to Symbo c if, prior to the comple on of [PERIOD] of employment with Symbo c, you voluntarily resign without Good Reason (defined below) or are terminated for Cause (defined below).] Equity Awards [Include PSU/LT RSU Award provisions if applicable]The Compensation Committee of Symbotic Inc’s Board of Directors has approved the following equity-based awards (“Equity Awards”) in the form of restricted stock units (“RSUs”)] and performance stock units (“PSUs”)], which will be granted to you on or about [GRANT DATE] (the “Grant Date”), provided that you have commenced employment with Symbotic and remain employed as of such date. The aggregate number of RSUs [and PSUs] that will be granted to you will be determined by dividing $[AMOUNT] by the average closing price per share of Symbotic’s Class A common stock during the 20 trading days immediately prior to, but not including, the Grant Date. [Two-thirds of] [T/t]he Equity Awards will be in the form of RSUs (the “RSU Award”). The RSU Award will vest over [three years, with the first one-third vesting on the one-year anniversary of the Grant Date, and the remaining portion vesting in eight equal quarterly installments thereafter, subject to your continued employment with Symbotic through the applicable vesting date]. [The remaining one- third of the Equity Awards will be in the form of [PSUs (the “PSU Award”)][long-term RSUs (the “LT RSU Award”)]. [The PSU Award will be subject to performance metrics and targets established for the annual PSU awards granted to Symbotic’s executive officers for fiscal year [FISCAL YEAR] and will vest, subject to your continued employment with Symbotic, on the third anniversary of the Grant Date to the extent that the performance vesting conditions of the PSU Award are achieved.] [The LT RSU Award will vest in full on the third anniversary of the Grant Date, subject to your continued employment with Symbotic through the vesting date.] Additional details on vesting [and performance metrics] of your Equity Awards are described in the award agreements for each of the Equity Awards, which you will receive shortly after the Grant Date. The terms of the RSU Award [and [PSU][LT RSU] Award] will be set forth in award agreements that will be provided to you in connection with the grant of the Equity Awards. In the event of any inconsistency between such award agreements and this offer letter, the terms of the award agreements will control. You will also be eligible to participate in Symbotic’s annual equity award program adopted by the Compensation Committee of Symbotic Inc.’s Board of Directors. Your first eligibility for an annual equity award under this program will occur with respect to annual awards granted in fiscal year [FISCAL YEAR]. All awards are subject to approval by the Compensation Committee and are expected to take place annually in the first half of the fiscal year. Award values may vary from year to year, are subject to change without notice and are generally contingent upon such criteria as individual performance, scope of responsibility and company financial performance. The vesting of the awards will be as approved by the Compensation Committee for Symbotic’s annual equity award program. Awards may be subject to your execution of a restrictive covenant agreement, including provisions on non-competition, non-solicitation of employees and customers and confidentiality. [Include if applicable] [Separation Allowance If you are involuntarily separated from Symbotic at any time for any reason other than “Cause,” or if you voluntarily separate from Symbotic for “Good Reason” (together, with a termination other than Cause, an “Involuntary Termination”), you will receive (the “Separation Allowance”): (a) medical benefits continuation for a period ending upon the earlier of (i) [AMOUNT] months from the date of such termination and the (ii) the date upon which you become eligible to receive health insurance benefits from a subsequent employer or otherwise (either through full premium reimbursement under the Consolidated Omnibus Budget Reconciliation Act, as amended (“COBRA”), subject to your timely COBRA election, or through the continuation of benefits as if your employment continued, at Symbotic’s discretion); and (b) [AMOUNT] months of severance at your then-current annual base salary, less applicable taxes and withholdings, paid for a period of [PERIOD] months following termination in accordance with Symbotic’s normal payroll schedule, less applicable taxes and withholdings. The Separation Allowance is contingent on the execution of a general release, confidentiality, non-disparagement, and non-competition agreement satisfactory to Symbotic within 21 days after your termination date (or such later period determined by Symbotic in order to comply with applicable law), and non-revocation of that agreement; provided, that if the consideration period of such an agreement spans two calendar years, the Separation Allowance will in any event begin to be paid in the later year. The cash portion of your Severance Allowance will begin to be payable within two payroll periods after the general release, confidentiality, non-disparagement, and non-competition agreement is fully executed and effective, with the first payment containing any amounts that otherwise would have been paid to you following termination. Further, you acknowledge and agree that the Separation Allowance is in lieu of any payments or benefits under any current or future severance plan of Symbotic, and you therefore waive and agree not to make any claims for such payments or benefits; provided that you will retain the right to any change in control treatment set forth in the terms of any equity grants that is more favorable to you than the terms set forth in this offer letter. “Cause” means: (a) the failure (other than failure resulting from your incapacity due to physical or mental illness) to satisfactorily perform any material duties to Symbotic (including, without limitation, breach of any of Symbotic’s policies) which failure remains uncured or continues after thirty business days’ written notice from Symbotic’s Chief Executive Officer or Board of Directors (or a committee thereof) (or five business days if the breach results from failure to satisfactorily carry out a lawful order or directive of the Chief Executive Officer or Board of Directors of Symbotic), provided that no such notice will be required if such breach is not capable of cure, as reasonably determined by the Board of Directors; (b) a conviction (including any pleas of guilty or nolo contendere) of any felony or crime of moral turpitude; (c) gross misconduct or a conviction (including any pleas of guilty or nolo contendere) of other crime, in either cases that Symbotic reasonably determines either (x) adversely impacts your ability to continue performing services to Symbotic or (y) may adversely impact Symbotic’s business (either financially or reputationally); (d) acts of theft, embezzlement, fraud, dishonesty, misrepresentation or falsification of documents or records involving Symbotic; (e) violation of any law or administrative regulation related to Symbotic’s business or disqualification or bar by any governmental agency from serving in your role to Symbotic; or (f) use of Symbotic’s equipment, facilities or premises to conduct unlawful or unauthorized activities or transactions. “Good Reason” means any of the following actions taken or occur without your consent: (a) a material reduction in your annual base salary or target annual bonus opportunity (expressed as a percentage of annual base salary), in either case other than a reduction that is applied broadly to other senior executives of Symbotic; (b) a material reduction in the scope of your duties and responsibilities, including any adverse change in your title or a requirement that you report directly to anyone other than the Chief Executive Officer of Symbotic (for the sake of clarity, a reduction in the size of Symbotic overall would not constitute a reduction in the scope of your duties); or (c) a Change of Control. In order for a termination to constitute a separation for Good Reason, (i) you must notify Symbotic’s Chief Executive Officer of the circumstances claimed to constitute Good Reason in writing no later than the 60th day after they have arisen or occurred, (ii) Symbotic must not have cured such circumstances within 30 days of receipt of such notice, and (iii) you terminate employment within 120 days of the date on which the circumstances claimed to constitute Good Reason first arose or occurred. “Change of Control” has the meaning set forth in the Second Amended and Restated Limited Liability Company Agreement of Symbotic Holdings LLC, as may be amended or otherwise modified from time to time in accordance with the terms thereof.] [Include if applicable] [Reloca on We are offering you reloca on services as a part of your offer which will be covered under the Symbo c reloca on program. In order to receive these services, the reloca on process must be completed within [PERIOD] of your start date.] Vaca on and Paid Time Off Symbo c follows a flexible me off policy that offers our employees a be er work/life balance and your me off is managed between you and your leader. Benefits Symbo c offers a compe ve employee benefits package, understanding that benefits are a significant aspect of one’s overall compensa on. To meet the needs of our employees, we offer a range of Medical/Dental/Vision plans. Benefits under the Medical/Dental/Vision plans will be effec ve on your date of hire should you elect coverage. Company paid life and accidental death insurance will also begin on this date. You will be eligible to contribute to Symbo c’s 401(k) plan upon your first day of employment. You will be automa cally enrolled into the plan a er 30 days of employment at 5% if no ac on is taken. The company currently provides a 100% company match on contribu ons of 1-3% of your salary and a 50% company match on contribu ons of 4-5% of your salary star ng a er six months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6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descr=""/>
                    <pic:cNvPicPr>
                      <a:picLocks noChangeAspect="1" noChangeArrowheads="1"/>
                    </pic:cNvPicPr>
                  </pic:nvPicPr>
                  <pic:blipFill>
                    <a:blip r:embed="rId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benefits include Tui on Reimbursement, and Health Care and Dependent Care Spending Account. In addi on to the benefits available under the Tui on Reimbursement program, you will be eligible for addi onal tui on reimbursement beyond the caps of the exis ng program, as long as the course load is determined in coordina on with management. These plans may be amended or terminated from me to me at the Company’s sole discre on. Other Terms This offer is con ngent upon your (i) execu on of our employee Inven on, Non-Disclosure and Non-Solicita on Agreement and our employee Non-Compe on Agreement, both which you will find a ached, (ii) successful comple on of a background check and reference check and (iii) comple on of a Form I-9 with required documenta on within three days of your start date. The validity, interpreta on, construc on and performance of this offer le er will be governed by the laws of the Commonwealth of Massachuse s without regard to its conflicts of law principles. No provisions of this offer le er may be amended, modified, or waived unless such amendment or modifica on is agreed to in wri ng signed by you and by a duly authorized officer of Symbo c, and such waiver is set forth in wri ng and signed by the party to be charged. [Include if applicable] [This offer le er is intended to comply with the requirements of Sec on 409A of the Internal Revenue Code of 1986, as amended (the “Code”) (together with the applicable regula ons thereunder, “Sec on 409A”) and will be interpreted in accordance with such intent. For purposes of Sec on 409A, each payment made under this offer le er will be treated as a separate payment. If necessary to comply with the restric on in Sec on 409A(a)(2)(B) of the Code concerning payments to “specified employees” (as defined in Sec on 409A) any payment on account of your separa on from service that would otherwise be due hereunder within six months a er such separa on will nonetheless be delayed un l the first business day of the seventh month following your date of termina on and the first such payment will include the cumula ve amount of any payments that would have been paid prior to such date if not for such restric on. All reimbursements provided under this offer le er will be made or provided in accordance with the requirements of Sec on 409A, including, where applicable, the requirement that (i) any reimbursement is for expenses incurred during your life me,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 on or exchange for another benefit.] Sincerely, Miriam Ort Chief Human Resources &amp; Growth Officer Symbotic LLC We look forward to the opportunity to have you join our team. Please indicate your acceptance of this offer below. _________________________________ ____________________________________ NAME DATE     This letter contains all of the terms of the offer of employment to you and supersedes any other representations or offers made to you in connection with your employment.  Your employment with Symbotic is at-will and is subject to standard employment policies and practices which Symbotic reserves the right to amend at any time with or without notice. Your hours in this position may fluctuate each pay period; the salary amount listed in this offer will compensate you for any and all hours worked. cc: Personnel File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Richard B. Cohen,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March 28, 2026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9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51"/>
        <w:gridCol w:w="951"/>
        <w:gridCol w:w="135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Izilda Martins,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March 28, 2026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8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19"/>
        <w:gridCol w:w="919"/>
        <w:gridCol w:w="131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Izilda Martins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Izilda Martins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March 28, 2026,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29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51"/>
        <w:gridCol w:w="951"/>
        <w:gridCol w:w="135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March 28, 2026, as filed with the Securities and Exchange Commission on the date hereof (the “Report”), I, Izilda Martins, Chief Financial Officer and Treasurer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8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19"/>
        <w:gridCol w:w="919"/>
        <w:gridCol w:w="131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Izilda Martins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Izilda Martins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240/000119312522172211/d369444dex31.htm" TargetMode="External"/><Relationship Id="rId3" Type="http://schemas.openxmlformats.org/officeDocument/2006/relationships/hyperlink" Target="https://www.sec.gov/Archives/edgar/data/1837240/000119312522172211/d369444dex32.htm" TargetMode="External"/><Relationship Id="rId4" Type="http://schemas.openxmlformats.org/officeDocument/2006/relationships/hyperlink" Target="https://www.sec.gov/Archives/edgar/data/1837240/000119312522172211/d369444dex41.htm" TargetMode="External"/><Relationship Id="rId5" Type="http://schemas.openxmlformats.org/officeDocument/2006/relationships/hyperlink" Target="https://www.sec.gov/Archives/edgar/data/1837240/000119312523191837/d518855dex41.htm" TargetMode="External"/><Relationship Id="rId6" Type="http://schemas.openxmlformats.org/officeDocument/2006/relationships/hyperlink" Target="https://www.sec.gov/Archives/edgar/data/1837240/000183724022000049/exhibit42-descriptionofsec.htm" TargetMode="External"/><Relationship Id="rId7" Type="http://schemas.openxmlformats.org/officeDocument/2006/relationships/hyperlink" Target="https://www.sec.gov/Archives/edgar/data/1837240/000119312523191872/d538793dex41.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30388</Words>
  <Characters>168727</Characters>
  <CharactersWithSpaces>197169</CharactersWithSpaces>
  <Paragraphs>3588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formofsymboticofferlette</dc:title>
</cp:coreProperties>
</file>