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153035</wp:posOffset>
            </wp:positionH>
            <wp:positionV relativeFrom="paragraph">
              <wp:posOffset>593725</wp:posOffset>
            </wp:positionV>
            <wp:extent cx="706056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0565" cy="12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4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8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6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344" w:lineRule="exact"/>
        <w:rPr>
          <w:sz w:val="24"/>
          <w:szCs w:val="24"/>
          <w:color w:val="auto"/>
        </w:rPr>
      </w:pPr>
    </w:p>
    <w:p>
      <w:pPr>
        <w:ind w:left="580" w:hanging="567"/>
        <w:spacing w:after="0"/>
        <w:tabs>
          <w:tab w:leader="none" w:pos="58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00" w:lineRule="exact"/>
        <w:rPr>
          <w:sz w:val="24"/>
          <w:szCs w:val="24"/>
          <w:color w:val="auto"/>
        </w:rPr>
      </w:pPr>
    </w:p>
    <w:p>
      <w:pPr>
        <w:spacing w:after="0" w:line="335" w:lineRule="exact"/>
        <w:rPr>
          <w:sz w:val="24"/>
          <w:szCs w:val="24"/>
          <w:color w:val="auto"/>
        </w:rPr>
      </w:pPr>
    </w:p>
    <w:p>
      <w:pPr>
        <w:ind w:left="580" w:hanging="567"/>
        <w:spacing w:after="0"/>
        <w:tabs>
          <w:tab w:leader="none" w:pos="58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34" w:lineRule="exact"/>
        <w:rPr>
          <w:sz w:val="24"/>
          <w:szCs w:val="24"/>
          <w:color w:val="auto"/>
        </w:rPr>
      </w:pPr>
    </w:p>
    <w:p>
      <w:pPr>
        <w:ind w:left="600"/>
        <w:spacing w:after="0"/>
        <w:tabs>
          <w:tab w:leader="none" w:pos="212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6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Commission file number 001-40175</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SYMBOTIC INC.</w:t>
      </w:r>
    </w:p>
    <w:p>
      <w:pPr>
        <w:spacing w:after="0" w:line="6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ectPr>
          <w:pgSz w:w="11900" w:h="16838" w:orient="portrait"/>
          <w:cols w:equalWidth="0" w:num="1">
            <w:col w:w="11320"/>
          </w:cols>
          <w:pgMar w:left="300" w:top="217" w:right="279" w:bottom="1440" w:gutter="0" w:footer="0" w:header="0"/>
        </w:sectPr>
      </w:pPr>
    </w:p>
    <w:p>
      <w:pPr>
        <w:spacing w:after="0" w:line="110"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98-1572401</w:t>
      </w:r>
    </w:p>
    <w:p>
      <w:pPr>
        <w:spacing w:after="0" w:line="90" w:lineRule="exact"/>
        <w:rPr>
          <w:sz w:val="24"/>
          <w:szCs w:val="24"/>
          <w:color w:val="auto"/>
        </w:rPr>
      </w:pPr>
    </w:p>
    <w:p>
      <w:pPr>
        <w:sectPr>
          <w:pgSz w:w="11900" w:h="16838" w:orient="portrait"/>
          <w:cols w:equalWidth="0" w:num="2">
            <w:col w:w="7540" w:space="720"/>
            <w:col w:w="3060"/>
          </w:cols>
          <w:pgMar w:left="300" w:top="217" w:right="2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200" w:lineRule="exact"/>
        <w:rPr>
          <w:sz w:val="24"/>
          <w:szCs w:val="24"/>
          <w:color w:val="auto"/>
        </w:rPr>
      </w:pPr>
    </w:p>
    <w:p>
      <w:pPr>
        <w:sectPr>
          <w:pgSz w:w="11900" w:h="16838" w:orient="portrait"/>
          <w:cols w:equalWidth="0" w:num="2">
            <w:col w:w="7060" w:space="720"/>
            <w:col w:w="3540"/>
          </w:cols>
          <w:pgMar w:left="300" w:top="217" w:right="279" w:bottom="1440" w:gutter="0" w:footer="0" w:header="0"/>
          <w:type w:val="continuous"/>
        </w:sectPr>
      </w:pPr>
    </w:p>
    <w:p>
      <w:pPr>
        <w:spacing w:after="0" w:line="60"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200 Research Drive</w:t>
      </w:r>
    </w:p>
    <w:p>
      <w:pPr>
        <w:spacing w:after="0" w:line="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Wilmington, MA 01887</w:t>
      </w:r>
    </w:p>
    <w:p>
      <w:pPr>
        <w:spacing w:after="0" w:line="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(978) 284-2800</w:t>
      </w:r>
    </w:p>
    <w:p>
      <w:pPr>
        <w:spacing w:after="0" w:line="3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36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93" w:lineRule="exact"/>
        <w:rPr>
          <w:sz w:val="24"/>
          <w:szCs w:val="24"/>
          <w:color w:val="auto"/>
        </w:rPr>
      </w:pPr>
    </w:p>
    <w:tbl>
      <w:tblPr>
        <w:tblLayout w:type="fixed"/>
        <w:tblInd w:w="250" w:type="dxa"/>
        <w:tblCellMar>
          <w:top w:w="0" w:type="dxa"/>
          <w:left w:w="0" w:type="dxa"/>
          <w:bottom w:w="0" w:type="dxa"/>
          <w:right w:w="0" w:type="dxa"/>
        </w:tblCellMar>
      </w:tblPr>
      <w:tr>
        <w:trPr>
          <w:trHeight w:val="171"/>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Name of each exchange on which registered</w:t>
            </w:r>
          </w:p>
        </w:tc>
      </w:tr>
      <w:tr>
        <w:trPr>
          <w:trHeight w:val="160"/>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Class A common stock, par value $0.0001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SYM</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The Nasdaq Stock Market LLC</w:t>
            </w:r>
          </w:p>
        </w:tc>
      </w:tr>
    </w:tbl>
    <w:p>
      <w:pPr>
        <w:spacing w:after="0" w:line="30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240" w:lineRule="exact"/>
        <w:rPr>
          <w:sz w:val="24"/>
          <w:szCs w:val="24"/>
          <w:color w:val="auto"/>
        </w:rPr>
      </w:pPr>
    </w:p>
    <w:p>
      <w:pPr>
        <w:ind w:left="24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8" w:lineRule="exact"/>
        <w:rPr>
          <w:sz w:val="24"/>
          <w:szCs w:val="24"/>
          <w:color w:val="auto"/>
        </w:rPr>
      </w:pPr>
    </w:p>
    <w:p>
      <w:pPr>
        <w:ind w:left="24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No </w:t>
      </w:r>
      <w:r>
        <w:rPr>
          <w:rFonts w:ascii="MS PGothic" w:cs="MS PGothic" w:eastAsia="MS PGothic" w:hAnsi="MS PGothic"/>
          <w:sz w:val="11"/>
          <w:szCs w:val="11"/>
          <w:color w:val="auto"/>
        </w:rPr>
        <w:t>☑</w:t>
      </w:r>
    </w:p>
    <w:p>
      <w:pPr>
        <w:spacing w:after="0" w:line="74" w:lineRule="exact"/>
        <w:rPr>
          <w:sz w:val="24"/>
          <w:szCs w:val="24"/>
          <w:color w:val="auto"/>
        </w:rPr>
      </w:pPr>
    </w:p>
    <w:p>
      <w:pPr>
        <w:ind w:right="180" w:firstLine="240"/>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26" w:lineRule="exact"/>
        <w:rPr>
          <w:sz w:val="24"/>
          <w:szCs w:val="24"/>
          <w:color w:val="auto"/>
        </w:rPr>
      </w:pPr>
    </w:p>
    <w:p>
      <w:pPr>
        <w:ind w:right="100" w:firstLine="240"/>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26" w:lineRule="exact"/>
        <w:rPr>
          <w:sz w:val="24"/>
          <w:szCs w:val="24"/>
          <w:color w:val="auto"/>
        </w:rPr>
      </w:pPr>
    </w:p>
    <w:p>
      <w:pPr>
        <w:ind w:right="40" w:firstLine="240"/>
        <w:spacing w:after="0" w:line="27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643255</wp:posOffset>
            </wp:positionV>
            <wp:extent cx="719328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20"/>
          </w:cols>
          <w:pgMar w:left="300" w:top="217" w:right="279" w:bottom="1440" w:gutter="0" w:footer="0" w:header="0"/>
          <w:type w:val="continuous"/>
        </w:sectPr>
      </w:pPr>
    </w:p>
    <w:bookmarkStart w:id="1" w:name="page2"/>
    <w:bookmarkEnd w:id="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14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6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20" w:type="dxa"/>
            <w:vAlign w:val="bottom"/>
          </w:tcPr>
          <w:p>
            <w:pPr>
              <w:ind w:left="3000"/>
              <w:spacing w:after="0"/>
              <w:rPr>
                <w:sz w:val="20"/>
                <w:szCs w:val="20"/>
                <w:color w:val="auto"/>
              </w:rPr>
            </w:pPr>
            <w:r>
              <w:rPr>
                <w:rFonts w:ascii="Times New Roman" w:cs="Times New Roman" w:eastAsia="Times New Roman" w:hAnsi="Times New Roman"/>
                <w:sz w:val="11"/>
                <w:szCs w:val="11"/>
                <w:color w:val="auto"/>
              </w:rPr>
              <w:t>Accelerated filer</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0"/>
        </w:trPr>
        <w:tc>
          <w:tcPr>
            <w:tcW w:w="14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6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20" w:type="dxa"/>
            <w:vAlign w:val="bottom"/>
          </w:tcPr>
          <w:p>
            <w:pPr>
              <w:ind w:left="30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0"/>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920" w:type="dxa"/>
            <w:vAlign w:val="bottom"/>
          </w:tcPr>
          <w:p>
            <w:pPr>
              <w:ind w:left="3000"/>
              <w:spacing w:after="0"/>
              <w:rPr>
                <w:sz w:val="20"/>
                <w:szCs w:val="20"/>
                <w:color w:val="auto"/>
              </w:rPr>
            </w:pPr>
            <w:r>
              <w:rPr>
                <w:rFonts w:ascii="Times New Roman" w:cs="Times New Roman" w:eastAsia="Times New Roman" w:hAnsi="Times New Roman"/>
                <w:sz w:val="11"/>
                <w:szCs w:val="11"/>
                <w:color w:val="auto"/>
              </w:rPr>
              <w:t>Emerging growth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1" w:lineRule="exact"/>
        <w:rPr>
          <w:sz w:val="20"/>
          <w:szCs w:val="20"/>
          <w:color w:val="auto"/>
        </w:rPr>
      </w:pPr>
    </w:p>
    <w:p>
      <w:pPr>
        <w:ind w:left="24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89" w:lineRule="exact"/>
        <w:rPr>
          <w:sz w:val="20"/>
          <w:szCs w:val="20"/>
          <w:color w:val="auto"/>
        </w:rPr>
      </w:pPr>
    </w:p>
    <w:p>
      <w:pPr>
        <w:ind w:right="60" w:firstLine="240"/>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0"/>
          <w:szCs w:val="20"/>
          <w:color w:val="auto"/>
        </w:rPr>
      </w:pPr>
    </w:p>
    <w:p>
      <w:pPr>
        <w:ind w:left="24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59" w:lineRule="exact"/>
        <w:rPr>
          <w:sz w:val="20"/>
          <w:szCs w:val="20"/>
          <w:color w:val="auto"/>
        </w:rPr>
      </w:pPr>
    </w:p>
    <w:p>
      <w:pPr>
        <w:ind w:firstLine="240"/>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0"/>
          <w:szCs w:val="20"/>
          <w:color w:val="auto"/>
        </w:rPr>
      </w:pPr>
    </w:p>
    <w:p>
      <w:pPr>
        <w:ind w:left="240"/>
        <w:spacing w:after="0" w:line="127" w:lineRule="exact"/>
        <w:tabs>
          <w:tab w:leader="none" w:pos="4760" w:val="left"/>
          <w:tab w:leader="none" w:pos="51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68" w:lineRule="exact"/>
        <w:rPr>
          <w:sz w:val="20"/>
          <w:szCs w:val="20"/>
          <w:color w:val="auto"/>
        </w:rPr>
      </w:pPr>
    </w:p>
    <w:p>
      <w:pPr>
        <w:ind w:firstLine="240"/>
        <w:spacing w:after="0" w:line="271" w:lineRule="auto"/>
        <w:rPr>
          <w:sz w:val="20"/>
          <w:szCs w:val="20"/>
          <w:color w:val="auto"/>
        </w:rPr>
      </w:pPr>
      <w:r>
        <w:rPr>
          <w:rFonts w:ascii="Times New Roman" w:cs="Times New Roman" w:eastAsia="Times New Roman" w:hAnsi="Times New Roman"/>
          <w:sz w:val="11"/>
          <w:szCs w:val="11"/>
          <w:color w:val="auto"/>
        </w:rPr>
        <w:t>As of March 30, 2024, the last business day of the Registrant’s most recently completed second fiscal quarter, the aggregate market value of the common equity of the registrant held by non-affiliates was approximately $1.9 billion (based on the closing sales price of the Class A common stock on March 28, 2024 of $45.00).</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As of December 2, 2024, the following shares of common stock were outstanding:</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106,352,609 shares of Class A common stock, par value $0.0001 per share</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76,757,485 shares of Class V-1 common stock, par value $0.0001 per share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404,309,196 shares of Class V-3 common stock, par value $0.0001 per share</w:t>
      </w:r>
    </w:p>
    <w:p>
      <w:pPr>
        <w:spacing w:after="0" w:line="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56" w:lineRule="exact"/>
        <w:rPr>
          <w:sz w:val="20"/>
          <w:szCs w:val="20"/>
          <w:color w:val="auto"/>
        </w:rPr>
      </w:pPr>
    </w:p>
    <w:p>
      <w:pPr>
        <w:ind w:right="40" w:firstLine="240"/>
        <w:spacing w:after="0" w:line="271" w:lineRule="auto"/>
        <w:rPr>
          <w:sz w:val="20"/>
          <w:szCs w:val="20"/>
          <w:color w:val="auto"/>
        </w:rPr>
      </w:pPr>
      <w:r>
        <w:rPr>
          <w:rFonts w:ascii="Times New Roman" w:cs="Times New Roman" w:eastAsia="Times New Roman" w:hAnsi="Times New Roman"/>
          <w:sz w:val="11"/>
          <w:szCs w:val="11"/>
          <w:color w:val="auto"/>
        </w:rPr>
        <w:t>The registrant intends to file a definitive proxy statement pursuant to Regulation 14A within 120 days of the end of the fiscal year ended September 28, 2024. Portions of such proxy statement are incorporated by reference into Items 10, 11, 12, 13, and 14 of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1018540</wp:posOffset>
            </wp:positionV>
            <wp:extent cx="719328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3280" cy="38100"/>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160020</wp:posOffset>
            </wp:positionV>
            <wp:extent cx="70605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0565" cy="6350"/>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179070</wp:posOffset>
            </wp:positionV>
            <wp:extent cx="70605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0565" cy="635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2" w:name="page3"/>
    <w:bookmarkEnd w:id="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540" w:type="dxa"/>
            <w:vAlign w:val="bottom"/>
            <w:gridSpan w:val="12"/>
          </w:tcPr>
          <w:p>
            <w:pPr>
              <w:jc w:val="center"/>
              <w:ind w:right="4320"/>
              <w:spacing w:after="0"/>
              <w:rPr>
                <w:sz w:val="20"/>
                <w:szCs w:val="20"/>
                <w:color w:val="auto"/>
              </w:rPr>
            </w:pPr>
            <w:r>
              <w:rPr>
                <w:rFonts w:ascii="Times New Roman" w:cs="Times New Roman" w:eastAsia="Times New Roman" w:hAnsi="Times New Roman"/>
                <w:sz w:val="13"/>
                <w:szCs w:val="13"/>
                <w:b w:val="1"/>
                <w:bCs w:val="1"/>
                <w:color w:val="auto"/>
              </w:rPr>
              <w:t>Symbotic Inc.</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40" w:type="dxa"/>
            <w:vAlign w:val="bottom"/>
            <w:gridSpan w:val="12"/>
          </w:tcPr>
          <w:p>
            <w:pPr>
              <w:jc w:val="center"/>
              <w:ind w:right="43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0"/>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0"/>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60" w:type="dxa"/>
            <w:vAlign w:val="bottom"/>
            <w:gridSpan w:val="10"/>
            <w:shd w:val="clear" w:color="auto" w:fill="CCEEFF"/>
          </w:tcPr>
          <w:p>
            <w:pPr>
              <w:jc w:val="center"/>
              <w:ind w:right="4840"/>
              <w:spacing w:after="0" w:line="131" w:lineRule="exact"/>
              <w:rPr>
                <w:sz w:val="20"/>
                <w:szCs w:val="20"/>
                <w:color w:val="auto"/>
              </w:rPr>
            </w:pPr>
            <w:r>
              <w:rPr>
                <w:rFonts w:ascii="Times New Roman" w:cs="Times New Roman" w:eastAsia="Times New Roman" w:hAnsi="Times New Roman"/>
                <w:sz w:val="13"/>
                <w:szCs w:val="13"/>
                <w:b w:val="1"/>
                <w:bCs w:val="1"/>
                <w:color w:val="0000FF"/>
              </w:rPr>
              <w:t>Part I</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0"/>
        </w:trPr>
        <w:tc>
          <w:tcPr>
            <w:tcW w:w="2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Item 1.</w:t>
            </w:r>
          </w:p>
        </w:tc>
        <w:tc>
          <w:tcPr>
            <w:tcW w:w="4900" w:type="dxa"/>
            <w:vAlign w:val="bottom"/>
            <w:tcBorders>
              <w:top w:val="single" w:sz="8" w:color="CCEEFF"/>
            </w:tcBorders>
            <w:gridSpan w:val="20"/>
          </w:tcPr>
          <w:p>
            <w:pPr>
              <w:ind w:left="960"/>
              <w:spacing w:after="0"/>
              <w:rPr>
                <w:sz w:val="20"/>
                <w:szCs w:val="20"/>
                <w:color w:val="auto"/>
              </w:rPr>
            </w:pPr>
            <w:r>
              <w:rPr>
                <w:rFonts w:ascii="Times New Roman" w:cs="Times New Roman" w:eastAsia="Times New Roman" w:hAnsi="Times New Roman"/>
                <w:sz w:val="13"/>
                <w:szCs w:val="13"/>
                <w:color w:val="0000FF"/>
              </w:rPr>
              <w:t>Business</w:t>
            </w:r>
          </w:p>
        </w:tc>
        <w:tc>
          <w:tcPr>
            <w:tcW w:w="340" w:type="dxa"/>
            <w:vAlign w:val="bottom"/>
            <w:tcBorders>
              <w:top w:val="single" w:sz="8" w:color="0000FF"/>
            </w:tcBorders>
            <w:gridSpan w:val="2"/>
          </w:tcPr>
          <w:p>
            <w:pPr>
              <w:spacing w:after="0"/>
              <w:rPr>
                <w:sz w:val="13"/>
                <w:szCs w:val="13"/>
                <w:color w:val="auto"/>
              </w:rPr>
            </w:pPr>
          </w:p>
        </w:tc>
        <w:tc>
          <w:tcPr>
            <w:tcW w:w="4880" w:type="dxa"/>
            <w:vAlign w:val="bottom"/>
            <w:tcBorders>
              <w:top w:val="single" w:sz="8" w:color="CCEEFF"/>
            </w:tcBorders>
            <w:gridSpan w:val="7"/>
          </w:tcPr>
          <w:p>
            <w:pPr>
              <w:spacing w:after="0"/>
              <w:rPr>
                <w:sz w:val="13"/>
                <w:szCs w:val="13"/>
                <w:color w:val="auto"/>
              </w:rPr>
            </w:pPr>
          </w:p>
        </w:tc>
        <w:tc>
          <w:tcPr>
            <w:tcW w:w="58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3"/>
                <w:szCs w:val="13"/>
                <w:color w:val="0000FF"/>
              </w:rPr>
              <w:t>3</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1A.</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Risk Factors</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18</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Unresolved Staff Comments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45</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1C.</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Cybersecurity</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45</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Properties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46</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3.</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Legal Proceedings</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46</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Mine Safety Disclosures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47</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0000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0000FF"/>
              </w:rPr>
              <w:t>Part II</w:t>
            </w:r>
          </w:p>
        </w:tc>
        <w:tc>
          <w:tcPr>
            <w:tcW w:w="4860" w:type="dxa"/>
            <w:vAlign w:val="bottom"/>
            <w:tcBorders>
              <w:bottom w:val="single" w:sz="8" w:color="CCEEFF"/>
            </w:tcBorders>
            <w:gridSpan w:val="6"/>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5.</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Market for Registrant’s Common Equity, Related Stockholder Matters and Issuer Purchases of Equity Securities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48</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6.</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[Reserved]</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49</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Management’s Discussion and Analysis of Financial Condition and Results of Operations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49</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7A.</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63</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Financial Statements and Supplementary Data</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65</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9.</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Changes in and Disagreements With Accountants on Accounting and Financial Disclosures</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116</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Controls and Procedures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116</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9B.</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Other Information</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118</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9C.</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90"/>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80" w:type="dxa"/>
            <w:vAlign w:val="bottom"/>
            <w:gridSpan w:val="11"/>
            <w:shd w:val="clear" w:color="auto" w:fill="CCEEFF"/>
          </w:tcPr>
          <w:p>
            <w:pPr>
              <w:jc w:val="center"/>
              <w:ind w:right="4840"/>
              <w:spacing w:after="0"/>
              <w:rPr>
                <w:sz w:val="20"/>
                <w:szCs w:val="20"/>
                <w:color w:val="auto"/>
              </w:rPr>
            </w:pPr>
            <w:r>
              <w:rPr>
                <w:rFonts w:ascii="Times New Roman" w:cs="Times New Roman" w:eastAsia="Times New Roman" w:hAnsi="Times New Roman"/>
                <w:sz w:val="13"/>
                <w:szCs w:val="13"/>
                <w:b w:val="1"/>
                <w:bCs w:val="1"/>
                <w:color w:val="0000FF"/>
              </w:rPr>
              <w:t>Part III</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50"/>
        </w:trPr>
        <w:tc>
          <w:tcPr>
            <w:tcW w:w="2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Item 10.</w:t>
            </w:r>
          </w:p>
        </w:tc>
        <w:tc>
          <w:tcPr>
            <w:tcW w:w="4840" w:type="dxa"/>
            <w:vAlign w:val="bottom"/>
            <w:tcBorders>
              <w:top w:val="single" w:sz="8" w:color="CCEEFF"/>
            </w:tcBorders>
            <w:gridSpan w:val="18"/>
          </w:tcPr>
          <w:p>
            <w:pPr>
              <w:ind w:left="960"/>
              <w:spacing w:after="0"/>
              <w:rPr>
                <w:sz w:val="20"/>
                <w:szCs w:val="20"/>
                <w:color w:val="auto"/>
              </w:rPr>
            </w:pPr>
            <w:r>
              <w:rPr>
                <w:rFonts w:ascii="Times New Roman" w:cs="Times New Roman" w:eastAsia="Times New Roman" w:hAnsi="Times New Roman"/>
                <w:sz w:val="13"/>
                <w:szCs w:val="13"/>
                <w:color w:val="0000FF"/>
              </w:rPr>
              <w:t>Directors, Executive Officers and Corporate Governance</w:t>
            </w:r>
          </w:p>
        </w:tc>
        <w:tc>
          <w:tcPr>
            <w:tcW w:w="440" w:type="dxa"/>
            <w:vAlign w:val="bottom"/>
            <w:tcBorders>
              <w:top w:val="single" w:sz="8" w:color="0000FF"/>
            </w:tcBorders>
            <w:gridSpan w:val="6"/>
          </w:tcPr>
          <w:p>
            <w:pPr>
              <w:spacing w:after="0"/>
              <w:rPr>
                <w:sz w:val="13"/>
                <w:szCs w:val="13"/>
                <w:color w:val="auto"/>
              </w:rPr>
            </w:pPr>
          </w:p>
        </w:tc>
        <w:tc>
          <w:tcPr>
            <w:tcW w:w="4840" w:type="dxa"/>
            <w:vAlign w:val="bottom"/>
            <w:tcBorders>
              <w:top w:val="single" w:sz="8" w:color="CCEEFF"/>
            </w:tcBorders>
            <w:gridSpan w:val="5"/>
          </w:tcPr>
          <w:p>
            <w:pPr>
              <w:spacing w:after="0"/>
              <w:rPr>
                <w:sz w:val="13"/>
                <w:szCs w:val="13"/>
                <w:color w:val="auto"/>
              </w:rPr>
            </w:pPr>
          </w:p>
        </w:tc>
        <w:tc>
          <w:tcPr>
            <w:tcW w:w="58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11.</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Executive Compensation</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Security Ownership of Certain Beneficial Owner and Management and Related Stockholder Matters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13.</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Certain Relationships and Related Transactions, and Director Independence</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3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10120" w:type="dxa"/>
            <w:vAlign w:val="bottom"/>
            <w:gridSpan w:val="29"/>
          </w:tcPr>
          <w:p>
            <w:pPr>
              <w:ind w:left="960"/>
              <w:spacing w:after="0"/>
              <w:rPr>
                <w:sz w:val="20"/>
                <w:szCs w:val="20"/>
                <w:color w:val="auto"/>
              </w:rPr>
            </w:pPr>
            <w:r>
              <w:rPr>
                <w:rFonts w:ascii="Times New Roman" w:cs="Times New Roman" w:eastAsia="Times New Roman" w:hAnsi="Times New Roman"/>
                <w:sz w:val="13"/>
                <w:szCs w:val="13"/>
                <w:color w:val="0000FF"/>
              </w:rPr>
              <w:t>Principal Accounting Fees and Services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90"/>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80" w:type="dxa"/>
            <w:vAlign w:val="bottom"/>
            <w:gridSpan w:val="11"/>
            <w:shd w:val="clear" w:color="auto" w:fill="CCEEFF"/>
          </w:tcPr>
          <w:p>
            <w:pPr>
              <w:jc w:val="center"/>
              <w:ind w:right="4840"/>
              <w:spacing w:after="0"/>
              <w:rPr>
                <w:sz w:val="20"/>
                <w:szCs w:val="20"/>
                <w:color w:val="auto"/>
              </w:rPr>
            </w:pPr>
            <w:r>
              <w:rPr>
                <w:rFonts w:ascii="Times New Roman" w:cs="Times New Roman" w:eastAsia="Times New Roman" w:hAnsi="Times New Roman"/>
                <w:sz w:val="13"/>
                <w:szCs w:val="13"/>
                <w:b w:val="1"/>
                <w:bCs w:val="1"/>
                <w:color w:val="0000FF"/>
              </w:rPr>
              <w:t>Part IV</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50"/>
        </w:trPr>
        <w:tc>
          <w:tcPr>
            <w:tcW w:w="2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Item 15.</w:t>
            </w:r>
          </w:p>
        </w:tc>
        <w:tc>
          <w:tcPr>
            <w:tcW w:w="4840" w:type="dxa"/>
            <w:vAlign w:val="bottom"/>
            <w:tcBorders>
              <w:top w:val="single" w:sz="8" w:color="CCEEFF"/>
            </w:tcBorders>
            <w:gridSpan w:val="18"/>
          </w:tcPr>
          <w:p>
            <w:pPr>
              <w:ind w:left="960"/>
              <w:spacing w:after="0"/>
              <w:rPr>
                <w:sz w:val="20"/>
                <w:szCs w:val="20"/>
                <w:color w:val="auto"/>
              </w:rPr>
            </w:pPr>
            <w:r>
              <w:rPr>
                <w:rFonts w:ascii="Times New Roman" w:cs="Times New Roman" w:eastAsia="Times New Roman" w:hAnsi="Times New Roman"/>
                <w:sz w:val="13"/>
                <w:szCs w:val="13"/>
                <w:color w:val="0000FF"/>
              </w:rPr>
              <w:t>Exhibits, Financial Statement Schedules</w:t>
            </w:r>
          </w:p>
        </w:tc>
        <w:tc>
          <w:tcPr>
            <w:tcW w:w="440" w:type="dxa"/>
            <w:vAlign w:val="bottom"/>
            <w:tcBorders>
              <w:top w:val="single" w:sz="8" w:color="0000FF"/>
            </w:tcBorders>
            <w:gridSpan w:val="6"/>
          </w:tcPr>
          <w:p>
            <w:pPr>
              <w:spacing w:after="0"/>
              <w:rPr>
                <w:sz w:val="13"/>
                <w:szCs w:val="13"/>
                <w:color w:val="auto"/>
              </w:rPr>
            </w:pPr>
          </w:p>
        </w:tc>
        <w:tc>
          <w:tcPr>
            <w:tcW w:w="4840" w:type="dxa"/>
            <w:vAlign w:val="bottom"/>
            <w:tcBorders>
              <w:top w:val="single" w:sz="8" w:color="CCEEFF"/>
            </w:tcBorders>
            <w:gridSpan w:val="5"/>
          </w:tcPr>
          <w:p>
            <w:pPr>
              <w:spacing w:after="0"/>
              <w:rPr>
                <w:sz w:val="13"/>
                <w:szCs w:val="13"/>
                <w:color w:val="auto"/>
              </w:rPr>
            </w:pPr>
          </w:p>
        </w:tc>
        <w:tc>
          <w:tcPr>
            <w:tcW w:w="580" w:type="dxa"/>
            <w:vAlign w:val="bottom"/>
            <w:tcBorders>
              <w:top w:val="single" w:sz="8" w:color="CCEEFF"/>
            </w:tcBorders>
            <w:gridSpan w:val="4"/>
          </w:tcPr>
          <w:p>
            <w:pPr>
              <w:jc w:val="right"/>
              <w:spacing w:after="0"/>
              <w:rPr>
                <w:sz w:val="20"/>
                <w:szCs w:val="20"/>
                <w:color w:val="auto"/>
              </w:rPr>
            </w:pPr>
            <w:r>
              <w:rPr>
                <w:rFonts w:ascii="Times New Roman" w:cs="Times New Roman" w:eastAsia="Times New Roman" w:hAnsi="Times New Roman"/>
                <w:sz w:val="13"/>
                <w:szCs w:val="13"/>
                <w:color w:val="0000FF"/>
              </w:rPr>
              <w:t>119</w:t>
            </w:r>
          </w:p>
        </w:tc>
      </w:tr>
      <w:tr>
        <w:trPr>
          <w:trHeight w:val="40"/>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r>
      <w:tr>
        <w:trPr>
          <w:trHeight w:val="190"/>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Item 16.</w:t>
            </w:r>
          </w:p>
        </w:tc>
        <w:tc>
          <w:tcPr>
            <w:tcW w:w="10120" w:type="dxa"/>
            <w:vAlign w:val="bottom"/>
            <w:gridSpan w:val="29"/>
            <w:shd w:val="clear" w:color="auto" w:fill="CCEEFF"/>
          </w:tcPr>
          <w:p>
            <w:pPr>
              <w:ind w:left="960"/>
              <w:spacing w:after="0"/>
              <w:rPr>
                <w:sz w:val="20"/>
                <w:szCs w:val="20"/>
                <w:color w:val="auto"/>
              </w:rPr>
            </w:pPr>
            <w:r>
              <w:rPr>
                <w:rFonts w:ascii="Times New Roman" w:cs="Times New Roman" w:eastAsia="Times New Roman" w:hAnsi="Times New Roman"/>
                <w:sz w:val="13"/>
                <w:szCs w:val="13"/>
                <w:color w:val="0000FF"/>
              </w:rPr>
              <w:t>Form 10-K Summary</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122</w:t>
            </w:r>
          </w:p>
        </w:tc>
      </w:tr>
      <w:tr>
        <w:trPr>
          <w:trHeight w:val="150"/>
        </w:trPr>
        <w:tc>
          <w:tcPr>
            <w:tcW w:w="20" w:type="dxa"/>
            <w:vAlign w:val="bottom"/>
            <w:tcBorders>
              <w:top w:val="single" w:sz="8" w:color="CCEEFF"/>
            </w:tcBorders>
          </w:tcPr>
          <w:p>
            <w:pPr>
              <w:spacing w:after="0"/>
              <w:rPr>
                <w:sz w:val="13"/>
                <w:szCs w:val="13"/>
                <w:color w:val="auto"/>
              </w:rPr>
            </w:pPr>
          </w:p>
        </w:tc>
        <w:tc>
          <w:tcPr>
            <w:tcW w:w="560" w:type="dxa"/>
            <w:vAlign w:val="bottom"/>
            <w:tcBorders>
              <w:top w:val="single" w:sz="8" w:color="CCEE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8"/>
              </w:rPr>
              <w:t>Signatures</w:t>
            </w:r>
          </w:p>
        </w:tc>
        <w:tc>
          <w:tcPr>
            <w:tcW w:w="960" w:type="dxa"/>
            <w:vAlign w:val="bottom"/>
            <w:tcBorders>
              <w:top w:val="single" w:sz="8" w:color="CCEE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31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 w:name="page4"/>
    <w:bookmarkEnd w:id="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240"/>
        <w:spacing w:after="0" w:line="274" w:lineRule="auto"/>
        <w:rPr>
          <w:sz w:val="20"/>
          <w:szCs w:val="20"/>
          <w:color w:val="auto"/>
        </w:rPr>
      </w:pPr>
      <w:r>
        <w:rPr>
          <w:rFonts w:ascii="Times New Roman" w:cs="Times New Roman" w:eastAsia="Times New Roman" w:hAnsi="Times New Roman"/>
          <w:sz w:val="13"/>
          <w:szCs w:val="13"/>
          <w:i w:val="1"/>
          <w:iCs w:val="1"/>
          <w:color w:val="auto"/>
        </w:rPr>
        <w:t>As used in this Annual Report on Form 10-K, unless otherwise indicated or the context otherwise requires, references to “we,” “us,” “our,” “Symbotic” and the “Company” refer to Symbotic Inc., a Delaware corporation, and its consolidated subsidiaries following the effective time of the business combination between SVF and Symbotic (the “Business Combination”) pursuant to that certain Agreement and Plan of Merger, dated December 12, 2021 (the “Merger Agreement”), by and among SVF, Warehouse Technologies LLC, Symbotic Holdings LLC and Saturn Acquisition (DE) Corp. that closed on June 7, 2022.</w:t>
      </w:r>
    </w:p>
    <w:p>
      <w:pPr>
        <w:spacing w:after="0" w:line="3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CAUTIONARY NOTE ON FORWARD-LOOKING STATEMENTS</w:t>
      </w:r>
    </w:p>
    <w:p>
      <w:pPr>
        <w:spacing w:after="0" w:line="55" w:lineRule="exact"/>
        <w:rPr>
          <w:sz w:val="20"/>
          <w:szCs w:val="20"/>
          <w:color w:val="auto"/>
        </w:rPr>
      </w:pPr>
    </w:p>
    <w:p>
      <w:pPr>
        <w:ind w:right="60" w:firstLine="240"/>
        <w:spacing w:after="0" w:line="289" w:lineRule="auto"/>
        <w:rPr>
          <w:sz w:val="20"/>
          <w:szCs w:val="20"/>
          <w:color w:val="auto"/>
        </w:rPr>
      </w:pPr>
      <w:r>
        <w:rPr>
          <w:rFonts w:ascii="Times New Roman" w:cs="Times New Roman" w:eastAsia="Times New Roman" w:hAnsi="Times New Roman"/>
          <w:sz w:val="13"/>
          <w:szCs w:val="13"/>
          <w:color w:val="auto"/>
        </w:rPr>
        <w:t>This Annual Report on Form 10-K contains forward-looking statements within the meaning of the Private Securities Litigation Reform Act of 1995, Section 27A of the Securities Act of 1933, as amended, and Section 21E of the Securities Exchange Act of 1934, as amended.</w:t>
      </w:r>
    </w:p>
    <w:p>
      <w:pPr>
        <w:spacing w:after="0" w:line="1" w:lineRule="exact"/>
        <w:rPr>
          <w:sz w:val="20"/>
          <w:szCs w:val="20"/>
          <w:color w:val="auto"/>
        </w:rPr>
      </w:pPr>
    </w:p>
    <w:p>
      <w:pPr>
        <w:ind w:right="260" w:firstLine="240"/>
        <w:spacing w:after="0" w:line="289" w:lineRule="auto"/>
        <w:rPr>
          <w:sz w:val="20"/>
          <w:szCs w:val="20"/>
          <w:color w:val="auto"/>
        </w:rPr>
      </w:pPr>
      <w:r>
        <w:rPr>
          <w:rFonts w:ascii="Times New Roman" w:cs="Times New Roman" w:eastAsia="Times New Roman" w:hAnsi="Times New Roman"/>
          <w:sz w:val="13"/>
          <w:szCs w:val="13"/>
          <w:color w:val="auto"/>
        </w:rPr>
        <w:t>Generally, statements that are not historical facts are forward-looking statements. These statements may be preceded by, followed by or include the words “believes,” “estimates,” “expects,” “projects,” “forecasts,” “may,” “will,” “should,” “seeks,” “plans,” “scheduled,” “anticipates,” or “intends” or similar expressions.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Forward-looking statements contained in this Annual Report on Form 10-K include, but are not limited to, statements about our ability to, or expectations that we will:</w:t>
      </w:r>
    </w:p>
    <w:p>
      <w:pPr>
        <w:spacing w:after="0" w:line="51" w:lineRule="exact"/>
        <w:rPr>
          <w:sz w:val="20"/>
          <w:szCs w:val="20"/>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meet the technical requirements of existing or future supply agreements with its customers, including with respect to existing backlog;</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 its target customer base and maintain its existing customer base;</w:t>
      </w:r>
    </w:p>
    <w:p>
      <w:pPr>
        <w:spacing w:after="0" w:line="14" w:lineRule="exact"/>
        <w:rPr>
          <w:rFonts w:ascii="Times New Roman" w:cs="Times New Roman" w:eastAsia="Times New Roman" w:hAnsi="Times New Roman"/>
          <w:sz w:val="13"/>
          <w:szCs w:val="13"/>
          <w:color w:val="auto"/>
        </w:rPr>
      </w:pPr>
    </w:p>
    <w:p>
      <w:pPr>
        <w:ind w:left="960" w:hanging="239"/>
        <w:spacing w:after="0" w:line="256" w:lineRule="auto"/>
        <w:tabs>
          <w:tab w:leader="none" w:pos="95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realize the benefits expected from the GreenBox joint venture; the Commercial Agreement with GreenBox, Symbotic’s July 2024 acquisition of developed technology intangible assets, and the commercial agreements with Walmart de México y Centroamérica;</w:t>
      </w:r>
    </w:p>
    <w:p>
      <w:pPr>
        <w:spacing w:after="0" w:line="17"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realize its outlook, including its system gross margin;</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 industry trends;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and enhance its system;</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the listing of the Symbotic Class A Common Stock on Nasdaq;</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execute its growth strategy;</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 design and sell systems that are differentiated from those of competitors;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execute its research and development strategy;</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maintain, protect and enforce intellectual property;</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 train and retain effective officers, key employees or directors;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laws and regulations applicable to its business;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stay abreast of modified or new laws and regulations applying to its business;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defend litigation;</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equity securities in connection with future transactions;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meet future liquidity requirements and, if applicable, comply with restrictive covenants related to long-term indebtedness;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timely and effectively remediate any material weaknesses in our internal control over financial reporting;</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 rapid technological changes; and</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effectively respond to general economic and business conditions.</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Forward-looking statements made in this Annual Report on Form 10-K also include, but are not limited to, statements with respect to:</w:t>
      </w:r>
    </w:p>
    <w:p>
      <w:pPr>
        <w:spacing w:after="0" w:line="51" w:lineRule="exact"/>
        <w:rPr>
          <w:sz w:val="20"/>
          <w:szCs w:val="20"/>
          <w:color w:val="auto"/>
        </w:rPr>
      </w:pPr>
    </w:p>
    <w:p>
      <w:pPr>
        <w:ind w:left="960" w:hanging="239"/>
        <w:spacing w:after="0"/>
        <w:tabs>
          <w:tab w:leader="none" w:pos="9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future performance of our business and operations;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expectations regarding revenues, expenses, adjusted EBITDA and anticipated cash needs;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expectations regarding cash flow, liquidity and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20"/>
          </w:cols>
          <w:pgMar w:left="300" w:top="177" w:right="379"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expectations regarding capital expenditures;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anticipated benefits of Symbotic’s leadership structure;</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pending and future legislation;</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disruption;</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disruption to the business due to Symbotic’s dependency on certain customers;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competition in the warehouse automation industry;</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delays in the design, production or launch of our systems and products;</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to meet customers’ requirements under existing or future contracts or customer’s expectations as to price or pricing structure;</w:t>
      </w:r>
    </w:p>
    <w:p>
      <w:pPr>
        <w:spacing w:after="0" w:line="50"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defects in new products or enhancements to existing products;</w:t>
      </w:r>
    </w:p>
    <w:p>
      <w:pPr>
        <w:spacing w:after="0" w:line="50" w:lineRule="exact"/>
        <w:rPr>
          <w:rFonts w:ascii="Times New Roman" w:cs="Times New Roman" w:eastAsia="Times New Roman" w:hAnsi="Times New Roman"/>
          <w:sz w:val="13"/>
          <w:szCs w:val="13"/>
          <w:color w:val="auto"/>
        </w:rPr>
      </w:pPr>
    </w:p>
    <w:p>
      <w:pPr>
        <w:ind w:left="960" w:right="20" w:hanging="239"/>
        <w:spacing w:after="0" w:line="289" w:lineRule="auto"/>
        <w:tabs>
          <w:tab w:leader="none" w:pos="95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fluctuation of operating results from period to period due to a number of factors, including the pace of customer adoption of our new products and services and any changes in our product mix that shift too far into lower gross margin products; and</w:t>
      </w:r>
    </w:p>
    <w:p>
      <w:pPr>
        <w:ind w:left="960" w:hanging="239"/>
        <w:spacing w:after="0"/>
        <w:tabs>
          <w:tab w:leader="none" w:pos="9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consequences associated with joint ventures and legislative and regulatory actions and reforms.</w:t>
      </w:r>
    </w:p>
    <w:p>
      <w:pPr>
        <w:spacing w:after="0" w:line="51"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3"/>
          <w:szCs w:val="13"/>
          <w:color w:val="auto"/>
        </w:rPr>
        <w:t>The forward-looking statements made in this Annual Report on Form 10-K are expressed in good faith,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Annual Report on Form 10-K, whether as a result of new information, future events or otherwise, except as required by law.</w:t>
      </w:r>
    </w:p>
    <w:p>
      <w:pPr>
        <w:spacing w:after="0" w:line="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The reader is cautioned not to place undue reliance on these forward-looking statements because of their inherent uncertainty and to appreciate the limited purposes for which they are being used by management. Forward-looking statements involve risks and uncertainties that may cause actual events, results or performance to differ materially from those indicated by such statements. Certain of these risks are identified and discussed in other sections of this Annual Report on Form 10-K, including Part I, Item 1A “Risk Factors” and Part II, Item 7 “Management’s Discussion and Analysis of Financial Condition and Results of Operations”. These risk factors will be important to consider in determining future results and should be reviewed in their entirety.</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Annualized and estimated numbers are used for illustrative purpose only, are not forecasts and may not reflect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40"/>
          </w:cols>
          <w:pgMar w:left="300" w:top="177" w:right="459" w:bottom="144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5" w:lineRule="exact"/>
        <w:rPr>
          <w:sz w:val="20"/>
          <w:szCs w:val="20"/>
          <w:color w:val="auto"/>
        </w:rPr>
      </w:pPr>
    </w:p>
    <w:p>
      <w:pPr>
        <w:ind w:right="380" w:firstLine="240"/>
        <w:spacing w:after="0" w:line="276" w:lineRule="auto"/>
        <w:rPr>
          <w:sz w:val="20"/>
          <w:szCs w:val="20"/>
          <w:color w:val="auto"/>
        </w:rPr>
      </w:pPr>
      <w:r>
        <w:rPr>
          <w:rFonts w:ascii="Times New Roman" w:cs="Times New Roman" w:eastAsia="Times New Roman" w:hAnsi="Times New Roman"/>
          <w:sz w:val="13"/>
          <w:szCs w:val="13"/>
          <w:color w:val="auto"/>
        </w:rPr>
        <w:t>Our vision is to make the supply chain work better for everyone. We do this by developing, commercializing, and deploying innovative, comprehensive technology solutions that dramatically improve supply chain operations. We automate the processing of pallets and cases in large warehouses or distribution centers for some of the largest retail and wholesale companies in the world. Our supply chain automation system (“System”) enhances operations at the front end of the supply chain, and therefore benefits all supply partners further down the chain, irrespective of fulfillment strategy.</w:t>
      </w:r>
    </w:p>
    <w:p>
      <w:pPr>
        <w:spacing w:after="0" w:line="5" w:lineRule="exact"/>
        <w:rPr>
          <w:sz w:val="20"/>
          <w:szCs w:val="20"/>
          <w:color w:val="auto"/>
        </w:rPr>
      </w:pPr>
    </w:p>
    <w:p>
      <w:pPr>
        <w:ind w:right="20" w:firstLine="240"/>
        <w:spacing w:after="0" w:line="288" w:lineRule="auto"/>
        <w:rPr>
          <w:sz w:val="20"/>
          <w:szCs w:val="20"/>
          <w:color w:val="auto"/>
        </w:rPr>
      </w:pPr>
      <w:r>
        <w:rPr>
          <w:rFonts w:ascii="Times New Roman" w:cs="Times New Roman" w:eastAsia="Times New Roman" w:hAnsi="Times New Roman"/>
          <w:sz w:val="13"/>
          <w:szCs w:val="13"/>
          <w:color w:val="auto"/>
        </w:rPr>
        <w:t>Symbotic was established to develop technologies to improve operating efficiencies in modern warehouses. Significant funds and resources have been devoted to date in developing the Symbotic system and related applications to create a system with the ability to fundamentally change how the supply chain functions. Symbotic’s intellectual property is protected by a portfolio of over 700 issued and/or pending patents.</w:t>
      </w:r>
    </w:p>
    <w:p>
      <w:pPr>
        <w:spacing w:after="0" w:line="162"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Our revolutionary system accelerates the movement of goods through the supply chain, improves stock keeping unit (“SKU”) agility, fulfills orders with 99.9999% accuracy, and does this all with less inventory and operating cost. The underlying architecture of our system differentiates it from everyone else in the marketplace. The system uses Symbots which are high-speed, fully autonomous mobile robots that travel up to 25 miles-per-hour (“mph”). The Symbots are controlled by our artificial intelligence (“A.I.”) enabled software to move goods through our proprietary storage or “buffering” structure.</w:t>
      </w:r>
    </w:p>
    <w:p>
      <w:pPr>
        <w:spacing w:after="0" w:line="5"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Our proprietary modular applications, such as our inbound sorting and outbound palletizing cells, plug into our system to achieve compelling, real world supply chain improvements at scale. We are developing other modular applications that will allow our customers to support all omni-channel strategies, such as brick-and-mortar retail and e-commerce with in-store pickup or home delivery, from a single centralized warehouse/fulfillment facility.</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system varies in size and price. A system can be as small as a football field (i.e., 48,000 square feet), which can serve 25 or more stores and can scale to meet the needs of the world’s largest retailers.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system’s modular design and greater storage density enables installation in existing, and active warehouses, with limited interruption to ongoing operations.</w:t>
      </w:r>
    </w:p>
    <w:p>
      <w:pPr>
        <w:spacing w:after="0" w:line="38" w:lineRule="exact"/>
        <w:rPr>
          <w:sz w:val="20"/>
          <w:szCs w:val="20"/>
          <w:color w:val="auto"/>
        </w:rPr>
      </w:pPr>
    </w:p>
    <w:p>
      <w:pPr>
        <w:ind w:right="160" w:firstLine="240"/>
        <w:spacing w:after="0" w:line="273" w:lineRule="auto"/>
        <w:rPr>
          <w:sz w:val="20"/>
          <w:szCs w:val="20"/>
          <w:color w:val="auto"/>
        </w:rPr>
      </w:pPr>
      <w:r>
        <w:rPr>
          <w:rFonts w:ascii="Times New Roman" w:cs="Times New Roman" w:eastAsia="Times New Roman" w:hAnsi="Times New Roman"/>
          <w:sz w:val="13"/>
          <w:szCs w:val="13"/>
          <w:color w:val="auto"/>
        </w:rPr>
        <w:t>Our system separates inbound freight (i.e., divide it into a common unit) from pallets-to-cases and cases-to-items (currently in development of our second generation, referred to as our Breakpack system), digitize the attributes of these units without re-labeling, and move the units to buffering in their original (or native) packaging with bottom lift technology on our autonomous mobile robots instead of re-transferring goods to trays, shuttles, or cranes. As the distribution center receives replenishment orders from stores, our autonomous robots retrieve the desired units in specified sequence to facilitate orderly fulfillment.</w:t>
      </w:r>
    </w:p>
    <w:p>
      <w:pPr>
        <w:spacing w:after="0" w:line="171" w:lineRule="exact"/>
        <w:rPr>
          <w:sz w:val="20"/>
          <w:szCs w:val="20"/>
          <w:color w:val="auto"/>
        </w:rPr>
      </w:pPr>
    </w:p>
    <w:p>
      <w:pPr>
        <w:jc w:val="both"/>
        <w:ind w:right="60" w:firstLine="240"/>
        <w:spacing w:after="0" w:line="276" w:lineRule="auto"/>
        <w:rPr>
          <w:sz w:val="20"/>
          <w:szCs w:val="20"/>
          <w:color w:val="auto"/>
        </w:rPr>
      </w:pPr>
      <w:r>
        <w:rPr>
          <w:rFonts w:ascii="Times New Roman" w:cs="Times New Roman" w:eastAsia="Times New Roman" w:hAnsi="Times New Roman"/>
          <w:sz w:val="13"/>
          <w:szCs w:val="13"/>
          <w:color w:val="auto"/>
        </w:rPr>
        <w:t>Our system can also build pallets autonomously. The system can build pallets with goods ordered from a specific store and specific aisle. This facilitates rapid and sequential provisioning of the goods from the pallets to a specific store and a specific shelf (i.e., store plan-o-grammed pallets). The system also builds the pallets with improved structural integrity, which in turn leads to denser, taller pallets that improve truck packing density while reducing product damage.</w:t>
      </w:r>
    </w:p>
    <w:p>
      <w:pPr>
        <w:spacing w:after="0" w:line="5"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We believe that the global supply chain has reached a point of critical stress, driving an inflection in demand for warehouse automation across all industries. As the labor force shifts toward an older, more highly educated demographic, the warehouse labor pool is shrinking and becoming more expensive, while most well-located warehouses are either operating manually or utilizing outdated, static mechanized conveyor systems. The dramatic growth in e-commerce has increased supply chain complexity by putting pressure on retailers to support multiple sales channels and orders of individual items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spacing w:after="0" w:line="13" w:lineRule="exact"/>
        <w:rPr>
          <w:sz w:val="20"/>
          <w:szCs w:val="20"/>
          <w:color w:val="auto"/>
        </w:rPr>
      </w:pPr>
    </w:p>
    <w:p>
      <w:pPr>
        <w:ind w:right="180" w:firstLine="240"/>
        <w:spacing w:after="0" w:line="276" w:lineRule="auto"/>
        <w:rPr>
          <w:sz w:val="20"/>
          <w:szCs w:val="20"/>
          <w:color w:val="auto"/>
        </w:rPr>
      </w:pPr>
      <w:r>
        <w:rPr>
          <w:rFonts w:ascii="Times New Roman" w:cs="Times New Roman" w:eastAsia="Times New Roman" w:hAnsi="Times New Roman"/>
          <w:sz w:val="13"/>
          <w:szCs w:val="13"/>
          <w:color w:val="auto"/>
        </w:rPr>
        <w:t>Our system is deployed in the warehouses of a number of the world’s largest retailers, including Walmart, wholesale distributors, including C&amp;S Wholesale Grocers, and warehouse as a service providers, including GreenBox. We have spent significant time working closely with our customers to develop, test, and refine our technology. This has translated into approximately $22.4 billion of backlog as of September 28, 2024, of which Walmart and GreenBox comprise the vast majority.</w:t>
      </w:r>
    </w:p>
    <w:p>
      <w:pPr>
        <w:spacing w:after="0" w:line="5" w:lineRule="exact"/>
        <w:rPr>
          <w:sz w:val="20"/>
          <w:szCs w:val="20"/>
          <w:color w:val="auto"/>
        </w:rPr>
      </w:pPr>
    </w:p>
    <w:p>
      <w:pPr>
        <w:ind w:right="360" w:firstLine="240"/>
        <w:spacing w:after="0" w:line="294" w:lineRule="auto"/>
        <w:rPr>
          <w:sz w:val="20"/>
          <w:szCs w:val="20"/>
          <w:color w:val="auto"/>
        </w:rPr>
      </w:pPr>
      <w:r>
        <w:rPr>
          <w:rFonts w:ascii="Times New Roman" w:cs="Times New Roman" w:eastAsia="Times New Roman" w:hAnsi="Times New Roman"/>
          <w:sz w:val="13"/>
          <w:szCs w:val="13"/>
          <w:color w:val="auto"/>
        </w:rPr>
        <w:t>We believe the potential market opportunity for our system is large and expanding. We are initially targeting the largest brick-and-mortar companies across five verticals: general merchandise, ambient grocery, ambient food distribution, consumer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3"/>
          <w:szCs w:val="13"/>
          <w:color w:val="auto"/>
        </w:rPr>
        <w:t>packaged food, and apparel. Based on identified North American warehouses of the largest companies in each of these five verticals, we believe that our strategically addressed market opportunity is approximately $144 billion. When considering deeper penetration in our initial verticals, adding additional adjacent verticals, and entering the European market, we believe our total addressable market increases to $432 billion.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Industry Background</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First Principles of the Supply Chain</w:t>
      </w:r>
    </w:p>
    <w:p>
      <w:pPr>
        <w:spacing w:after="0" w:line="95" w:lineRule="exact"/>
        <w:rPr>
          <w:sz w:val="20"/>
          <w:szCs w:val="20"/>
          <w:color w:val="auto"/>
        </w:rPr>
      </w:pPr>
    </w:p>
    <w:p>
      <w:pPr>
        <w:ind w:right="40" w:firstLine="240"/>
        <w:spacing w:after="0" w:line="289" w:lineRule="auto"/>
        <w:rPr>
          <w:sz w:val="20"/>
          <w:szCs w:val="20"/>
          <w:color w:val="auto"/>
        </w:rPr>
      </w:pPr>
      <w:r>
        <w:rPr>
          <w:rFonts w:ascii="Times New Roman" w:cs="Times New Roman" w:eastAsia="Times New Roman" w:hAnsi="Times New Roman"/>
          <w:sz w:val="13"/>
          <w:szCs w:val="13"/>
          <w:color w:val="auto"/>
        </w:rPr>
        <w:t>The first principles of the supply chain are to align three mismatches between producers and recipients of goods in a cost-effective manner. These three mismatches relate to the quantity, timing, and location of goods. They exist because a small number of producers concentrate resources to serve many consumers in the pursuit of economies of scale.</w:t>
      </w:r>
    </w:p>
    <w:p>
      <w:pPr>
        <w:spacing w:after="0" w:line="1"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The first mismatch relates to the quantity of goods. A relatively small number of producers generate a greater quantity of goods than any single consumer desires. The supply chain aligns this mismatch by “singulating” (i.e., dividing into a common unit) production quantities into quantities desired by consumers. This means pallets are separated into cases and then cases are separated into individual items (also known as “eaches”).</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second mismatch relates to the timing of when goods are produced versus needed. Producers generate goods continuously, but end users purchase and consume goods at a much slower or cyclical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mismatch is aligned by storing goods in inventory (known as “buffering”). Buffering is analogous to a water reservoir managing the variation between precipitation and household water consumption.</w:t>
      </w:r>
    </w:p>
    <w:p>
      <w:pPr>
        <w:spacing w:after="0" w:line="38" w:lineRule="exact"/>
        <w:rPr>
          <w:sz w:val="20"/>
          <w:szCs w:val="20"/>
          <w:color w:val="auto"/>
        </w:rPr>
      </w:pPr>
    </w:p>
    <w:p>
      <w:pPr>
        <w:ind w:left="240" w:right="480"/>
        <w:spacing w:after="0" w:line="418" w:lineRule="auto"/>
        <w:rPr>
          <w:sz w:val="20"/>
          <w:szCs w:val="20"/>
          <w:color w:val="auto"/>
        </w:rPr>
      </w:pPr>
      <w:r>
        <w:rPr>
          <w:rFonts w:ascii="Times New Roman" w:cs="Times New Roman" w:eastAsia="Times New Roman" w:hAnsi="Times New Roman"/>
          <w:sz w:val="13"/>
          <w:szCs w:val="13"/>
          <w:color w:val="auto"/>
        </w:rPr>
        <w:t xml:space="preserve">The third and final mismatch relates to location. Goods are needed at the point of consumption rather than the point of production. Thus, movement of goods is a critical function of the supply chain. </w:t>
      </w:r>
      <w:r>
        <w:rPr>
          <w:rFonts w:ascii="Times New Roman" w:cs="Times New Roman" w:eastAsia="Times New Roman" w:hAnsi="Times New Roman"/>
          <w:sz w:val="13"/>
          <w:szCs w:val="13"/>
          <w:b w:val="1"/>
          <w:bCs w:val="1"/>
          <w:i w:val="1"/>
          <w:iCs w:val="1"/>
          <w:color w:val="auto"/>
        </w:rPr>
        <w:t>Types of Warehouses</w:t>
      </w: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Modern warehouses are a node in the supply chain where singulating, buffering, and movement activities align these mismatches. Two common types of warehouses are distribution centers and e-commerce fulfillment centers. Manufacturers package finished goods in either pallets or cases and the goods enter the supply chain in either pallets or cases. The pallets and cases flow downstream to the consumers. Our system automates the separation of pallet-to-case upstream in the supply chain. Thus, our system benefits all downstream users in the supply chain. With this advantage, and because the majority of supply chain cost resides in the distribution center, it is easier to integrate systems downstream, rather than upstream (see “Our Competitive Strengths”).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60" w:type="dxa"/>
            <w:vAlign w:val="bottom"/>
            <w:gridSpan w:val="2"/>
          </w:tcPr>
          <w:p>
            <w:pPr>
              <w:ind w:left="1400"/>
              <w:spacing w:after="0"/>
              <w:rPr>
                <w:sz w:val="20"/>
                <w:szCs w:val="20"/>
                <w:color w:val="auto"/>
              </w:rPr>
            </w:pPr>
            <w:r>
              <w:rPr>
                <w:rFonts w:ascii="Times New Roman" w:cs="Times New Roman" w:eastAsia="Times New Roman" w:hAnsi="Times New Roman"/>
                <w:sz w:val="13"/>
                <w:szCs w:val="13"/>
                <w:b w:val="1"/>
                <w:bCs w:val="1"/>
                <w:color w:val="auto"/>
              </w:rPr>
              <w:t>Distribution Centers</w:t>
            </w:r>
          </w:p>
        </w:tc>
        <w:tc>
          <w:tcPr>
            <w:tcW w:w="4000" w:type="dxa"/>
            <w:vAlign w:val="bottom"/>
          </w:tcPr>
          <w:p>
            <w:pPr>
              <w:ind w:left="1300"/>
              <w:spacing w:after="0"/>
              <w:rPr>
                <w:sz w:val="20"/>
                <w:szCs w:val="20"/>
                <w:color w:val="auto"/>
              </w:rPr>
            </w:pPr>
            <w:r>
              <w:rPr>
                <w:rFonts w:ascii="Times New Roman" w:cs="Times New Roman" w:eastAsia="Times New Roman" w:hAnsi="Times New Roman"/>
                <w:sz w:val="13"/>
                <w:szCs w:val="13"/>
                <w:b w:val="1"/>
                <w:bCs w:val="1"/>
                <w:color w:val="auto"/>
              </w:rPr>
              <w:t>E-Commerce Fulfillment</w:t>
            </w:r>
          </w:p>
        </w:tc>
        <w:tc>
          <w:tcPr>
            <w:tcW w:w="0" w:type="dxa"/>
            <w:vAlign w:val="bottom"/>
          </w:tcPr>
          <w:p>
            <w:pPr>
              <w:spacing w:after="0"/>
              <w:rPr>
                <w:sz w:val="1"/>
                <w:szCs w:val="1"/>
                <w:color w:val="auto"/>
              </w:rPr>
            </w:pPr>
          </w:p>
        </w:tc>
      </w:tr>
      <w:tr>
        <w:trPr>
          <w:trHeight w:val="30"/>
        </w:trPr>
        <w:tc>
          <w:tcPr>
            <w:tcW w:w="3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Flow of Goods</w:t>
            </w: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Upstream</w:t>
            </w: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Downstream</w:t>
            </w:r>
          </w:p>
        </w:tc>
        <w:tc>
          <w:tcPr>
            <w:tcW w:w="0" w:type="dxa"/>
            <w:vAlign w:val="bottom"/>
          </w:tcPr>
          <w:p>
            <w:pPr>
              <w:spacing w:after="0"/>
              <w:rPr>
                <w:sz w:val="1"/>
                <w:szCs w:val="1"/>
                <w:color w:val="auto"/>
              </w:rPr>
            </w:pPr>
          </w:p>
        </w:tc>
      </w:tr>
      <w:tr>
        <w:trPr>
          <w:trHeight w:val="178"/>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Typical Function</w:t>
            </w: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Singulate and buffering between producers and next node</w:t>
            </w:r>
          </w:p>
        </w:tc>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Items selection</w:t>
            </w:r>
          </w:p>
        </w:tc>
        <w:tc>
          <w:tcPr>
            <w:tcW w:w="0" w:type="dxa"/>
            <w:vAlign w:val="bottom"/>
          </w:tcPr>
          <w:p>
            <w:pPr>
              <w:spacing w:after="0"/>
              <w:rPr>
                <w:sz w:val="1"/>
                <w:szCs w:val="1"/>
                <w:color w:val="auto"/>
              </w:rPr>
            </w:pPr>
          </w:p>
        </w:tc>
      </w:tr>
      <w:tr>
        <w:trPr>
          <w:trHeight w:val="83"/>
        </w:trPr>
        <w:tc>
          <w:tcPr>
            <w:tcW w:w="3220" w:type="dxa"/>
            <w:vAlign w:val="bottom"/>
            <w:gridSpan w:val="2"/>
            <w:vMerge w:val="continue"/>
          </w:tcPr>
          <w:p>
            <w:pPr>
              <w:spacing w:after="0"/>
              <w:rPr>
                <w:sz w:val="7"/>
                <w:szCs w:val="7"/>
                <w:color w:val="auto"/>
              </w:rPr>
            </w:pPr>
          </w:p>
        </w:tc>
        <w:tc>
          <w:tcPr>
            <w:tcW w:w="4060" w:type="dxa"/>
            <w:vAlign w:val="bottom"/>
            <w:gridSpan w:val="2"/>
            <w:vMerge w:val="continue"/>
          </w:tcPr>
          <w:p>
            <w:pPr>
              <w:spacing w:after="0"/>
              <w:rPr>
                <w:sz w:val="7"/>
                <w:szCs w:val="7"/>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Packing and shipping</w:t>
            </w:r>
          </w:p>
        </w:tc>
        <w:tc>
          <w:tcPr>
            <w:tcW w:w="0" w:type="dxa"/>
            <w:vAlign w:val="bottom"/>
          </w:tcPr>
          <w:p>
            <w:pPr>
              <w:spacing w:after="0"/>
              <w:rPr>
                <w:sz w:val="1"/>
                <w:szCs w:val="1"/>
                <w:color w:val="auto"/>
              </w:rPr>
            </w:pPr>
          </w:p>
        </w:tc>
      </w:tr>
      <w:tr>
        <w:trPr>
          <w:trHeight w:val="90"/>
        </w:trPr>
        <w:tc>
          <w:tcPr>
            <w:tcW w:w="3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gridSpan w:val="2"/>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Typical Location</w:t>
            </w: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Rural, Suburban</w:t>
            </w: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Suburban, Urban</w:t>
            </w:r>
          </w:p>
        </w:tc>
        <w:tc>
          <w:tcPr>
            <w:tcW w:w="0" w:type="dxa"/>
            <w:vAlign w:val="bottom"/>
          </w:tcPr>
          <w:p>
            <w:pPr>
              <w:spacing w:after="0"/>
              <w:rPr>
                <w:sz w:val="1"/>
                <w:szCs w:val="1"/>
                <w:color w:val="auto"/>
              </w:rPr>
            </w:pPr>
          </w:p>
        </w:tc>
      </w:tr>
      <w:tr>
        <w:trPr>
          <w:trHeight w:val="18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Fulfillment Unit</w:t>
            </w:r>
          </w:p>
        </w:tc>
        <w:tc>
          <w:tcPr>
            <w:tcW w:w="4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Pallets, Cases</w:t>
            </w:r>
          </w:p>
        </w:tc>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Items/Eaches</w:t>
            </w:r>
          </w:p>
        </w:tc>
        <w:tc>
          <w:tcPr>
            <w:tcW w:w="0" w:type="dxa"/>
            <w:vAlign w:val="bottom"/>
          </w:tcPr>
          <w:p>
            <w:pPr>
              <w:spacing w:after="0"/>
              <w:rPr>
                <w:sz w:val="1"/>
                <w:szCs w:val="1"/>
                <w:color w:val="auto"/>
              </w:rPr>
            </w:pPr>
          </w:p>
        </w:tc>
      </w:tr>
      <w:tr>
        <w:trPr>
          <w:trHeight w:val="30"/>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Optimized for</w:t>
            </w: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Low cost per case</w:t>
            </w: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Speed of fulfillment &amp; delivery</w:t>
            </w:r>
          </w:p>
        </w:tc>
        <w:tc>
          <w:tcPr>
            <w:tcW w:w="0" w:type="dxa"/>
            <w:vAlign w:val="bottom"/>
          </w:tcPr>
          <w:p>
            <w:pPr>
              <w:spacing w:after="0"/>
              <w:rPr>
                <w:sz w:val="1"/>
                <w:szCs w:val="1"/>
                <w:color w:val="auto"/>
              </w:rPr>
            </w:pPr>
          </w:p>
        </w:tc>
      </w:tr>
      <w:tr>
        <w:trPr>
          <w:trHeight w:val="18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Volume</w:t>
            </w:r>
          </w:p>
        </w:tc>
        <w:tc>
          <w:tcPr>
            <w:tcW w:w="4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High</w:t>
            </w:r>
          </w:p>
        </w:tc>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Low to moderate</w:t>
            </w:r>
          </w:p>
        </w:tc>
        <w:tc>
          <w:tcPr>
            <w:tcW w:w="0" w:type="dxa"/>
            <w:vAlign w:val="bottom"/>
          </w:tcPr>
          <w:p>
            <w:pPr>
              <w:spacing w:after="0"/>
              <w:rPr>
                <w:sz w:val="1"/>
                <w:szCs w:val="1"/>
                <w:color w:val="auto"/>
              </w:rPr>
            </w:pPr>
          </w:p>
        </w:tc>
      </w:tr>
      <w:tr>
        <w:trPr>
          <w:trHeight w:val="30"/>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SKU count/variety</w:t>
            </w: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Low to Moderate</w:t>
            </w: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w:t>
            </w:r>
          </w:p>
        </w:tc>
        <w:tc>
          <w:tcPr>
            <w:tcW w:w="0" w:type="dxa"/>
            <w:vAlign w:val="bottom"/>
          </w:tcPr>
          <w:p>
            <w:pPr>
              <w:spacing w:after="0"/>
              <w:rPr>
                <w:sz w:val="1"/>
                <w:szCs w:val="1"/>
                <w:color w:val="auto"/>
              </w:rPr>
            </w:pPr>
          </w:p>
        </w:tc>
      </w:tr>
      <w:tr>
        <w:trPr>
          <w:trHeight w:val="30"/>
        </w:trPr>
        <w:tc>
          <w:tcPr>
            <w:tcW w:w="3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right="100" w:firstLine="240"/>
        <w:spacing w:after="0" w:line="264" w:lineRule="auto"/>
        <w:rPr>
          <w:sz w:val="20"/>
          <w:szCs w:val="20"/>
          <w:color w:val="auto"/>
        </w:rPr>
      </w:pPr>
      <w:r>
        <w:rPr>
          <w:rFonts w:ascii="Times New Roman" w:cs="Times New Roman" w:eastAsia="Times New Roman" w:hAnsi="Times New Roman"/>
          <w:sz w:val="13"/>
          <w:szCs w:val="13"/>
          <w:color w:val="auto"/>
        </w:rPr>
        <w:t>Current supply chain operations are generally manual, inflexible, expensive, require significant investments in inventory, and require goods to be manually handled multiple times before being shipped to stores or consumers. The supply chain is expensive because it tends to be slow and labor intensive, which leads to significant damage and waste. In a typical supply chain operation, single-SKU pallets are delivered to a distribution center where hundreds, or thousands, of people are required to move and store pallets. They then select individual cases from the pallets and combine those individual cases into store-ready pallets. In e-commerce fulfillment, they unpack the cases, store individual items in totes or other storage structures and then select and combine individual items for individual customer order fulfillment. Even mechanized warehouses require significant human intervention, are very inflexible, and face disruption from numerous single points of failure. These factors contribute to high maintenance costs and damage, resulting in limited total cost savings.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 w:name="page8"/>
    <w:bookmarkEnd w:id="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Retail and Supply Chain Trends</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Several trends within the retail industry supply chain have exacerbated the costs and inflexibility of this supply chain:</w:t>
      </w:r>
    </w:p>
    <w:p>
      <w:pPr>
        <w:spacing w:after="0" w:line="47" w:lineRule="exact"/>
        <w:rPr>
          <w:sz w:val="20"/>
          <w:szCs w:val="20"/>
          <w:color w:val="auto"/>
        </w:rPr>
      </w:pPr>
    </w:p>
    <w:p>
      <w:pPr>
        <w:ind w:left="480" w:right="480" w:hanging="239"/>
        <w:spacing w:after="0" w:line="289" w:lineRule="auto"/>
        <w:tabs>
          <w:tab w:leader="none" w:pos="47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Labor Scarcity and Cost</w:t>
      </w:r>
      <w:r>
        <w:rPr>
          <w:rFonts w:ascii="Times New Roman" w:cs="Times New Roman" w:eastAsia="Times New Roman" w:hAnsi="Times New Roman"/>
          <w:sz w:val="13"/>
          <w:szCs w:val="13"/>
          <w:color w:val="auto"/>
        </w:rPr>
        <w:t>—As the labor force matures and becomes more highly educated, warehouse labor is becoming increasingly scarce and expensive. The turnover rate for transportation,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warehousing, and utilities employees was 23% higher than the turnover rate for all nonfarm employees in 2023, according to the U.S. Bureau of Labor Statistics.</w:t>
      </w:r>
    </w:p>
    <w:p>
      <w:pPr>
        <w:ind w:left="480" w:right="20" w:hanging="239"/>
        <w:spacing w:after="0" w:line="271" w:lineRule="auto"/>
        <w:tabs>
          <w:tab w:leader="none" w:pos="47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Omni-Channel Strategies</w:t>
      </w:r>
      <w:r>
        <w:rPr>
          <w:rFonts w:ascii="Times New Roman" w:cs="Times New Roman" w:eastAsia="Times New Roman" w:hAnsi="Times New Roman"/>
          <w:sz w:val="13"/>
          <w:szCs w:val="13"/>
          <w:color w:val="auto"/>
        </w:rPr>
        <w:t>—As online shopping has become more popular with consumers, brick-and-mortar retailers must support multiple distribution channels. Traditional brick-and-mortar must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also support online with home delivery, buy online pick up in store, as well as support for channel-related reverse logistics. Not only does the growth of distribution channels increase complexity, but the e-commerce channel itself is more complex than traditional brick-and-mortar. They are more complex because they need to deliver a continuously changing and increasingly diverse range of items to a broader range of locations faster and in an increasing variety of ways.</w:t>
      </w:r>
    </w:p>
    <w:p>
      <w:pPr>
        <w:spacing w:after="0" w:line="5" w:lineRule="exact"/>
        <w:rPr>
          <w:rFonts w:ascii="Times New Roman" w:cs="Times New Roman" w:eastAsia="Times New Roman" w:hAnsi="Times New Roman"/>
          <w:sz w:val="13"/>
          <w:szCs w:val="13"/>
          <w:color w:val="auto"/>
        </w:rPr>
      </w:pPr>
    </w:p>
    <w:p>
      <w:pPr>
        <w:ind w:left="480" w:right="20" w:hanging="239"/>
        <w:spacing w:after="0" w:line="271" w:lineRule="auto"/>
        <w:tabs>
          <w:tab w:leader="none" w:pos="47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Growing Consumer Expectations and SKU Proliferation</w:t>
      </w:r>
      <w:r>
        <w:rPr>
          <w:rFonts w:ascii="Times New Roman" w:cs="Times New Roman" w:eastAsia="Times New Roman" w:hAnsi="Times New Roman"/>
          <w:sz w:val="13"/>
          <w:szCs w:val="13"/>
          <w:color w:val="auto"/>
        </w:rPr>
        <w:t>—The internet has made the world’s goods available to more consumers, so now shoppers expect retailers to offer increased product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diversity. At the same time, manufacturers continue to adopt mass personalization product strategies, which adds to an already growing number of SKUs and accelerates the frequency and speed of SKU transitions. These trends require retailers to find a way to efficiently store, handle, and make available a wider variety of SKUs while managing seasonal and geographic variability. This requires either a greater number of specialized supply chain processes or greater flexibility of existing processes.</w:t>
      </w:r>
    </w:p>
    <w:p>
      <w:pPr>
        <w:spacing w:after="0" w:line="10"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Existing warehouse automation systems are largely engineered to solve single challenges in the supply chain. They have discrete applicability focused on a particular niche in the warehouse automation value chain (e.g., specific pick and pack, e-commerce fulfillment robotics) or are older manufacturing technologies that automate high-volume, lower-value repetitive tasks (e.g., conveyor belts and sensors). We believe our system is unique as it is a comprehensive warehouse automation system.</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Advances in Core Technologies</w:t>
      </w:r>
    </w:p>
    <w:p>
      <w:pPr>
        <w:spacing w:after="0" w:line="95"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We benefit from advances in robotics, sensors, visual systems, processing power, machine learning, and A.I. that have been developed and commercialized over the last decade. For example, we benefit from the tens of billions of dollars that have been invested in attempts to advance autonomous vehicle technology.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System Overview</w:t>
      </w:r>
    </w:p>
    <w:p>
      <w:pPr>
        <w:spacing w:after="0" w:line="95" w:lineRule="exact"/>
        <w:rPr>
          <w:sz w:val="20"/>
          <w:szCs w:val="20"/>
          <w:color w:val="auto"/>
        </w:rPr>
      </w:pPr>
    </w:p>
    <w:p>
      <w:pPr>
        <w:ind w:right="440" w:firstLine="240"/>
        <w:spacing w:after="0" w:line="289" w:lineRule="auto"/>
        <w:rPr>
          <w:sz w:val="20"/>
          <w:szCs w:val="20"/>
          <w:color w:val="auto"/>
        </w:rPr>
      </w:pPr>
      <w:r>
        <w:rPr>
          <w:rFonts w:ascii="Times New Roman" w:cs="Times New Roman" w:eastAsia="Times New Roman" w:hAnsi="Times New Roman"/>
          <w:sz w:val="13"/>
          <w:szCs w:val="13"/>
          <w:color w:val="auto"/>
        </w:rPr>
        <w:t>Given the first principles of the supply chain, we re-conceived the purpose and needs of the supply chain. Unencumbered by legacy thinking and the resulting narrowly targeted technologies aimed at reducing fragments of cost in the warehouse, we completely re-designed and re-engineered the warehouse.</w:t>
      </w:r>
    </w:p>
    <w:p>
      <w:pPr>
        <w:spacing w:after="0" w:line="1" w:lineRule="exact"/>
        <w:rPr>
          <w:sz w:val="20"/>
          <w:szCs w:val="20"/>
          <w:color w:val="auto"/>
        </w:rPr>
      </w:pPr>
    </w:p>
    <w:p>
      <w:pPr>
        <w:jc w:val="both"/>
        <w:ind w:right="300" w:firstLine="240"/>
        <w:spacing w:after="0" w:line="269" w:lineRule="auto"/>
        <w:rPr>
          <w:sz w:val="20"/>
          <w:szCs w:val="20"/>
          <w:color w:val="auto"/>
        </w:rPr>
      </w:pPr>
      <w:r>
        <w:rPr>
          <w:rFonts w:ascii="Times New Roman" w:cs="Times New Roman" w:eastAsia="Times New Roman" w:hAnsi="Times New Roman"/>
          <w:sz w:val="13"/>
          <w:szCs w:val="13"/>
          <w:color w:val="auto"/>
        </w:rPr>
        <w:t>Our system manages every aspect of warehouse logistics, from the time merchandise is off-loaded from a producer’s truck or container until that merchandise is ready to be delivered to a store, pick-up location, or individual. Our system has an approximate useful life of 25 to 30 years and is so space efficient that it can be installed in phases in operating warehouses with minimal impact to operations. The system is comprised of inbound de-palletizing cells utilizing robotic arms, a storage structure, autonomous mobile robots that handle product, outbound palletizing cells using robotic arms, and software that coordinates and optimizes the movements of all the hardware. This software maximizes the throughput of goods while improving quality of delivery and reducing the cost.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Unique System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68580</wp:posOffset>
            </wp:positionV>
            <wp:extent cx="3479165" cy="1958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9165" cy="195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innovative system architecture differentiates our system from alternative warehouse systems. The pillars of our architecture combine synergistically to deliver the benefits of our solution. The pillars are:</w:t>
      </w:r>
    </w:p>
    <w:p>
      <w:pPr>
        <w:spacing w:after="0" w:line="47" w:lineRule="exact"/>
        <w:rPr>
          <w:sz w:val="20"/>
          <w:szCs w:val="20"/>
          <w:color w:val="auto"/>
        </w:rPr>
      </w:pPr>
    </w:p>
    <w:p>
      <w:pPr>
        <w:ind w:left="240" w:right="40" w:hanging="239"/>
        <w:spacing w:after="0" w:line="270" w:lineRule="auto"/>
        <w:tabs>
          <w:tab w:leader="none" w:pos="23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A.I.-Powered Software</w:t>
      </w:r>
      <w:r>
        <w:rPr>
          <w:rFonts w:ascii="Times New Roman" w:cs="Times New Roman" w:eastAsia="Times New Roman" w:hAnsi="Times New Roman"/>
          <w:sz w:val="13"/>
          <w:szCs w:val="13"/>
          <w:color w:val="auto"/>
        </w:rPr>
        <w:t>: Our system is enhanced by our A.I.-enabled autonomous software. We define A.I. as technology that enables computers and machines to simulate human learning,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comprehension, problem solving, decision making, creativity, and autonomy. Applications and devices equipped with A.I. can see and identify objects. They can understand and respond to human language. They can learn from new information and experience. They can make detailed recommendations to users and experts. They can act independently, replacing the need for human intelligence or intervention. We believe our autonomous hardware and system software technology encompass the definition of A.I. by reducing the need for manual human intelligence or intervention by simulating human functions.</w:t>
      </w:r>
    </w:p>
    <w:p>
      <w:pPr>
        <w:spacing w:after="0" w:line="168" w:lineRule="exact"/>
        <w:rPr>
          <w:rFonts w:ascii="Times New Roman" w:cs="Times New Roman" w:eastAsia="Times New Roman" w:hAnsi="Times New Roman"/>
          <w:sz w:val="13"/>
          <w:szCs w:val="13"/>
          <w:color w:val="auto"/>
        </w:rPr>
      </w:pPr>
    </w:p>
    <w:p>
      <w:pPr>
        <w:ind w:left="240" w:hanging="239"/>
        <w:spacing w:after="0" w:line="264" w:lineRule="auto"/>
        <w:tabs>
          <w:tab w:leader="none" w:pos="23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Singulating: </w:t>
      </w:r>
      <w:r>
        <w:rPr>
          <w:rFonts w:ascii="Times New Roman" w:cs="Times New Roman" w:eastAsia="Times New Roman" w:hAnsi="Times New Roman"/>
          <w:sz w:val="13"/>
          <w:szCs w:val="13"/>
          <w:color w:val="auto"/>
        </w:rPr>
        <w:t>Singulating goods is the process of dividing quantities of goods to the lowest common fulfillment unit (e.g., from pallets-to-cases and cases-to-items). Our case-based system separates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incoming pallets to the case level. Our Breakpack system separates all cases to the each (or items) level to handle toted items in our system just like we currently handle cases. Competing warehouse systems handle pallets and more frequently partial pallets of goods. Pallets and partial pallets represent an increased level of on hand inventory and partial pallets leave unused volume within the warehouse. Volume adds expense because it has its own cost and because volume adds movement distance, slowing down the transport of goods through the supply chain. By managing goods at the case and toted item level, rather than at the pallet level, our system removes unused space from the distribution center, allowing merchandise to be stored more densely and increasing the speed of product throughput. These space saving efforts are increased by the storage density of our system, which allows us to retrofit our system into our customers’ existing warehouse operations without interrupting ongoing supply chain operations or requiring capital to build new greenfield warehouse space.</w:t>
      </w:r>
    </w:p>
    <w:p>
      <w:pPr>
        <w:spacing w:after="0" w:line="10" w:lineRule="exact"/>
        <w:rPr>
          <w:rFonts w:ascii="Times New Roman" w:cs="Times New Roman" w:eastAsia="Times New Roman" w:hAnsi="Times New Roman"/>
          <w:sz w:val="13"/>
          <w:szCs w:val="13"/>
          <w:color w:val="auto"/>
        </w:rPr>
      </w:pPr>
    </w:p>
    <w:p>
      <w:pPr>
        <w:ind w:left="240" w:right="60" w:hanging="239"/>
        <w:spacing w:after="0" w:line="278" w:lineRule="auto"/>
        <w:tabs>
          <w:tab w:leader="none" w:pos="237"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Dynamic Storage: </w:t>
      </w:r>
      <w:r>
        <w:rPr>
          <w:rFonts w:ascii="Times New Roman" w:cs="Times New Roman" w:eastAsia="Times New Roman" w:hAnsi="Times New Roman"/>
          <w:sz w:val="13"/>
          <w:szCs w:val="13"/>
          <w:color w:val="auto"/>
        </w:rPr>
        <w:t>Our system function is analogous to that of a random-access computer hard drive. By effectively “digitizing” each individual case and toted item and spreading them throughout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storage structure, we create optionality for our picking and routing optimization algorithms. Merchandise is opportunistically placed throughout the storage structure, similar to the way a random-access hard drive handles data. This minimizes movement to increase throughput, enhances SKU agility and reduces the number of autonomous mobile robots required to distribute product.</w:t>
      </w:r>
    </w:p>
    <w:p>
      <w:pPr>
        <w:spacing w:after="0" w:line="1" w:lineRule="exact"/>
        <w:rPr>
          <w:rFonts w:ascii="Times New Roman" w:cs="Times New Roman" w:eastAsia="Times New Roman" w:hAnsi="Times New Roman"/>
          <w:sz w:val="13"/>
          <w:szCs w:val="13"/>
          <w:b w:val="1"/>
          <w:bCs w:val="1"/>
          <w:color w:val="auto"/>
        </w:rPr>
      </w:pPr>
    </w:p>
    <w:p>
      <w:pPr>
        <w:ind w:left="240" w:right="180" w:hanging="239"/>
        <w:spacing w:after="0" w:line="301" w:lineRule="auto"/>
        <w:tabs>
          <w:tab w:leader="none" w:pos="237"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Autonomous Movement</w:t>
      </w:r>
      <w:r>
        <w:rPr>
          <w:rFonts w:ascii="Times New Roman" w:cs="Times New Roman" w:eastAsia="Times New Roman" w:hAnsi="Times New Roman"/>
          <w:sz w:val="13"/>
          <w:szCs w:val="13"/>
          <w:color w:val="auto"/>
        </w:rPr>
        <w:t>: Fully autonomous A.I.-enabled mobile robots allow our system to have superior flexibility, speed, mobility, and inventory handling capabilities. Like fully autonomous cars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operating in a smart city, our robots operate independently but act collectively to transport, sequence, and move cases through 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53340</wp:posOffset>
            </wp:positionV>
            <wp:extent cx="71932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040"/>
          </w:cols>
          <w:pgMar w:left="540" w:top="177" w:right="31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spacing w:after="0" w:line="269" w:lineRule="auto"/>
        <w:rPr>
          <w:sz w:val="20"/>
          <w:szCs w:val="20"/>
          <w:color w:val="auto"/>
        </w:rPr>
      </w:pPr>
      <w:r>
        <w:rPr>
          <w:rFonts w:ascii="Times New Roman" w:cs="Times New Roman" w:eastAsia="Times New Roman" w:hAnsi="Times New Roman"/>
          <w:sz w:val="13"/>
          <w:szCs w:val="13"/>
          <w:color w:val="auto"/>
        </w:rPr>
        <w:t>warehouse. Our algorithms consider robot proximity, travel distance and other factors to solve for optimal overall performance while dynamically adjusting as anomalies arise. In addition, because each robot can travel anywhere in a two-dimensional plane and moves like a car that can make radius turns, our robots are comparatively fast, traveling up to 25 miles-per-hour (mph). Faster movement enhances throughput and efficiency by clearing aisles more quickly and allowing for more storage and retrieval transactions per hour compared to tray, shuttle, or crane-based systems. Finally, our use of automation and A.I.-enabled software means our system can approach true “lights-out” operation (100% up-time with zero human intervention).</w:t>
      </w:r>
    </w:p>
    <w:p>
      <w:pPr>
        <w:spacing w:after="0" w:line="7" w:lineRule="exact"/>
        <w:rPr>
          <w:sz w:val="20"/>
          <w:szCs w:val="20"/>
          <w:color w:val="auto"/>
        </w:rPr>
      </w:pPr>
    </w:p>
    <w:p>
      <w:pPr>
        <w:ind w:left="480" w:right="60" w:hanging="239"/>
        <w:spacing w:after="0" w:line="271" w:lineRule="auto"/>
        <w:tabs>
          <w:tab w:leader="none" w:pos="477"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Original (Native) Package Handling</w:t>
      </w:r>
      <w:r>
        <w:rPr>
          <w:rFonts w:ascii="Times New Roman" w:cs="Times New Roman" w:eastAsia="Times New Roman" w:hAnsi="Times New Roman"/>
          <w:sz w:val="13"/>
          <w:szCs w:val="13"/>
          <w:color w:val="auto"/>
        </w:rPr>
        <w:t>: We place and pick cases by underpicking or lifting them from the bottom using an automated fork system. This unique technique enables our mobile robots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manipulate a wide range of case sizes, types and weights in a variety of packaging formats. Thus, our system can handle a greater variety of goods in a wide range of verticals. Unlike some of our competitors, we do not handle goods with grippers, which can crush them, or suction cups, which can drop goods. We also do not transfer goods to standardized trays, eliminating additional handling of goods. Instead, bottom-lift handling reduces case damage and rejection rates, thereby decreasing waste and cost.</w:t>
      </w:r>
    </w:p>
    <w:p>
      <w:pPr>
        <w:spacing w:after="0" w:line="5"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End-to-End Integration</w:t>
      </w:r>
      <w:r>
        <w:rPr>
          <w:rFonts w:ascii="Times New Roman" w:cs="Times New Roman" w:eastAsia="Times New Roman" w:hAnsi="Times New Roman"/>
          <w:sz w:val="13"/>
          <w:szCs w:val="13"/>
          <w:color w:val="auto"/>
        </w:rPr>
        <w:t>: By being an integrated end-to-end system, we are able to comprehensively change a warehouse and a customer’s supply chain to maximize its efficiency.</w:t>
      </w:r>
    </w:p>
    <w:p>
      <w:pPr>
        <w:spacing w:after="0" w:line="50" w:lineRule="exact"/>
        <w:rPr>
          <w:rFonts w:ascii="Times New Roman" w:cs="Times New Roman" w:eastAsia="Times New Roman" w:hAnsi="Times New Roman"/>
          <w:sz w:val="13"/>
          <w:szCs w:val="13"/>
          <w:color w:val="auto"/>
        </w:rPr>
      </w:pPr>
    </w:p>
    <w:p>
      <w:pPr>
        <w:ind w:left="480" w:right="140" w:hanging="239"/>
        <w:spacing w:after="0" w:line="278" w:lineRule="auto"/>
        <w:tabs>
          <w:tab w:leader="none" w:pos="477"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System-of-Systems Design</w:t>
      </w:r>
      <w:r>
        <w:rPr>
          <w:rFonts w:ascii="Times New Roman" w:cs="Times New Roman" w:eastAsia="Times New Roman" w:hAnsi="Times New Roman"/>
          <w:sz w:val="13"/>
          <w:szCs w:val="13"/>
          <w:color w:val="auto"/>
        </w:rPr>
        <w:t>: Our system-of-systems architecture philosophy eliminates single points of failure, enhancing system resiliency. Utilizing a redundant array of autonomous robots, lifts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palletizing cells, each part of our system is able to assume the task load of another part, if a part fails. In addition, our hardware and software are engineered for rapid serviceability utilizing field replaceable components wherever possible.</w:t>
      </w:r>
    </w:p>
    <w:p>
      <w:pPr>
        <w:spacing w:after="0" w:line="1" w:lineRule="exact"/>
        <w:rPr>
          <w:rFonts w:ascii="Times New Roman" w:cs="Times New Roman" w:eastAsia="Times New Roman" w:hAnsi="Times New Roman"/>
          <w:sz w:val="13"/>
          <w:szCs w:val="13"/>
          <w:color w:val="auto"/>
        </w:rPr>
      </w:pPr>
    </w:p>
    <w:p>
      <w:pPr>
        <w:ind w:left="480" w:right="20" w:hanging="239"/>
        <w:spacing w:after="0" w:line="279" w:lineRule="auto"/>
        <w:tabs>
          <w:tab w:leader="none" w:pos="477"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Scalable Modularity</w:t>
      </w:r>
      <w:r>
        <w:rPr>
          <w:rFonts w:ascii="Times New Roman" w:cs="Times New Roman" w:eastAsia="Times New Roman" w:hAnsi="Times New Roman"/>
          <w:sz w:val="13"/>
          <w:szCs w:val="13"/>
          <w:color w:val="auto"/>
        </w:rPr>
        <w:t>: Our architecture is highly modular and scalable, allowing us to install our system in existing warehouse facilities while achieving full performance benefits. We are also able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install our system in phases, allowing the existing warehouse facility to continue to operate during the transition to our system. Finally, we can easily reconfigure and expand our system to accommodate SKU proliferation as our customers’ needs and strategies evolve.</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System Functional Flow Overview</w:t>
      </w:r>
    </w:p>
    <w:p>
      <w:pPr>
        <w:spacing w:after="0" w:line="95" w:lineRule="exact"/>
        <w:rPr>
          <w:sz w:val="20"/>
          <w:szCs w:val="20"/>
          <w:color w:val="auto"/>
        </w:rPr>
      </w:pPr>
    </w:p>
    <w:p>
      <w:pPr>
        <w:ind w:right="280" w:firstLine="240"/>
        <w:spacing w:after="0" w:line="276" w:lineRule="auto"/>
        <w:rPr>
          <w:sz w:val="20"/>
          <w:szCs w:val="20"/>
          <w:color w:val="auto"/>
        </w:rPr>
      </w:pPr>
      <w:r>
        <w:rPr>
          <w:rFonts w:ascii="Times New Roman" w:cs="Times New Roman" w:eastAsia="Times New Roman" w:hAnsi="Times New Roman"/>
          <w:sz w:val="13"/>
          <w:szCs w:val="13"/>
          <w:color w:val="auto"/>
        </w:rPr>
        <w:t>Generally, manufacturers create their products in batches by SKU (i.e., individual type of item like can of chicken noodle soup). Manufacturers then aggregate and package the goods in manageable quantities for efficient and safe shipping. Usually, goods are batched in cardboard or plastic cases. Cases are then stacked on 4-foot by 4-foot pallets as high as safely possible and then shrink-wrapped so the pallets retain integrity while in transit and the goods can be transported without damage.</w:t>
      </w:r>
    </w:p>
    <w:p>
      <w:pPr>
        <w:spacing w:after="0" w:line="5" w:lineRule="exact"/>
        <w:rPr>
          <w:sz w:val="20"/>
          <w:szCs w:val="20"/>
          <w:color w:val="auto"/>
        </w:rPr>
      </w:pPr>
    </w:p>
    <w:p>
      <w:pPr>
        <w:ind w:right="120" w:firstLine="240"/>
        <w:spacing w:after="0" w:line="276" w:lineRule="auto"/>
        <w:rPr>
          <w:sz w:val="20"/>
          <w:szCs w:val="20"/>
          <w:color w:val="auto"/>
        </w:rPr>
      </w:pPr>
      <w:r>
        <w:rPr>
          <w:rFonts w:ascii="Times New Roman" w:cs="Times New Roman" w:eastAsia="Times New Roman" w:hAnsi="Times New Roman"/>
          <w:sz w:val="13"/>
          <w:szCs w:val="13"/>
          <w:color w:val="auto"/>
        </w:rPr>
        <w:t>A pallet may commonly contain anywhere between 40 and 120 cases depending on the size and weight of the goods and, therefore, could contain dozens to hundreds of goods that will ultimately be sold to consumers. Some manufacturers produce homogeneous pallets with one SKU. Others may combine multiple SKUs on heterogeneous pallets if the cases are the same size and the manufacturer is able to do so efficiently in their production process.</w:t>
      </w:r>
    </w:p>
    <w:p>
      <w:pPr>
        <w:spacing w:after="0" w:line="5" w:lineRule="exact"/>
        <w:rPr>
          <w:sz w:val="20"/>
          <w:szCs w:val="20"/>
          <w:color w:val="auto"/>
        </w:rPr>
      </w:pPr>
    </w:p>
    <w:p>
      <w:pPr>
        <w:ind w:right="180" w:firstLine="240"/>
        <w:spacing w:after="0" w:line="276" w:lineRule="auto"/>
        <w:rPr>
          <w:sz w:val="20"/>
          <w:szCs w:val="20"/>
          <w:color w:val="auto"/>
        </w:rPr>
      </w:pPr>
      <w:r>
        <w:rPr>
          <w:rFonts w:ascii="Times New Roman" w:cs="Times New Roman" w:eastAsia="Times New Roman" w:hAnsi="Times New Roman"/>
          <w:sz w:val="13"/>
          <w:szCs w:val="13"/>
          <w:color w:val="auto"/>
        </w:rPr>
        <w:t>Other goods may be shipped un-palletized because a manufacturer does not produce or sell enough of one item to make full pallet shipping efficient. Goods may also travel through the supply chain un-palletized because they have been combined with other goods for more efficient shipping. This often happens when goods come from international destinations given the desire to fill a shipping container with multiple goods and/or from multiple manufacturers to reduce overall shipping costs. Un-palletized goods generally come stacked randomly in a truck trailer or shipping container.</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system can uniquely handle homogeneous and heterogeneous palletized and un-palletized goods. Regardless of type of good, our system generally functions as follows:</w:t>
      </w:r>
    </w:p>
    <w:p>
      <w:pPr>
        <w:spacing w:after="0" w:line="47" w:lineRule="exact"/>
        <w:rPr>
          <w:sz w:val="20"/>
          <w:szCs w:val="20"/>
          <w:color w:val="auto"/>
        </w:rPr>
      </w:pPr>
    </w:p>
    <w:p>
      <w:pPr>
        <w:ind w:left="600" w:right="40" w:hanging="239"/>
        <w:spacing w:after="0" w:line="278" w:lineRule="auto"/>
        <w:tabs>
          <w:tab w:leader="none" w:pos="59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Palletized Inbound</w:t>
      </w:r>
      <w:r>
        <w:rPr>
          <w:rFonts w:ascii="Times New Roman" w:cs="Times New Roman" w:eastAsia="Times New Roman" w:hAnsi="Times New Roman"/>
          <w:sz w:val="13"/>
          <w:szCs w:val="13"/>
          <w:color w:val="auto"/>
        </w:rPr>
        <w:t>: When pallets reach a warehouse, the pallets are placed into our automated system. Our large de-palletizing robotic cells use state of the art vision technology and our proprietary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end-of-arm tools to pick up entire layers of goods and transfer them to our “singulating” robots that deconstruct the pallet down to the case level. Our singulating robots also use vision technology and other proprietary end-of-arm tools to orient each case optimally for storage and handling in our system’s storage structure. The cases then enter the scan tunnel.</w:t>
      </w:r>
    </w:p>
    <w:p>
      <w:pPr>
        <w:spacing w:after="0" w:line="1" w:lineRule="exact"/>
        <w:rPr>
          <w:rFonts w:ascii="Times New Roman" w:cs="Times New Roman" w:eastAsia="Times New Roman" w:hAnsi="Times New Roman"/>
          <w:sz w:val="13"/>
          <w:szCs w:val="13"/>
          <w:color w:val="auto"/>
        </w:rPr>
      </w:pPr>
    </w:p>
    <w:p>
      <w:pPr>
        <w:ind w:left="600" w:right="140" w:hanging="239"/>
        <w:spacing w:after="0" w:line="301" w:lineRule="auto"/>
        <w:tabs>
          <w:tab w:leader="none" w:pos="59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Floor-Loaded Inbound</w:t>
      </w:r>
      <w:r>
        <w:rPr>
          <w:rFonts w:ascii="Times New Roman" w:cs="Times New Roman" w:eastAsia="Times New Roman" w:hAnsi="Times New Roman"/>
          <w:sz w:val="13"/>
          <w:szCs w:val="13"/>
          <w:color w:val="auto"/>
        </w:rPr>
        <w:t>: When un-palletized goods reach a warehouse, such as in traditional international shipping containers where goods are loaded from floor to ceiling without the use of pallets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quick unloading, they are placed into our automated system and the individual cases enter the scan tunnel just like palletized goods.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0" w:right="60" w:hanging="239"/>
        <w:spacing w:after="0" w:line="271" w:lineRule="auto"/>
        <w:tabs>
          <w:tab w:leader="none" w:pos="59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Scan Tunnel</w:t>
      </w:r>
      <w:r>
        <w:rPr>
          <w:rFonts w:ascii="Times New Roman" w:cs="Times New Roman" w:eastAsia="Times New Roman" w:hAnsi="Times New Roman"/>
          <w:sz w:val="13"/>
          <w:szCs w:val="13"/>
          <w:color w:val="auto"/>
        </w:rPr>
        <w:t>: On the way to the storage structure, each case proceeds through a short scan tunnel where our system uses vision technology and sensors to “digitize” the dimensions and attributes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inbound case. Simultaneously, our system performs an integrity check of each case to screen for damage. If the case is damaged, it may be compromised as it moves through our system, and it may indicate damaged goods inside the case. Any case that our system determines is non-conforming or damaged is rejected by our system. An associate will either repair the case before re-induction into the system or reject the damaged goods.</w:t>
      </w:r>
    </w:p>
    <w:p>
      <w:pPr>
        <w:spacing w:after="0" w:line="5" w:lineRule="exact"/>
        <w:rPr>
          <w:rFonts w:ascii="Times New Roman" w:cs="Times New Roman" w:eastAsia="Times New Roman" w:hAnsi="Times New Roman"/>
          <w:sz w:val="13"/>
          <w:szCs w:val="13"/>
          <w:color w:val="auto"/>
        </w:rPr>
      </w:pPr>
    </w:p>
    <w:p>
      <w:pPr>
        <w:ind w:left="600" w:hanging="239"/>
        <w:spacing w:after="0" w:line="278" w:lineRule="auto"/>
        <w:tabs>
          <w:tab w:leader="none" w:pos="59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Storage Structure</w:t>
      </w:r>
      <w:r>
        <w:rPr>
          <w:rFonts w:ascii="Times New Roman" w:cs="Times New Roman" w:eastAsia="Times New Roman" w:hAnsi="Times New Roman"/>
          <w:sz w:val="13"/>
          <w:szCs w:val="13"/>
          <w:color w:val="auto"/>
        </w:rPr>
        <w:t>: The storage structure, where goods are placed, stored, and retrieved, is comprised of a number of levels stacked on top of each other. Each level is approximately three feet tall,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allowing a typical thirty-two-foot-tall warehouse to have ten levels of storage which optimizes space utilization. Each level has a transfer deck that spans the width of the structure and connects several dozen aisles that extend horizontally at a 90-degree angle from the transfer deck. Our average sized system has 200,000 linear feet of storage. The levels are connected vertically by a series of lifts.</w:t>
      </w:r>
    </w:p>
    <w:p>
      <w:pPr>
        <w:spacing w:after="0" w:line="1" w:lineRule="exact"/>
        <w:rPr>
          <w:rFonts w:ascii="Times New Roman" w:cs="Times New Roman" w:eastAsia="Times New Roman" w:hAnsi="Times New Roman"/>
          <w:sz w:val="13"/>
          <w:szCs w:val="13"/>
          <w:color w:val="auto"/>
        </w:rPr>
      </w:pPr>
    </w:p>
    <w:p>
      <w:pPr>
        <w:ind w:left="600" w:right="120" w:hanging="239"/>
        <w:spacing w:after="0" w:line="278" w:lineRule="auto"/>
        <w:tabs>
          <w:tab w:leader="none" w:pos="59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Lifts</w:t>
      </w:r>
      <w:r>
        <w:rPr>
          <w:rFonts w:ascii="Times New Roman" w:cs="Times New Roman" w:eastAsia="Times New Roman" w:hAnsi="Times New Roman"/>
          <w:sz w:val="13"/>
          <w:szCs w:val="13"/>
          <w:color w:val="auto"/>
        </w:rPr>
        <w:t>: Upon exit from the scan tunnel, the case moves to a collection of lifts that function like a bank of elevators in a building. Simultaneously, our A.I.-enabled software determines the optimal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location in the structure for storage of that case. When a case reaches the lift to which it is assigned, the lift extends its finger lift and picks up the case. The lift then brings the case to the appropriate level in the structure and places it onto a storage shelf where the case will be picked up by a Symbot. The Symbot will then bring the case to the aisle storage position for that level.</w:t>
      </w:r>
    </w:p>
    <w:p>
      <w:pPr>
        <w:spacing w:after="0" w:line="1" w:lineRule="exact"/>
        <w:rPr>
          <w:rFonts w:ascii="Times New Roman" w:cs="Times New Roman" w:eastAsia="Times New Roman" w:hAnsi="Times New Roman"/>
          <w:sz w:val="13"/>
          <w:szCs w:val="13"/>
          <w:color w:val="auto"/>
        </w:rPr>
      </w:pPr>
    </w:p>
    <w:p>
      <w:pPr>
        <w:ind w:left="600" w:right="60" w:hanging="239"/>
        <w:spacing w:after="0" w:line="271" w:lineRule="auto"/>
        <w:tabs>
          <w:tab w:leader="none" w:pos="59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Symbots</w:t>
      </w:r>
      <w:r>
        <w:rPr>
          <w:rFonts w:ascii="Times New Roman" w:cs="Times New Roman" w:eastAsia="Times New Roman" w:hAnsi="Times New Roman"/>
          <w:sz w:val="13"/>
          <w:szCs w:val="13"/>
          <w:color w:val="auto"/>
        </w:rPr>
        <w:t>: Symbots are our fully autonomous mobile goods handling robots. They are powered by rapid-charging ultracapacitors, so charging takes a matter of seconds as the Symbots drive over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charge plates integrated into the floor of the storage structure. This eliminates the need for Symbots to come out of service for charging, which allows them to operate all day for weeks at a time. Our Symbots are interchangeable and hand off tasks to each other in a live operating system without productivity loss. If a Symbot does need maintenance, an individual Symbot can be removed from our system by remote instruction.</w:t>
      </w:r>
    </w:p>
    <w:p>
      <w:pPr>
        <w:spacing w:after="0" w:line="10" w:lineRule="exact"/>
        <w:rPr>
          <w:sz w:val="20"/>
          <w:szCs w:val="20"/>
          <w:color w:val="auto"/>
        </w:rPr>
      </w:pPr>
    </w:p>
    <w:p>
      <w:pPr>
        <w:ind w:right="240" w:firstLine="240"/>
        <w:spacing w:after="0" w:line="289" w:lineRule="auto"/>
        <w:rPr>
          <w:sz w:val="20"/>
          <w:szCs w:val="20"/>
          <w:color w:val="auto"/>
        </w:rPr>
      </w:pPr>
      <w:r>
        <w:rPr>
          <w:rFonts w:ascii="Times New Roman" w:cs="Times New Roman" w:eastAsia="Times New Roman" w:hAnsi="Times New Roman"/>
          <w:sz w:val="13"/>
          <w:szCs w:val="13"/>
          <w:color w:val="auto"/>
        </w:rPr>
        <w:t>The Symbot lifts each case from the bottom using fingers that extend under the case, rather than gripping and pulling, which enables handling of the case without putting them on trays. Trayless handling allows storage of cases within five millimeters of each other.</w:t>
      </w:r>
    </w:p>
    <w:p>
      <w:pPr>
        <w:spacing w:after="0" w:line="1" w:lineRule="exact"/>
        <w:rPr>
          <w:sz w:val="20"/>
          <w:szCs w:val="20"/>
          <w:color w:val="auto"/>
        </w:rPr>
      </w:pPr>
    </w:p>
    <w:p>
      <w:pPr>
        <w:ind w:right="140" w:firstLine="240"/>
        <w:spacing w:after="0" w:line="289" w:lineRule="auto"/>
        <w:rPr>
          <w:sz w:val="20"/>
          <w:szCs w:val="20"/>
          <w:color w:val="auto"/>
        </w:rPr>
      </w:pPr>
      <w:r>
        <w:rPr>
          <w:rFonts w:ascii="Times New Roman" w:cs="Times New Roman" w:eastAsia="Times New Roman" w:hAnsi="Times New Roman"/>
          <w:sz w:val="13"/>
          <w:szCs w:val="13"/>
          <w:color w:val="auto"/>
        </w:rPr>
        <w:t>The Symbot picks up a case from the lift and enters the transfer deck on its way to the appropriate aisle. The Symbot is routed by our proprietary A.I. software to the aisle and location where a case is to be placed. Once in the appropriate aisle, the Symbot accelerates rapidly up to 25 mph towards the specific location where it has been instructed to place the case.</w:t>
      </w:r>
    </w:p>
    <w:p>
      <w:pPr>
        <w:spacing w:after="0" w:line="1" w:lineRule="exact"/>
        <w:rPr>
          <w:sz w:val="20"/>
          <w:szCs w:val="20"/>
          <w:color w:val="auto"/>
        </w:rPr>
      </w:pPr>
    </w:p>
    <w:p>
      <w:pPr>
        <w:ind w:right="360" w:firstLine="240"/>
        <w:spacing w:after="0" w:line="289" w:lineRule="auto"/>
        <w:rPr>
          <w:sz w:val="20"/>
          <w:szCs w:val="20"/>
          <w:color w:val="auto"/>
        </w:rPr>
      </w:pPr>
      <w:r>
        <w:rPr>
          <w:rFonts w:ascii="Times New Roman" w:cs="Times New Roman" w:eastAsia="Times New Roman" w:hAnsi="Times New Roman"/>
          <w:sz w:val="13"/>
          <w:szCs w:val="13"/>
          <w:color w:val="auto"/>
        </w:rPr>
        <w:t>When the Symbot reaches the appropriate placement location, it extends its finger lift and places the case on the aisle position and is ready for its next task. In a typical size and configuration system, a Symbot can reach any location in our structure and return to our inbound or outbound cells in under four minutes.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Retrieving a case is simply the reverse process of placing a case.</w:t>
      </w:r>
    </w:p>
    <w:p>
      <w:pPr>
        <w:spacing w:after="0" w:line="47" w:lineRule="exact"/>
        <w:rPr>
          <w:sz w:val="20"/>
          <w:szCs w:val="20"/>
          <w:color w:val="auto"/>
        </w:rPr>
      </w:pPr>
    </w:p>
    <w:p>
      <w:pPr>
        <w:ind w:left="600" w:right="80" w:hanging="239"/>
        <w:spacing w:after="0" w:line="271" w:lineRule="auto"/>
        <w:tabs>
          <w:tab w:leader="none" w:pos="59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Outbound</w:t>
      </w:r>
      <w:r>
        <w:rPr>
          <w:rFonts w:ascii="Times New Roman" w:cs="Times New Roman" w:eastAsia="Times New Roman" w:hAnsi="Times New Roman"/>
          <w:sz w:val="13"/>
          <w:szCs w:val="13"/>
          <w:color w:val="auto"/>
        </w:rPr>
        <w:t>: Our outbound lift retrieves cases delivered by Symbots and transfers them to the outbound level of our system. Our software utilizes the Symbots and lifts to sequence cases in an optimal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order for outbound processing. Our system typically creates a pallet comprised of a variety of different goods and SKUs (known as a “rainbow pallet”). Our system can also create a rainbow pallet based upon a customer’s store plan. Specifically, the rainbow pallet can consist of products for a specific store aisle, which can be delivered directly from a truck to the end of an aisle so that store employees can unpack the cases from the pallet, replenish shelves quickly, and reduce store labor costs.</w:t>
      </w:r>
    </w:p>
    <w:p>
      <w:pPr>
        <w:spacing w:after="0" w:line="5" w:lineRule="exact"/>
        <w:rPr>
          <w:rFonts w:ascii="Times New Roman" w:cs="Times New Roman" w:eastAsia="Times New Roman" w:hAnsi="Times New Roman"/>
          <w:sz w:val="13"/>
          <w:szCs w:val="13"/>
          <w:color w:val="auto"/>
        </w:rPr>
      </w:pPr>
    </w:p>
    <w:p>
      <w:pPr>
        <w:ind w:left="600" w:right="200" w:hanging="239"/>
        <w:spacing w:after="0" w:line="301" w:lineRule="auto"/>
        <w:tabs>
          <w:tab w:leader="none" w:pos="59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Palletizing</w:t>
      </w:r>
      <w:r>
        <w:rPr>
          <w:rFonts w:ascii="Times New Roman" w:cs="Times New Roman" w:eastAsia="Times New Roman" w:hAnsi="Times New Roman"/>
          <w:sz w:val="13"/>
          <w:szCs w:val="13"/>
          <w:color w:val="auto"/>
        </w:rPr>
        <w:t>: Our system uses A.I.-enabled software that allows us to palletize cases using two robotic arms on opposite sides of a pallet. These two robotic arms work together placing a case onto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pallet in less than three seconds.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Competitive Strengths</w:t>
      </w:r>
    </w:p>
    <w:p>
      <w:pPr>
        <w:spacing w:after="0" w:line="95"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We have significant advantages over our competitors because of our people, technologies, and experience, underpinned by decades of leadership in supply chain operations and innovation. Specifically, we benefit from the following competitive advantages: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Experienced, Founder-Led Leadership Team</w:t>
      </w:r>
    </w:p>
    <w:p>
      <w:pPr>
        <w:spacing w:after="0" w:line="95" w:lineRule="exact"/>
        <w:rPr>
          <w:sz w:val="20"/>
          <w:szCs w:val="20"/>
          <w:color w:val="auto"/>
        </w:rPr>
      </w:pPr>
    </w:p>
    <w:p>
      <w:pPr>
        <w:ind w:right="20" w:firstLine="240"/>
        <w:spacing w:after="0" w:line="289" w:lineRule="auto"/>
        <w:rPr>
          <w:sz w:val="20"/>
          <w:szCs w:val="20"/>
          <w:color w:val="auto"/>
        </w:rPr>
      </w:pPr>
      <w:r>
        <w:rPr>
          <w:rFonts w:ascii="Times New Roman" w:cs="Times New Roman" w:eastAsia="Times New Roman" w:hAnsi="Times New Roman"/>
          <w:sz w:val="13"/>
          <w:szCs w:val="13"/>
          <w:color w:val="auto"/>
        </w:rPr>
        <w:t>We are a founder-led company. Our Chairman, Chief Executive Officer, and significant shareholder, Richard B. Cohen, started Symbotic in 2006 to develop advanced technologies to make the supply chain work better for everyone. This vision was inspired by Mr. Cohen’s experiences building C&amp;S Wholesale Grocers.</w:t>
      </w:r>
    </w:p>
    <w:p>
      <w:pPr>
        <w:spacing w:after="0" w:line="1" w:lineRule="exact"/>
        <w:rPr>
          <w:sz w:val="20"/>
          <w:szCs w:val="20"/>
          <w:color w:val="auto"/>
        </w:rPr>
      </w:pPr>
    </w:p>
    <w:p>
      <w:pPr>
        <w:ind w:right="420" w:firstLine="240"/>
        <w:spacing w:after="0" w:line="276" w:lineRule="auto"/>
        <w:rPr>
          <w:sz w:val="20"/>
          <w:szCs w:val="20"/>
          <w:color w:val="auto"/>
        </w:rPr>
      </w:pPr>
      <w:r>
        <w:rPr>
          <w:rFonts w:ascii="Times New Roman" w:cs="Times New Roman" w:eastAsia="Times New Roman" w:hAnsi="Times New Roman"/>
          <w:sz w:val="13"/>
          <w:szCs w:val="13"/>
          <w:color w:val="auto"/>
        </w:rPr>
        <w:t>Mr. Cohen is an accomplished business builder, as evidenced by his helping lead sales growth at C&amp;S Wholesale Grocers from $14 million in 1974 to over $20 billion in 2023. Effectively running warehouse operations for the low margin grocery industry, Mr. Cohen has been building, running, and innovating warehouses for two generations. We believe our founder’s deep industry and operational expertise is a core competitive advantage for us.</w:t>
      </w:r>
    </w:p>
    <w:p>
      <w:pPr>
        <w:spacing w:after="0" w:line="5" w:lineRule="exact"/>
        <w:rPr>
          <w:sz w:val="20"/>
          <w:szCs w:val="20"/>
          <w:color w:val="auto"/>
        </w:rPr>
      </w:pPr>
    </w:p>
    <w:p>
      <w:pPr>
        <w:ind w:right="260" w:firstLine="240"/>
        <w:spacing w:after="0" w:line="294" w:lineRule="auto"/>
        <w:rPr>
          <w:sz w:val="20"/>
          <w:szCs w:val="20"/>
          <w:color w:val="auto"/>
        </w:rPr>
      </w:pPr>
      <w:r>
        <w:rPr>
          <w:rFonts w:ascii="Times New Roman" w:cs="Times New Roman" w:eastAsia="Times New Roman" w:hAnsi="Times New Roman"/>
          <w:sz w:val="13"/>
          <w:szCs w:val="13"/>
          <w:color w:val="auto"/>
        </w:rPr>
        <w:t>Mr. Cohen built a team of experienced board members and executives with a diverse range of technology expertise acquired at industry leading companies and institutions such as Amazon, The Boeing Company, Fortna, Manhattan Associates, MIT, SoftBank, Staples, Tesla, Toyota, and Walmart.</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Unique Team Culture</w:t>
      </w:r>
    </w:p>
    <w:p>
      <w:pPr>
        <w:spacing w:after="0" w:line="9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Our team has harnessed first principles thinking to help us understand complex systems like supply chains and automation in simple, elemental ways. This approach unburdens our creativity from the constraints of legacy problem solving. First principles thinking also leads us to constantly question our established approaches to problems, freeing us to invent new technologies to improve the supply chain. Approximately half of our team is composed of software, mechanical, electrical, and systems engineers and scientists focused on our technology solutions. As a result, we have developed or created a significant amount of intellectual property protecting our core technology, including a patent portfolio with over 700 patent filings.</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First Mover Advantage with Differentiated System Architecture</w:t>
      </w:r>
    </w:p>
    <w:p>
      <w:pPr>
        <w:spacing w:after="0" w:line="95" w:lineRule="exact"/>
        <w:rPr>
          <w:sz w:val="20"/>
          <w:szCs w:val="20"/>
          <w:color w:val="auto"/>
        </w:rPr>
      </w:pPr>
    </w:p>
    <w:p>
      <w:pPr>
        <w:ind w:right="600" w:firstLine="240"/>
        <w:spacing w:after="0" w:line="294" w:lineRule="auto"/>
        <w:rPr>
          <w:sz w:val="20"/>
          <w:szCs w:val="20"/>
          <w:color w:val="auto"/>
        </w:rPr>
      </w:pPr>
      <w:r>
        <w:rPr>
          <w:rFonts w:ascii="Times New Roman" w:cs="Times New Roman" w:eastAsia="Times New Roman" w:hAnsi="Times New Roman"/>
          <w:sz w:val="13"/>
          <w:szCs w:val="13"/>
          <w:color w:val="auto"/>
        </w:rPr>
        <w:t>We believe we have developed highly unique system architecture, which uses fully autonomous robots at scale and in real world supply chain applications. The advantages of this approach are so compelling, as measured by performance data in real world applications, that we believe our system can become the de facto standard approach for how warehouses operate.</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Superior System Return on Investment</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Based on quantifiable metrics, our system provides our customers with rapid recovery of investment costs and a compelling return on investment.</w:t>
      </w:r>
    </w:p>
    <w:p>
      <w:pPr>
        <w:spacing w:after="0" w:line="47" w:lineRule="exact"/>
        <w:rPr>
          <w:sz w:val="20"/>
          <w:szCs w:val="20"/>
          <w:color w:val="auto"/>
        </w:rPr>
      </w:pPr>
    </w:p>
    <w:p>
      <w:pPr>
        <w:ind w:left="480" w:right="5840" w:hanging="239"/>
        <w:spacing w:after="0" w:line="271" w:lineRule="auto"/>
        <w:tabs>
          <w:tab w:leader="none" w:pos="47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Superior Product Throughput</w:t>
      </w:r>
      <w:r>
        <w:rPr>
          <w:rFonts w:ascii="Times New Roman" w:cs="Times New Roman" w:eastAsia="Times New Roman" w:hAnsi="Times New Roman"/>
          <w:sz w:val="13"/>
          <w:szCs w:val="13"/>
          <w:color w:val="auto"/>
        </w:rPr>
        <w:t>: The high density of our system, the optimized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randomized storage of our architecture, and the speed and agility of our autonomous mobile robots minimizes movement to increase throughput, enhances SKU agility, and reduces the number of robots required to distribute product.</w:t>
      </w:r>
    </w:p>
    <w:p>
      <w:pPr>
        <w:spacing w:after="0" w:line="5" w:lineRule="exact"/>
        <w:rPr>
          <w:rFonts w:ascii="Times New Roman" w:cs="Times New Roman" w:eastAsia="Times New Roman" w:hAnsi="Times New Roman"/>
          <w:sz w:val="13"/>
          <w:szCs w:val="13"/>
          <w:color w:val="auto"/>
        </w:rPr>
      </w:pPr>
    </w:p>
    <w:p>
      <w:pPr>
        <w:ind w:left="480" w:right="5680" w:hanging="239"/>
        <w:spacing w:after="0" w:line="266" w:lineRule="auto"/>
        <w:tabs>
          <w:tab w:leader="none" w:pos="47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High Density System &amp; Storage</w:t>
      </w:r>
      <w:r>
        <w:rPr>
          <w:rFonts w:ascii="Times New Roman" w:cs="Times New Roman" w:eastAsia="Times New Roman" w:hAnsi="Times New Roman"/>
          <w:sz w:val="13"/>
          <w:szCs w:val="13"/>
          <w:color w:val="auto"/>
        </w:rPr>
        <w:t>: Partial pallets represent an increased level of on-hand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inventory and leave unused volume within the warehouse. Volume adds expense because it has a storage cost and adds movement distance that slows down the movement of goods through the supply chain. By managing goods at the case and tote level, rather than at the pallet level, our system removes unused space from the warehouse, stores merchandise more densely, and increases the speed of product throughput.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-1052195</wp:posOffset>
            </wp:positionV>
            <wp:extent cx="1965325" cy="189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532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20"/>
          </w:cols>
          <w:pgMar w:left="300" w:top="177" w:right="37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 w:right="340" w:hanging="239"/>
        <w:spacing w:after="0" w:line="289" w:lineRule="auto"/>
        <w:tabs>
          <w:tab w:leader="none" w:pos="47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 Compromise Retrofit</w:t>
      </w:r>
      <w:r>
        <w:rPr>
          <w:rFonts w:ascii="Times New Roman" w:cs="Times New Roman" w:eastAsia="Times New Roman" w:hAnsi="Times New Roman"/>
          <w:sz w:val="13"/>
          <w:szCs w:val="13"/>
          <w:color w:val="auto"/>
        </w:rPr>
        <w:t>: The modularity of our system allows us to install our system in existing warehouses while achieving full performance benefits. We are also able to install our system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phases, which allows the warehouse to continue to operate while the transition to our system is underway.</w:t>
      </w:r>
    </w:p>
    <w:p>
      <w:pPr>
        <w:ind w:left="480" w:right="280" w:hanging="239"/>
        <w:spacing w:after="0" w:line="289" w:lineRule="auto"/>
        <w:tabs>
          <w:tab w:leader="none" w:pos="47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Inventory Reduction &amp; SKU Agility</w:t>
      </w:r>
      <w:r>
        <w:rPr>
          <w:rFonts w:ascii="Times New Roman" w:cs="Times New Roman" w:eastAsia="Times New Roman" w:hAnsi="Times New Roman"/>
          <w:sz w:val="13"/>
          <w:szCs w:val="13"/>
          <w:color w:val="auto"/>
        </w:rPr>
        <w:t>: The accuracy, throughput speed, and density of our system allows our customers to achieve a higher level of availability and maintain a wider range of SKU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variety with less inventory.</w:t>
      </w:r>
    </w:p>
    <w:p>
      <w:pPr>
        <w:ind w:left="480" w:hanging="239"/>
        <w:spacing w:after="0"/>
        <w:tabs>
          <w:tab w:leader="none" w:pos="4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Fulfillment Accuracy</w:t>
      </w:r>
      <w:r>
        <w:rPr>
          <w:rFonts w:ascii="Times New Roman" w:cs="Times New Roman" w:eastAsia="Times New Roman" w:hAnsi="Times New Roman"/>
          <w:sz w:val="13"/>
          <w:szCs w:val="13"/>
          <w:color w:val="auto"/>
        </w:rPr>
        <w:t>: Our digitization strategy, A.I.-enabled store/retrieve software and other automated systems contribute to the 99.9999% fulfillment accuracy of our system.</w:t>
      </w:r>
    </w:p>
    <w:p>
      <w:pPr>
        <w:spacing w:after="0" w:line="50" w:lineRule="exact"/>
        <w:rPr>
          <w:rFonts w:ascii="Times New Roman" w:cs="Times New Roman" w:eastAsia="Times New Roman" w:hAnsi="Times New Roman"/>
          <w:sz w:val="13"/>
          <w:szCs w:val="13"/>
          <w:color w:val="auto"/>
        </w:rPr>
      </w:pPr>
    </w:p>
    <w:p>
      <w:pPr>
        <w:ind w:left="480" w:right="160" w:hanging="239"/>
        <w:spacing w:after="0" w:line="278" w:lineRule="auto"/>
        <w:tabs>
          <w:tab w:leader="none" w:pos="47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System Resilience</w:t>
      </w:r>
      <w:r>
        <w:rPr>
          <w:rFonts w:ascii="Times New Roman" w:cs="Times New Roman" w:eastAsia="Times New Roman" w:hAnsi="Times New Roman"/>
          <w:sz w:val="13"/>
          <w:szCs w:val="13"/>
          <w:color w:val="auto"/>
        </w:rPr>
        <w:t>: Our system-of-systems architecture philosophy eliminates single points of failure, which enhances system resiliency. We utilize a redundant array of autonomous robots, lifts,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inbound and outbound palletizing systems. This allows any part of our system to assume the task load of another system part if any sub-system fails. In addition, our hardware and software are engineered for rapid serviceability utilizing field-replaceable components wherever possible.</w:t>
      </w:r>
    </w:p>
    <w:p>
      <w:pPr>
        <w:spacing w:after="0" w:line="1" w:lineRule="exact"/>
        <w:rPr>
          <w:rFonts w:ascii="Times New Roman" w:cs="Times New Roman" w:eastAsia="Times New Roman" w:hAnsi="Times New Roman"/>
          <w:sz w:val="13"/>
          <w:szCs w:val="13"/>
          <w:color w:val="auto"/>
        </w:rPr>
      </w:pPr>
    </w:p>
    <w:p>
      <w:pPr>
        <w:ind w:left="480" w:right="80" w:hanging="239"/>
        <w:spacing w:after="0" w:line="301" w:lineRule="auto"/>
        <w:tabs>
          <w:tab w:leader="none" w:pos="47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System Scalability</w:t>
      </w:r>
      <w:r>
        <w:rPr>
          <w:rFonts w:ascii="Times New Roman" w:cs="Times New Roman" w:eastAsia="Times New Roman" w:hAnsi="Times New Roman"/>
          <w:sz w:val="13"/>
          <w:szCs w:val="13"/>
          <w:color w:val="auto"/>
        </w:rPr>
        <w:t>: Our system can be scaled to fit the needs of our customers and scale of their facilities. We are also able to install our systems in phases, allowing the warehouse facility to continue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operate while the transition to our system is underway. We can easily reconfigure and expand our system to accommodate SKU proliferation as our customers’ needs and strategies evolve.</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Remaining Performance Obligations (“Backlog”)</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September 28, 2024, we had approximately $22.4 billion of backlog of orders from our customers, of which approximately 10% is expected to be recognized as revenue in fiscal year 2025.</w:t>
      </w:r>
    </w:p>
    <w:p>
      <w:pPr>
        <w:spacing w:after="0" w:line="51" w:lineRule="exact"/>
        <w:rPr>
          <w:sz w:val="20"/>
          <w:szCs w:val="20"/>
          <w:color w:val="auto"/>
        </w:rPr>
      </w:pPr>
    </w:p>
    <w:p>
      <w:pPr>
        <w:ind w:right="60" w:firstLine="240"/>
        <w:spacing w:after="0" w:line="289" w:lineRule="auto"/>
        <w:rPr>
          <w:sz w:val="20"/>
          <w:szCs w:val="20"/>
          <w:color w:val="auto"/>
        </w:rPr>
      </w:pPr>
      <w:r>
        <w:rPr>
          <w:rFonts w:ascii="Times New Roman" w:cs="Times New Roman" w:eastAsia="Times New Roman" w:hAnsi="Times New Roman"/>
          <w:sz w:val="13"/>
          <w:szCs w:val="13"/>
          <w:color w:val="auto"/>
        </w:rPr>
        <w:t>The backlog is largely structured to maintain our gross profit targets even in times of high inflation or supply chain related price increases. For example, in most cases, increases in steel prices are passed on to the customer, preserving our gross profit.</w:t>
      </w:r>
    </w:p>
    <w:p>
      <w:pPr>
        <w:spacing w:after="0" w:line="1" w:lineRule="exact"/>
        <w:rPr>
          <w:sz w:val="20"/>
          <w:szCs w:val="20"/>
          <w:color w:val="auto"/>
        </w:rPr>
      </w:pPr>
    </w:p>
    <w:p>
      <w:pPr>
        <w:ind w:right="20" w:firstLine="240"/>
        <w:spacing w:after="0" w:line="276" w:lineRule="auto"/>
        <w:rPr>
          <w:sz w:val="20"/>
          <w:szCs w:val="20"/>
          <w:color w:val="auto"/>
        </w:rPr>
      </w:pPr>
      <w:r>
        <w:rPr>
          <w:rFonts w:ascii="Times New Roman" w:cs="Times New Roman" w:eastAsia="Times New Roman" w:hAnsi="Times New Roman"/>
          <w:sz w:val="13"/>
          <w:szCs w:val="13"/>
          <w:color w:val="auto"/>
        </w:rPr>
        <w:t>Our contracts do not contain termination for convenience clauses. Outside of insolvency, or specific change in control provisions, most of our backlog can only be terminated if we do not deliver the System with its defined performance standards, which we believe to be unlikely. In addition, because our System significantly reduces our customers’ costs, contract termination by our customers would be costly and disruptive to their operations, enhancing our ability to retain our customers.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Backbone of Commerce</w:t>
      </w:r>
    </w:p>
    <w:p>
      <w:pPr>
        <w:spacing w:after="0" w:line="95"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3"/>
          <w:szCs w:val="13"/>
          <w:color w:val="auto"/>
        </w:rPr>
        <w:t>Our expertise has been established at the front end of the supply chain because our system “handshakes” directly with producers and manufacturers who are the first node in the supply chain. Our system is the backbone of commerce because our optimized case handling capability benefits all nodes downstream in the supply chain. Our system has a strategic impact for our customers and is mission critical for daily operations. We believe this will result in high rates of customer retention.</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are also prototyping our second generation of Breakpack system, a full-scale, individual unit handling application, that can be integrated into our case handling system, and be installed in the warehouse.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this capability is unique and will drive supply chain efficiency through reduced handling and the ability to buffer inventory at either the precise unit, or case count.</w:t>
      </w:r>
    </w:p>
    <w:p>
      <w:pPr>
        <w:spacing w:after="0" w:line="38" w:lineRule="exact"/>
        <w:rPr>
          <w:sz w:val="20"/>
          <w:szCs w:val="20"/>
          <w:color w:val="auto"/>
        </w:rPr>
      </w:pPr>
    </w:p>
    <w:p>
      <w:pPr>
        <w:jc w:val="both"/>
        <w:ind w:right="160" w:firstLine="240"/>
        <w:spacing w:after="0" w:line="276" w:lineRule="auto"/>
        <w:rPr>
          <w:sz w:val="20"/>
          <w:szCs w:val="20"/>
          <w:color w:val="auto"/>
        </w:rPr>
      </w:pPr>
      <w:r>
        <w:rPr>
          <w:rFonts w:ascii="Times New Roman" w:cs="Times New Roman" w:eastAsia="Times New Roman" w:hAnsi="Times New Roman"/>
          <w:sz w:val="13"/>
          <w:szCs w:val="13"/>
          <w:color w:val="auto"/>
        </w:rPr>
        <w:t>We believe our competitive positioning is highly differentiated because our upstream expertise facilitates our integration with other downstream applications, including our Breakpack system. Our system resides upstream in the supply chain from systems for e-commerce fulfillment centers. Our competitors have not established automated case level storage or warehouse expertise, which makes their upstream integration significantly more challenging than our downstream integration.</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Our Market Opportunity</w:t>
      </w:r>
    </w:p>
    <w:p>
      <w:pPr>
        <w:spacing w:after="0" w:line="9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We define our primary addressable market as the total potential spend on our system over the next 15 years for U.S. warehouses in the general merchandise, ambient grocery, ambient food distribution, consumer packaged food, and apparel verticals. We estimate the size of our initial addressable market to be $144 billion based on the number of warehouses in each of those verticals, our estimates of the percent of warehouses in each vertical that are addressable, and the expected average price of our system and associated recurring revenue.</w:t>
      </w:r>
    </w:p>
    <w:p>
      <w:pPr>
        <w:spacing w:after="0" w:line="5" w:lineRule="exact"/>
        <w:rPr>
          <w:sz w:val="20"/>
          <w:szCs w:val="20"/>
          <w:color w:val="auto"/>
        </w:rPr>
      </w:pPr>
    </w:p>
    <w:p>
      <w:pPr>
        <w:ind w:right="440" w:firstLine="240"/>
        <w:spacing w:after="0" w:line="294" w:lineRule="auto"/>
        <w:rPr>
          <w:sz w:val="20"/>
          <w:szCs w:val="20"/>
          <w:color w:val="auto"/>
        </w:rPr>
      </w:pPr>
      <w:r>
        <w:rPr>
          <w:rFonts w:ascii="Times New Roman" w:cs="Times New Roman" w:eastAsia="Times New Roman" w:hAnsi="Times New Roman"/>
          <w:sz w:val="13"/>
          <w:szCs w:val="13"/>
          <w:color w:val="auto"/>
        </w:rPr>
        <w:t>We estimate that there is an additional $126 billion in market opportunity from our secondary verticals (non-food consumer packaged goods, home improvement, auto parts, third-party logistics, and refrigerated and frozen foods).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firstLine="240"/>
        <w:spacing w:after="0" w:line="289" w:lineRule="auto"/>
        <w:rPr>
          <w:sz w:val="20"/>
          <w:szCs w:val="20"/>
          <w:color w:val="auto"/>
        </w:rPr>
      </w:pPr>
      <w:r>
        <w:rPr>
          <w:rFonts w:ascii="Times New Roman" w:cs="Times New Roman" w:eastAsia="Times New Roman" w:hAnsi="Times New Roman"/>
          <w:sz w:val="13"/>
          <w:szCs w:val="13"/>
          <w:color w:val="auto"/>
        </w:rPr>
        <w:t>Over time we plan to expand beyond our primary and secondary target verticals, into additional verticals such as pharmaceuticals and electronics. To capture the size of this broader market opportunity, we estimate the size of these additional verticals in the United States at an additional $52 billion (using the same methodology we use for our primary and secondary verticals).</w:t>
      </w:r>
    </w:p>
    <w:p>
      <w:pPr>
        <w:spacing w:after="0" w:line="1" w:lineRule="exact"/>
        <w:rPr>
          <w:sz w:val="20"/>
          <w:szCs w:val="20"/>
          <w:color w:val="auto"/>
        </w:rPr>
      </w:pPr>
    </w:p>
    <w:p>
      <w:pPr>
        <w:ind w:right="60" w:firstLine="240"/>
        <w:spacing w:after="0" w:line="268" w:lineRule="auto"/>
        <w:rPr>
          <w:sz w:val="20"/>
          <w:szCs w:val="20"/>
          <w:color w:val="auto"/>
        </w:rPr>
      </w:pPr>
      <w:r>
        <w:rPr>
          <w:rFonts w:ascii="Times New Roman" w:cs="Times New Roman" w:eastAsia="Times New Roman" w:hAnsi="Times New Roman"/>
          <w:sz w:val="13"/>
          <w:szCs w:val="13"/>
          <w:color w:val="auto"/>
        </w:rPr>
        <w:t>We also plan to expand to Europe, and further expand within Canada, so we define our total addressable market as our total U.S. market opportunity of $321 billion plus our market opportunity in Canada and Europe, which we estimate to be an additional $111 billion. This implies a total addressable market of $432 billion. To estimate our market opportunity in Europe and Canada we assume the number of warehouses in each country relative to the number of warehouses in the U.S. is proportionate to their relative GDPs. We then multiply the resulting number of warehouses by our estimate for the percent of those warehouses that are addressable and by our estimate for the average price of our system and associated recurring revenue outside the U.S. After the fiscal year completed, we also began our first expansion into Latin America.</w:t>
      </w:r>
    </w:p>
    <w:p>
      <w:pPr>
        <w:spacing w:after="0" w:line="174"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The GreenBox joint venture was established to serve the needs of outsourced case handling. Generally known as third-party logistics, our focus is on the warehouse-as-a-service (WaaS) market (“WaaS Market”). The WaaS Market has witnessed significant growth in recent years, driven by the increasing demand for flexible and scalable warehousing solutions. As businesses focus on optimizing their supply chain operations, WaaS has emerged as a strategic alternative to captive warehouses, offering on-demand access to warehouse facilities, advanced inventory management systems, and technology-driven logistics solutions that benefit from automation and A.I. We believe the WaaS Market has the potential for sustained growth, underpinned by the rise of globalization, outsourcing, e-commerce, and the evolving preferences of businesses seeking cost-effective and agile warehousing solutions.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Growth Strategy</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key elements of our strategy for growth include the following:</w:t>
      </w:r>
    </w:p>
    <w:p>
      <w:pPr>
        <w:spacing w:after="0" w:line="47" w:lineRule="exact"/>
        <w:rPr>
          <w:sz w:val="20"/>
          <w:szCs w:val="20"/>
          <w:color w:val="auto"/>
        </w:rPr>
      </w:pPr>
    </w:p>
    <w:p>
      <w:pPr>
        <w:ind w:left="480" w:right="60" w:hanging="239"/>
        <w:spacing w:after="0" w:line="278" w:lineRule="auto"/>
        <w:tabs>
          <w:tab w:leader="none" w:pos="47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Further penetrate customers’ operations</w:t>
      </w:r>
      <w:r>
        <w:rPr>
          <w:rFonts w:ascii="Times New Roman" w:cs="Times New Roman" w:eastAsia="Times New Roman" w:hAnsi="Times New Roman"/>
          <w:sz w:val="13"/>
          <w:szCs w:val="13"/>
          <w:color w:val="auto"/>
        </w:rPr>
        <w:t>: Our customers are large companies, many of which have thousands of stores and hundreds of warehouses and distribution centers. Under our customer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contracts, we are converting a portion of these customers’ warehouses and distribution centers in the United States to our system. We fully expect that the value these customers receive from our system will translate into winning full deployments at the remainder of their warehouses and distribution centers and therefore, we expect to grow our market share.</w:t>
      </w:r>
    </w:p>
    <w:p>
      <w:pPr>
        <w:spacing w:after="0" w:line="1" w:lineRule="exact"/>
        <w:rPr>
          <w:rFonts w:ascii="Times New Roman" w:cs="Times New Roman" w:eastAsia="Times New Roman" w:hAnsi="Times New Roman"/>
          <w:sz w:val="13"/>
          <w:szCs w:val="13"/>
          <w:color w:val="auto"/>
        </w:rPr>
      </w:pPr>
    </w:p>
    <w:p>
      <w:pPr>
        <w:ind w:left="480" w:right="100" w:hanging="239"/>
        <w:spacing w:after="0" w:line="289" w:lineRule="auto"/>
        <w:tabs>
          <w:tab w:leader="none" w:pos="47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Win additional customers in existing verticals</w:t>
      </w:r>
      <w:r>
        <w:rPr>
          <w:rFonts w:ascii="Times New Roman" w:cs="Times New Roman" w:eastAsia="Times New Roman" w:hAnsi="Times New Roman"/>
          <w:sz w:val="13"/>
          <w:szCs w:val="13"/>
          <w:color w:val="auto"/>
        </w:rPr>
        <w:t>: Given the size of our primary serviceable addressable market relative to the size of our customer base, there is significant room for us to expand in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primary addressable market. We have numerous other potential customers in various stages of the sales cycle and we expect to win new customers in our primary addressable market.</w:t>
      </w:r>
    </w:p>
    <w:p>
      <w:pPr>
        <w:ind w:left="480" w:right="40" w:hanging="239"/>
        <w:spacing w:after="0" w:line="278" w:lineRule="auto"/>
        <w:tabs>
          <w:tab w:leader="none" w:pos="47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Expand into new verticals</w:t>
      </w:r>
      <w:r>
        <w:rPr>
          <w:rFonts w:ascii="Times New Roman" w:cs="Times New Roman" w:eastAsia="Times New Roman" w:hAnsi="Times New Roman"/>
          <w:sz w:val="13"/>
          <w:szCs w:val="13"/>
          <w:color w:val="auto"/>
        </w:rPr>
        <w:t>: We believe that every vertical that involves the physical distribution of goods through a warehouse or distribution center is a potential customer. We have the intention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technological capability to expand into the non-food consumer packaged goods, auto parts, and third-party logistics verticals. Additionally, as we build our refrigerated and frozen capabilities, we intend to expand into these verticals.</w:t>
      </w:r>
    </w:p>
    <w:p>
      <w:pPr>
        <w:spacing w:after="0" w:line="1" w:lineRule="exact"/>
        <w:rPr>
          <w:rFonts w:ascii="Times New Roman" w:cs="Times New Roman" w:eastAsia="Times New Roman" w:hAnsi="Times New Roman"/>
          <w:sz w:val="13"/>
          <w:szCs w:val="13"/>
          <w:color w:val="auto"/>
        </w:rPr>
      </w:pPr>
    </w:p>
    <w:p>
      <w:pPr>
        <w:ind w:left="480" w:hanging="239"/>
        <w:spacing w:after="0" w:line="271" w:lineRule="auto"/>
        <w:tabs>
          <w:tab w:leader="none" w:pos="47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Expand product offerings</w:t>
      </w:r>
      <w:r>
        <w:rPr>
          <w:rFonts w:ascii="Times New Roman" w:cs="Times New Roman" w:eastAsia="Times New Roman" w:hAnsi="Times New Roman"/>
          <w:sz w:val="13"/>
          <w:szCs w:val="13"/>
          <w:color w:val="auto"/>
        </w:rPr>
        <w:t>: We intend to expand our product suite to increase our value to our customers and to attract new customers. For example, by building our integrated item handling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application, we can help our customers manage an increasing variety of SKUs and optimize their e-commerce operations. We can also increase our appeal to pure-play e-commerce retailers. Because our system is designed to integrate third-party applications, we are also exploring opportunities to expand our product suite through partnerships, investments, and acquisitions. Finally, we are exploring new business models, specifically by adding reverse logistics and WaaS offerings. These future anticipated products are not included in our current support and maintenance arrangements.</w:t>
      </w:r>
    </w:p>
    <w:p>
      <w:pPr>
        <w:spacing w:after="0" w:line="5" w:lineRule="exact"/>
        <w:rPr>
          <w:rFonts w:ascii="Times New Roman" w:cs="Times New Roman" w:eastAsia="Times New Roman" w:hAnsi="Times New Roman"/>
          <w:sz w:val="13"/>
          <w:szCs w:val="13"/>
          <w:color w:val="auto"/>
        </w:rPr>
      </w:pPr>
    </w:p>
    <w:p>
      <w:pPr>
        <w:ind w:left="480" w:right="60" w:hanging="239"/>
        <w:spacing w:after="0" w:line="289" w:lineRule="auto"/>
        <w:tabs>
          <w:tab w:leader="none" w:pos="47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Geographic Expansion</w:t>
      </w:r>
      <w:r>
        <w:rPr>
          <w:rFonts w:ascii="Times New Roman" w:cs="Times New Roman" w:eastAsia="Times New Roman" w:hAnsi="Times New Roman"/>
          <w:sz w:val="13"/>
          <w:szCs w:val="13"/>
          <w:color w:val="auto"/>
        </w:rPr>
        <w:t>: We intend to expand beyond the United States and Canada. We are currently evaluating opportunities in Europe and the Middle East, and after our fiscal year completed, began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our first expansion into Latin America.</w:t>
      </w:r>
    </w:p>
    <w:p>
      <w:pPr>
        <w:ind w:left="480" w:right="20" w:hanging="239"/>
        <w:spacing w:after="0" w:line="301" w:lineRule="auto"/>
        <w:tabs>
          <w:tab w:leader="none" w:pos="477"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WaaS</w:t>
      </w:r>
      <w:r>
        <w:rPr>
          <w:rFonts w:ascii="Times New Roman" w:cs="Times New Roman" w:eastAsia="Times New Roman" w:hAnsi="Times New Roman"/>
          <w:sz w:val="13"/>
          <w:szCs w:val="13"/>
          <w:color w:val="auto"/>
        </w:rPr>
        <w:t>: We are addressing the WaaS market through our GreenBox joint venture, which we believe is positioned to leverage our expertise and the technology of our system to capture opportunities, meet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evolving customer needs, and drive sustainable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4" w:name="page15"/>
    <w:bookmarkEnd w:id="1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95" w:lineRule="exact"/>
        <w:rPr>
          <w:sz w:val="20"/>
          <w:szCs w:val="20"/>
          <w:color w:val="auto"/>
        </w:rPr>
      </w:pPr>
    </w:p>
    <w:p>
      <w:pPr>
        <w:ind w:right="120" w:firstLine="240"/>
        <w:spacing w:after="0" w:line="289" w:lineRule="auto"/>
        <w:rPr>
          <w:sz w:val="20"/>
          <w:szCs w:val="20"/>
          <w:color w:val="auto"/>
        </w:rPr>
      </w:pPr>
      <w:r>
        <w:rPr>
          <w:rFonts w:ascii="Times New Roman" w:cs="Times New Roman" w:eastAsia="Times New Roman" w:hAnsi="Times New Roman"/>
          <w:sz w:val="13"/>
          <w:szCs w:val="13"/>
          <w:color w:val="auto"/>
        </w:rPr>
        <w:t>Most of our primary market relies on conventional manual and semi-mechanized systems that are labor intensive. There are several point solutions available in the market that automate certain components of the warehouse or distribution center, but few offer comprehensive systems. Those that do typically require a significant greenfield real estate investment.</w:t>
      </w:r>
    </w:p>
    <w:p>
      <w:pPr>
        <w:spacing w:after="0" w:line="1" w:lineRule="exact"/>
        <w:rPr>
          <w:sz w:val="20"/>
          <w:szCs w:val="20"/>
          <w:color w:val="auto"/>
        </w:rPr>
      </w:pPr>
    </w:p>
    <w:p>
      <w:pPr>
        <w:ind w:firstLine="240"/>
        <w:spacing w:after="0" w:line="289" w:lineRule="auto"/>
        <w:rPr>
          <w:sz w:val="20"/>
          <w:szCs w:val="20"/>
          <w:color w:val="auto"/>
        </w:rPr>
      </w:pPr>
      <w:r>
        <w:rPr>
          <w:rFonts w:ascii="Times New Roman" w:cs="Times New Roman" w:eastAsia="Times New Roman" w:hAnsi="Times New Roman"/>
          <w:sz w:val="13"/>
          <w:szCs w:val="13"/>
          <w:color w:val="auto"/>
        </w:rPr>
        <w:t>Some point solutions such as specific goods-to-people robotics or pick and pack robotic arm solutions address only specific supply chain functions but do not maximize the efficiency of the supply chain as a whole. These solutions also must be integrated with other disparate technologies, which often comes at significant cost and time and adds latency to operations.</w:t>
      </w:r>
    </w:p>
    <w:p>
      <w:pPr>
        <w:spacing w:after="0" w:line="1" w:lineRule="exact"/>
        <w:rPr>
          <w:sz w:val="20"/>
          <w:szCs w:val="20"/>
          <w:color w:val="auto"/>
        </w:rPr>
      </w:pPr>
    </w:p>
    <w:p>
      <w:pPr>
        <w:ind w:right="240" w:firstLine="240"/>
        <w:spacing w:after="0" w:line="276" w:lineRule="auto"/>
        <w:rPr>
          <w:sz w:val="20"/>
          <w:szCs w:val="20"/>
          <w:color w:val="auto"/>
        </w:rPr>
      </w:pPr>
      <w:r>
        <w:rPr>
          <w:rFonts w:ascii="Times New Roman" w:cs="Times New Roman" w:eastAsia="Times New Roman" w:hAnsi="Times New Roman"/>
          <w:sz w:val="13"/>
          <w:szCs w:val="13"/>
          <w:color w:val="auto"/>
        </w:rPr>
        <w:t>The companies that offer comprehensive solutions, most notably Witron, Honeywell, Dematic, Vanderlande, Knapp AG, SSI Schaefer, and Swisslog, have systems that are composed of a disparate set of mechanically complex point solutions, with numerous single points of failure. These systems are challenging to implement and expensive to adapt to changing customer needs and SKU variation. Even the comprehensive mechanical systems require significant manual labor. They are frequently based on pallet and partial pallet storage techniques, which require additional inventory and warehouse space.</w:t>
      </w:r>
    </w:p>
    <w:p>
      <w:pPr>
        <w:spacing w:after="0" w:line="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Amazon Kiva, Exotec, Ocado, and AutoStore focus exclusively on individual order fulfillment. We do not consider them to be direct competitors because we are focused on fulfillment to physical stores. They focus primarily on e-commerce and lack case picking technology. Therefore, they cannot support large retailers with both online and offline operations. However, they may become partners or competitors if we expand into e-commerce or if they expand to brick-and-mortar retail.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Customers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Customer Base</w:t>
      </w:r>
    </w:p>
    <w:p>
      <w:pPr>
        <w:spacing w:after="0" w:line="95" w:lineRule="exact"/>
        <w:rPr>
          <w:sz w:val="20"/>
          <w:szCs w:val="20"/>
          <w:color w:val="auto"/>
        </w:rPr>
      </w:pPr>
    </w:p>
    <w:p>
      <w:pPr>
        <w:ind w:right="300" w:firstLine="240"/>
        <w:spacing w:after="0" w:line="294" w:lineRule="auto"/>
        <w:rPr>
          <w:sz w:val="20"/>
          <w:szCs w:val="20"/>
          <w:color w:val="auto"/>
        </w:rPr>
      </w:pPr>
      <w:r>
        <w:rPr>
          <w:rFonts w:ascii="Times New Roman" w:cs="Times New Roman" w:eastAsia="Times New Roman" w:hAnsi="Times New Roman"/>
          <w:sz w:val="13"/>
          <w:szCs w:val="13"/>
          <w:color w:val="auto"/>
        </w:rPr>
        <w:t>We have a strong blue chip customer base that includes some of the world’s largest retailers and wholesale grocers, including Walmart, Albertsons, our affiliate C&amp;S Wholesale Grocers, GreenBox, and Target.</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Walmart</w:t>
      </w:r>
    </w:p>
    <w:p>
      <w:pPr>
        <w:spacing w:after="0" w:line="95"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We have worked with Walmart since 2015 and entered into the initial Walmart Master Automation Agreement (“MAA”) in 2017 and restated and amended that agreement in January 2019. On April 30, 2021, we amended the Walmart MAA to expand our commercial relationship with Walmart and the scope of the Walmart MAA to the implementation of systems across 25 of Walmart’s 42 regional distribution centers. On May 20, 2022, we again amended and restated the Walmart MAA to further expand our commercial relationship with Walmart and the scope of the Walmart MAA to the implementation of additional systems across all of Walmart’s 42 regional distribution centers. The amendment and restated Walmart MAA added approximately an additional $6.1 billion to our backlog.</w:t>
      </w:r>
    </w:p>
    <w:p>
      <w:pPr>
        <w:spacing w:after="0" w:line="11" w:lineRule="exact"/>
        <w:rPr>
          <w:sz w:val="20"/>
          <w:szCs w:val="20"/>
          <w:color w:val="auto"/>
        </w:rPr>
      </w:pPr>
    </w:p>
    <w:p>
      <w:pPr>
        <w:ind w:right="180" w:firstLine="240"/>
        <w:spacing w:after="0" w:line="289" w:lineRule="auto"/>
        <w:rPr>
          <w:sz w:val="20"/>
          <w:szCs w:val="20"/>
          <w:color w:val="auto"/>
        </w:rPr>
      </w:pPr>
      <w:r>
        <w:rPr>
          <w:rFonts w:ascii="Times New Roman" w:cs="Times New Roman" w:eastAsia="Times New Roman" w:hAnsi="Times New Roman"/>
          <w:sz w:val="13"/>
          <w:szCs w:val="13"/>
          <w:color w:val="auto"/>
        </w:rPr>
        <w:t>The implementation of our systems under the Walmart MAA began in 2021 and will continue based upon an agreed-upon timeline, subject to limited adjustment, with the implementation of all systems to begin by the end of 2029. For each system, Walmart pays us:</w:t>
      </w:r>
    </w:p>
    <w:p>
      <w:pPr>
        <w:spacing w:after="0" w:line="1" w:lineRule="exact"/>
        <w:rPr>
          <w:sz w:val="20"/>
          <w:szCs w:val="20"/>
          <w:color w:val="auto"/>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implementation, including the cost of material and labor, plus a specified net profit amount, subject in certain cases to a capped cost amount;</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software maintenance and support for a minimum of 15 years following preliminary acceptance of the system and with annual renewals thereafter;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spare parts.</w:t>
      </w:r>
    </w:p>
    <w:p>
      <w:pPr>
        <w:spacing w:after="0" w:line="51" w:lineRule="exact"/>
        <w:rPr>
          <w:sz w:val="20"/>
          <w:szCs w:val="20"/>
          <w:color w:val="auto"/>
        </w:rPr>
      </w:pPr>
    </w:p>
    <w:p>
      <w:pPr>
        <w:ind w:right="100" w:firstLine="240"/>
        <w:spacing w:after="0" w:line="289" w:lineRule="auto"/>
        <w:rPr>
          <w:sz w:val="20"/>
          <w:szCs w:val="20"/>
          <w:color w:val="auto"/>
        </w:rPr>
      </w:pPr>
      <w:r>
        <w:rPr>
          <w:rFonts w:ascii="Times New Roman" w:cs="Times New Roman" w:eastAsia="Times New Roman" w:hAnsi="Times New Roman"/>
          <w:sz w:val="13"/>
          <w:szCs w:val="13"/>
          <w:color w:val="auto"/>
        </w:rPr>
        <w:t>Walmart also pays us for operation services for systems installed in the first four buildings for an operation service period for each system that ends on the third anniversary of preliminary acceptance of the final system installed in a building.</w:t>
      </w:r>
    </w:p>
    <w:p>
      <w:pPr>
        <w:spacing w:after="0" w:line="1"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The initial term of the Walmart MAA expires on May 20, 2034 with annual renewals of the term thereafter. At any time, either party may terminate the Walmart MAA in the event of insolvency of the other party or a material breach of the other party that has not been cured. Walmart may also terminate the Walmart MAA at any time if we fail to meet certain performance standards or undergo certain change of control transactions.</w:t>
      </w:r>
    </w:p>
    <w:p>
      <w:pPr>
        <w:spacing w:after="0" w:line="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Pursuant to the Walmart MAA, we must provide Walmart notice in certain circumstances, including if we explore transactions other than the Business Combination that would reasonably be expected to result in a change of control or sale of 25% or more of the voting power of Symbotic. Such transactions are prohibited for specified time periods following such notice, and we must allow Walmart to participate on terms and conditions substantially similar to those of other third-party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participants. We have also agreed to certain restrictions on our ability to sell or license our products and services to a specified company or its subsidiaries, affiliates, or dedicated service providers.</w:t>
      </w:r>
    </w:p>
    <w:p>
      <w:pPr>
        <w:spacing w:after="0" w:line="51" w:lineRule="exact"/>
        <w:rPr>
          <w:sz w:val="20"/>
          <w:szCs w:val="20"/>
          <w:color w:val="auto"/>
        </w:rPr>
      </w:pPr>
    </w:p>
    <w:p>
      <w:pPr>
        <w:ind w:right="60" w:firstLine="240"/>
        <w:spacing w:after="0" w:line="263" w:lineRule="auto"/>
        <w:rPr>
          <w:sz w:val="20"/>
          <w:szCs w:val="20"/>
          <w:color w:val="auto"/>
        </w:rPr>
      </w:pPr>
      <w:r>
        <w:rPr>
          <w:rFonts w:ascii="Times New Roman" w:cs="Times New Roman" w:eastAsia="Times New Roman" w:hAnsi="Times New Roman"/>
          <w:sz w:val="13"/>
          <w:szCs w:val="13"/>
          <w:color w:val="auto"/>
        </w:rPr>
        <w:t>On December 12, 2021, we entered into an Investment and Subscription Agreement (the “Investment and Subscription Agreement”) with Walmart. Pursuant to such agreement, in connection with the amendment and restatement of the Walmart MAA on May 20, 2022, Walmart exercised a warrant to purchase 267,281 units of Warehouse, or 3.7% of the total outstanding units of Warehouse at such time as calculated following the exercise of the warrant and issuance of units thereunder, at an aggregate purchase price of $103,980,327. We also issued Walmart a new warrant to purchase 258,972 units of Warehouse, or 3.5% of the total outstanding units of Warehouse at such time as calculated on a pro forma basis at the time of the issuance of the warrant, subject to customary adjustments, at an exercise price of $614.34 per unit, which is the estimated value of a unit of Warehouse on the date of the Merger Agreement based on the Exchange Ratio assuming one share of Class A Common Stock is $10.00. In connection with the Closing of the Business Combination, the warrant to purchase 258,972 units of Warehouse converted into a new warrant to acquire up to an aggregate of 15,870,411 common units of Symbotic Holdings. This warrant vested and was exercised at an exercise price of $10.00 per common unit, for an aggregate purchase price of $158,704,110.</w:t>
      </w:r>
    </w:p>
    <w:p>
      <w:pPr>
        <w:spacing w:after="0" w:line="15"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Pursuant to the Investment and Subscription Agreement and as a result of the warrant exercise, Walmart has the right to designate a Walmart employee of a certain seniority level to attend all meetings of the Board in a nonvoting observer capacity, except in certain circumstances, including where such observer’s attendance may be inconsistent with the directors’ fiduciary duties to the Company or where such meetings may involve attorney-client privileged information, a conflict of interest between the Company and Walmart or information that the Company determines is competitively or commercially sensitive. Additionally, pursuant to the Investment and Subscription Agreement and subject to certain exceptions described therein, Walmart is subject to a standstill agreement that limits Walmart’s ability to pursue certain transactions with respect to Warehouse and the Company until the earlier of (i) December 12, 2025 and (ii) the later of (a) the date on which Walmart owns less than 5% of the fully diluted equity interests of Warehouse or, after the closing of the Business Combination (the “Closing”), the Company and (b) the date that is six months after Walmart no longer has the board observer rights described above.</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GreenBox</w:t>
      </w:r>
    </w:p>
    <w:p>
      <w:pPr>
        <w:spacing w:after="0" w:line="95" w:lineRule="exact"/>
        <w:rPr>
          <w:sz w:val="20"/>
          <w:szCs w:val="20"/>
          <w:color w:val="auto"/>
        </w:rPr>
      </w:pPr>
    </w:p>
    <w:p>
      <w:pPr>
        <w:ind w:right="360" w:firstLine="240"/>
        <w:spacing w:after="0" w:line="289" w:lineRule="auto"/>
        <w:rPr>
          <w:sz w:val="20"/>
          <w:szCs w:val="20"/>
          <w:color w:val="auto"/>
        </w:rPr>
      </w:pPr>
      <w:r>
        <w:rPr>
          <w:rFonts w:ascii="Times New Roman" w:cs="Times New Roman" w:eastAsia="Times New Roman" w:hAnsi="Times New Roman"/>
          <w:sz w:val="13"/>
          <w:szCs w:val="13"/>
          <w:color w:val="auto"/>
        </w:rPr>
        <w:t>On July 21, 2023, in conjunction with entities related to the SoftBank Group, we established GreenBox Systems LLC, a strategic joint venture to build and automate supply chain networks globally by operating and financing our advanced A.I. and automation technology for the warehouse. We own 35% of GreenBox and SoftBank Group owns 65% of GreenBox.</w:t>
      </w:r>
    </w:p>
    <w:p>
      <w:pPr>
        <w:spacing w:after="0" w:line="1"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On July 23, 2023, we entered into a commercial agreement with GreenBox that sets forth the terms, conditions, rights and obligations governing the design, installation, implementation and operation of our system for GreenBox. On the terms and subject to the conditions set forth therein, the commercial agreement provides for a commitment from GreenBox to expend at least $7.5 billion in the aggregate to purchase our systems over a six-year period pursuant to an agreed-upon timeline with implementation of our systems which began in fiscal year 2024. For each system, GreenBox will pay us: (i) the cost of implementation, including the cost of material and labor, plus a specified net profit amount; (ii) for software maintenance and support; and (iii) for spare parts and other miscellaneous expenses. The initial term of the commercial agreement with GreenBox expires on July 23, 2027, subject to a two-year extension by GreenBox if, at the end of the initial term, project SOWs (as defined in the commercial agreement) have not been executed with respect to our systems with an aggregate purchase price of GreenBox’s purchase commitment. At any time, either party may terminate the commercial agreement in the event of insolvency of the other party or a material breach of the other party that has not been cured.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Products</w:t>
      </w:r>
    </w:p>
    <w:p>
      <w:pPr>
        <w:spacing w:after="0" w:line="9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Our system is typically sold in three parts: the initial system sale, software maintenance and support services, and operation services. Our system is a modular, highly configurable capital asset purchase that we sell to our customer in the year of deployment. Over the remaining system life, which is typically 25-30 years, we charge a software maintenance and support fee. Finally, we provide training and system operation until the customer assumes operational duties. Our typical deployment model is to build and install the system, operate the system for a limited time and then transfer daily operation to the customer.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6" w:name="page17"/>
    <w:bookmarkEnd w:id="1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Symbotic System Capabilities</w:t>
      </w:r>
    </w:p>
    <w:p>
      <w:pPr>
        <w:spacing w:after="0" w:line="95" w:lineRule="exact"/>
        <w:rPr>
          <w:sz w:val="20"/>
          <w:szCs w:val="20"/>
          <w:color w:val="auto"/>
        </w:rPr>
      </w:pPr>
    </w:p>
    <w:p>
      <w:pPr>
        <w:ind w:right="100" w:firstLine="240"/>
        <w:spacing w:after="0" w:line="266" w:lineRule="auto"/>
        <w:rPr>
          <w:sz w:val="20"/>
          <w:szCs w:val="20"/>
          <w:color w:val="auto"/>
        </w:rPr>
      </w:pPr>
      <w:r>
        <w:rPr>
          <w:rFonts w:ascii="Times New Roman" w:cs="Times New Roman" w:eastAsia="Times New Roman" w:hAnsi="Times New Roman"/>
          <w:sz w:val="13"/>
          <w:szCs w:val="13"/>
          <w:color w:val="auto"/>
        </w:rPr>
        <w:t>We implement a comprehensive automated solution for product distribution at the heart of the supply chain. We have spent over 15 years working at the confluence of product manufacturing and retail distribution to produce a fully automated system that allows more efficient handling, storage, selection, and transportation of goods once they are placed into the supply chain by manufacturers. We have accomplished this by combining “smart” software with “smart” hardware such as our autonomous mobile robots. The power of our system is that the components and applications work together in one system-of-systems to provide the results our customers experience. Our system is capable of handling each case from initiation at the warehouse or distribution center to final placement on pallets to be transported to customer stores.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Technologies</w:t>
      </w:r>
    </w:p>
    <w:p>
      <w:pPr>
        <w:spacing w:after="0" w:line="95" w:lineRule="exact"/>
        <w:rPr>
          <w:sz w:val="20"/>
          <w:szCs w:val="20"/>
          <w:color w:val="auto"/>
        </w:rPr>
      </w:pPr>
    </w:p>
    <w:p>
      <w:pPr>
        <w:ind w:right="120" w:firstLine="240"/>
        <w:spacing w:after="0" w:line="286" w:lineRule="auto"/>
        <w:rPr>
          <w:sz w:val="20"/>
          <w:szCs w:val="20"/>
          <w:color w:val="auto"/>
        </w:rPr>
      </w:pPr>
      <w:r>
        <w:rPr>
          <w:rFonts w:ascii="Times New Roman" w:cs="Times New Roman" w:eastAsia="Times New Roman" w:hAnsi="Times New Roman"/>
          <w:sz w:val="13"/>
          <w:szCs w:val="13"/>
          <w:color w:val="auto"/>
        </w:rPr>
        <w:t>Our technologies are categorized into both hardware and software components, which work together to deliver the full comprehensive system to our customers. Key elements of the hardware and software components are as follows:</w:t>
      </w:r>
    </w:p>
    <w:p>
      <w:pPr>
        <w:ind w:left="480" w:right="100" w:hanging="239"/>
        <w:spacing w:after="0" w:line="278" w:lineRule="auto"/>
        <w:tabs>
          <w:tab w:leader="none" w:pos="47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Intelligent Autonomous Mobile Robots</w:t>
      </w:r>
      <w:r>
        <w:rPr>
          <w:rFonts w:ascii="Times New Roman" w:cs="Times New Roman" w:eastAsia="Times New Roman" w:hAnsi="Times New Roman"/>
          <w:sz w:val="13"/>
          <w:szCs w:val="13"/>
          <w:color w:val="auto"/>
        </w:rPr>
        <w:t>: Our intelligent, autonomous mobile robots utilize a suite of sensors to handle cases and locate, retrieve, and transport approximately 80% of the SKUs in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customers’ facilities at speeds of up to 25 mph (10 times faster than the average human) with 99.9999% accuracy. Our newest version of these robots uses vision technology in addition to our autonomous routing algorithms to achieve optimal speed, safety, and routing.</w:t>
      </w:r>
    </w:p>
    <w:p>
      <w:pPr>
        <w:spacing w:after="0" w:line="1" w:lineRule="exact"/>
        <w:rPr>
          <w:rFonts w:ascii="Times New Roman" w:cs="Times New Roman" w:eastAsia="Times New Roman" w:hAnsi="Times New Roman"/>
          <w:sz w:val="13"/>
          <w:szCs w:val="13"/>
          <w:color w:val="auto"/>
        </w:rPr>
      </w:pPr>
    </w:p>
    <w:p>
      <w:pPr>
        <w:ind w:left="480" w:right="40" w:hanging="239"/>
        <w:spacing w:after="0" w:line="271" w:lineRule="auto"/>
        <w:tabs>
          <w:tab w:leader="none" w:pos="477"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A.I.–Enabled Software</w:t>
      </w:r>
      <w:r>
        <w:rPr>
          <w:rFonts w:ascii="Times New Roman" w:cs="Times New Roman" w:eastAsia="Times New Roman" w:hAnsi="Times New Roman"/>
          <w:sz w:val="13"/>
          <w:szCs w:val="13"/>
          <w:color w:val="auto"/>
        </w:rPr>
        <w:t>: Our system utilizes A.I. technologies in a variety of ways to dynamically achieve optimal performance and improve over time. For example, our system can independently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determine the best locations to store inventory in the structure to improve outbound efficiency. In addition, the software enables our autonomous robots to independently place and retrieve various sizes of goods with different package material, make corrections to account for product movement, and efficiently navigate through our system to complete the system’s objectives in the shortest amount of time and at the lowest cost. Our software also dynamically responds to changes in inventory availability to fulfill customer orders on time.</w:t>
      </w:r>
    </w:p>
    <w:p>
      <w:pPr>
        <w:spacing w:after="0" w:line="9" w:lineRule="exact"/>
        <w:rPr>
          <w:rFonts w:ascii="Times New Roman" w:cs="Times New Roman" w:eastAsia="Times New Roman" w:hAnsi="Times New Roman"/>
          <w:sz w:val="13"/>
          <w:szCs w:val="13"/>
          <w:b w:val="1"/>
          <w:bCs w:val="1"/>
          <w:color w:val="auto"/>
        </w:rPr>
      </w:pPr>
    </w:p>
    <w:p>
      <w:pPr>
        <w:ind w:left="480" w:right="440"/>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By using A.I. tools to process all the data our system is generating, our system is improved by the tasks it performs. This helps us to develop algorithmic innovations that further improve system performance over time.</w:t>
      </w:r>
    </w:p>
    <w:p>
      <w:pPr>
        <w:ind w:left="480" w:right="180" w:hanging="239"/>
        <w:spacing w:after="0" w:line="278" w:lineRule="auto"/>
        <w:tabs>
          <w:tab w:leader="none" w:pos="47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System Manager</w:t>
      </w:r>
      <w:r>
        <w:rPr>
          <w:rFonts w:ascii="Times New Roman" w:cs="Times New Roman" w:eastAsia="Times New Roman" w:hAnsi="Times New Roman"/>
          <w:sz w:val="13"/>
          <w:szCs w:val="13"/>
          <w:color w:val="auto"/>
        </w:rPr>
        <w:t>: The System Manager balances work across the inbound and outbound cells of our system. It does this by managing inbound inventory and inventory levels in the storage structure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against fulfillment orders, optimized to fulfillment gate times. The System Manager creates the pallet build plan based on a variety of factors including inventory on hand. It also stores and aisles specific plan-o-grams, pallet structure, and even more granular criteria such as isolating hazardous goods that require special handling.</w:t>
      </w:r>
    </w:p>
    <w:p>
      <w:pPr>
        <w:spacing w:after="0" w:line="1" w:lineRule="exact"/>
        <w:rPr>
          <w:rFonts w:ascii="Times New Roman" w:cs="Times New Roman" w:eastAsia="Times New Roman" w:hAnsi="Times New Roman"/>
          <w:sz w:val="13"/>
          <w:szCs w:val="13"/>
          <w:color w:val="auto"/>
        </w:rPr>
      </w:pPr>
    </w:p>
    <w:p>
      <w:pPr>
        <w:ind w:left="480" w:right="40" w:hanging="239"/>
        <w:spacing w:after="0" w:line="253" w:lineRule="auto"/>
        <w:tabs>
          <w:tab w:leader="none" w:pos="47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Storage &amp; Retrieval Engine</w:t>
      </w:r>
      <w:r>
        <w:rPr>
          <w:rFonts w:ascii="Times New Roman" w:cs="Times New Roman" w:eastAsia="Times New Roman" w:hAnsi="Times New Roman"/>
          <w:sz w:val="13"/>
          <w:szCs w:val="13"/>
          <w:color w:val="auto"/>
        </w:rPr>
        <w:t>: Our Storage and Retrieval Engine coordinates the mechanical components within our system such as our autonomous robots, storage shelves, and lifts. It also determines,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orders, and assigns all the tasks to be performed by our system. Finally, the Storage and Retrieval Engine manages safety within our system by monitoring physical access and related zonal lockouts. The engine builds a put-away task list as goods are received that is based on put-away optimization, which determines the best placement of goods within the storage structure. Simultaneously, the engine builds a retrieval task list based on fulfillment requests. Since the flow of goods through our system is highly dynamic and the related parameters are constantly changing, the engine reoptimizes every task that needs to be completed multiple times per second. The re-optimization is based on the supply of goods, the location of those goods, and the storage shelves available within the storage structure.</w:t>
      </w:r>
    </w:p>
    <w:p>
      <w:pPr>
        <w:spacing w:after="0" w:line="177" w:lineRule="exact"/>
        <w:rPr>
          <w:rFonts w:ascii="Times New Roman" w:cs="Times New Roman" w:eastAsia="Times New Roman" w:hAnsi="Times New Roman"/>
          <w:sz w:val="13"/>
          <w:szCs w:val="13"/>
          <w:color w:val="auto"/>
        </w:rPr>
      </w:pPr>
    </w:p>
    <w:p>
      <w:pPr>
        <w:ind w:left="48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Next, the location and status of every part of our system and every case of goods is evaluated, and mobile robot routes are assigned to optimally perform all the put-away and retrieval tasks. As tasks are reassigned, the routes of the mobile robot are recomputed.</w:t>
      </w:r>
    </w:p>
    <w:p>
      <w:pPr>
        <w:ind w:left="480" w:right="120" w:hanging="239"/>
        <w:spacing w:after="0" w:line="278" w:lineRule="auto"/>
        <w:tabs>
          <w:tab w:leader="none" w:pos="47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Real-Time Data Analytics Software</w:t>
      </w:r>
      <w:r>
        <w:rPr>
          <w:rFonts w:ascii="Times New Roman" w:cs="Times New Roman" w:eastAsia="Times New Roman" w:hAnsi="Times New Roman"/>
          <w:sz w:val="13"/>
          <w:szCs w:val="13"/>
          <w:color w:val="auto"/>
        </w:rPr>
        <w:t>: Our proprietary software aggregates and synthesizes system data to provide real-time analytics and actionable insights regarding inventory levels, system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throughput, accuracy, and performance. We also collect and analyze real-time data on various parts of our system to evaluate health, predict maintenance needs, and as a result maintain a high level of system performance.</w:t>
      </w:r>
    </w:p>
    <w:p>
      <w:pPr>
        <w:spacing w:after="0" w:line="1" w:lineRule="exact"/>
        <w:rPr>
          <w:rFonts w:ascii="Times New Roman" w:cs="Times New Roman" w:eastAsia="Times New Roman" w:hAnsi="Times New Roman"/>
          <w:sz w:val="13"/>
          <w:szCs w:val="13"/>
          <w:color w:val="auto"/>
        </w:rPr>
      </w:pPr>
    </w:p>
    <w:p>
      <w:pPr>
        <w:ind w:left="480" w:right="240" w:hanging="239"/>
        <w:spacing w:after="0" w:line="301" w:lineRule="auto"/>
        <w:tabs>
          <w:tab w:leader="none" w:pos="47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A.I.-Powered De-Palletizing Robotic Cells</w:t>
      </w:r>
      <w:r>
        <w:rPr>
          <w:rFonts w:ascii="Times New Roman" w:cs="Times New Roman" w:eastAsia="Times New Roman" w:hAnsi="Times New Roman"/>
          <w:sz w:val="13"/>
          <w:szCs w:val="13"/>
          <w:color w:val="auto"/>
        </w:rPr>
        <w:t>: Our proprietary de-palletizing robotic end of arm tools, coupled with our A.I. and state-of-the-art vision enhanced robotic arms de-palletize up to 1,800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cases and 200 SKU layers per hour. During de-palletization, we scan each case to create a digital model, including, among other things, its size,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stability, and density. This allows our A.I.-enabled software to optimize storage, retrieval, and palletizing for distribution to stores based upon an individual case’s characteristics.</w:t>
      </w:r>
    </w:p>
    <w:p>
      <w:pPr>
        <w:spacing w:after="0" w:line="47" w:lineRule="exact"/>
        <w:rPr>
          <w:sz w:val="20"/>
          <w:szCs w:val="20"/>
          <w:color w:val="auto"/>
        </w:rPr>
      </w:pPr>
    </w:p>
    <w:p>
      <w:pPr>
        <w:ind w:left="480" w:right="20" w:hanging="239"/>
        <w:spacing w:after="0" w:line="279" w:lineRule="auto"/>
        <w:tabs>
          <w:tab w:leader="none" w:pos="477"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A.I.-Powered Palletizing Robotic Cells</w:t>
      </w:r>
      <w:r>
        <w:rPr>
          <w:rFonts w:ascii="Times New Roman" w:cs="Times New Roman" w:eastAsia="Times New Roman" w:hAnsi="Times New Roman"/>
          <w:sz w:val="13"/>
          <w:szCs w:val="13"/>
          <w:color w:val="auto"/>
        </w:rPr>
        <w:t>: Using proprietary A.I.-enabled software, state-of-the-art vision enhanced palletizing robotic arms and our patented end of arm tools we combine multiple SKUs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into aisle-ready pallets that significantly reduce in-store labor costs for our brick-and-mortar customers while maximizing pallet capacity and throughput. Our palletizing robotic application uses two robots simultaneously to palletize product rapidly and efficiently.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95" w:lineRule="exact"/>
        <w:rPr>
          <w:sz w:val="20"/>
          <w:szCs w:val="20"/>
          <w:color w:val="auto"/>
        </w:rPr>
      </w:pPr>
    </w:p>
    <w:p>
      <w:pPr>
        <w:ind w:right="140" w:firstLine="240"/>
        <w:spacing w:after="0" w:line="288" w:lineRule="auto"/>
        <w:rPr>
          <w:sz w:val="20"/>
          <w:szCs w:val="20"/>
          <w:color w:val="auto"/>
        </w:rPr>
      </w:pPr>
      <w:r>
        <w:rPr>
          <w:rFonts w:ascii="Times New Roman" w:cs="Times New Roman" w:eastAsia="Times New Roman" w:hAnsi="Times New Roman"/>
          <w:sz w:val="13"/>
          <w:szCs w:val="13"/>
          <w:color w:val="auto"/>
        </w:rPr>
        <w:t>We have invested over $800 million in developing technology for our system, which is protected by over 700 issued and/or pending patents. Our engineers have extensive robotics and software experience and have been working on our product portfolio for over 15 years. We conduct our research and development at our headquarters in Wilmington, Massachusetts and at our Canadian headquarters in Montreal, Quebec.</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research and development activities currently include programs in the following areas:</w:t>
      </w:r>
    </w:p>
    <w:p>
      <w:pPr>
        <w:spacing w:after="0" w:line="47" w:lineRule="exact"/>
        <w:rPr>
          <w:sz w:val="20"/>
          <w:szCs w:val="20"/>
          <w:color w:val="auto"/>
        </w:rPr>
      </w:pPr>
    </w:p>
    <w:p>
      <w:pPr>
        <w:ind w:left="480" w:right="340" w:hanging="239"/>
        <w:spacing w:after="0" w:line="289" w:lineRule="auto"/>
        <w:tabs>
          <w:tab w:leader="none" w:pos="477"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Expand the capabilities and improve our technology</w:t>
      </w:r>
      <w:r>
        <w:rPr>
          <w:rFonts w:ascii="Times New Roman" w:cs="Times New Roman" w:eastAsia="Times New Roman" w:hAnsi="Times New Roman"/>
          <w:sz w:val="13"/>
          <w:szCs w:val="13"/>
          <w:color w:val="auto"/>
        </w:rPr>
        <w:t>: We aim to continuously advance our hardware and software development to offer better solutions to our customers that benefit their needs.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Specifically, we intend to continue innovating our robust A.I.-enabled robots alongside our proprietary software to continue to help our customers optimize operational efficiency.</w:t>
      </w:r>
    </w:p>
    <w:p>
      <w:pPr>
        <w:ind w:left="480" w:hanging="239"/>
        <w:spacing w:after="0" w:line="279" w:lineRule="auto"/>
        <w:tabs>
          <w:tab w:leader="none" w:pos="477"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Expand system offerings</w:t>
      </w:r>
      <w:r>
        <w:rPr>
          <w:rFonts w:ascii="Times New Roman" w:cs="Times New Roman" w:eastAsia="Times New Roman" w:hAnsi="Times New Roman"/>
          <w:sz w:val="13"/>
          <w:szCs w:val="13"/>
          <w:color w:val="auto"/>
        </w:rPr>
        <w:t>: As our existing customers’ needs shift and expand, we will innovate, evolve and be flexible. We will continue to innovate our existing systems as well as introduce new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offerings in specific areas for which we do not have a solution, such as tailoring our System to handle non-ambient foods. This will not only allow us to deepen our penetration within existing customers, but also grow our customer base in adjacent applications.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Sales and Marketing</w:t>
      </w:r>
    </w:p>
    <w:p>
      <w:pPr>
        <w:spacing w:after="0" w:line="95" w:lineRule="exact"/>
        <w:rPr>
          <w:sz w:val="20"/>
          <w:szCs w:val="20"/>
          <w:color w:val="auto"/>
        </w:rPr>
      </w:pPr>
    </w:p>
    <w:p>
      <w:pPr>
        <w:jc w:val="both"/>
        <w:ind w:right="80" w:firstLine="240"/>
        <w:spacing w:after="0" w:line="276" w:lineRule="auto"/>
        <w:rPr>
          <w:sz w:val="20"/>
          <w:szCs w:val="20"/>
          <w:color w:val="auto"/>
        </w:rPr>
      </w:pPr>
      <w:r>
        <w:rPr>
          <w:rFonts w:ascii="Times New Roman" w:cs="Times New Roman" w:eastAsia="Times New Roman" w:hAnsi="Times New Roman"/>
          <w:sz w:val="13"/>
          <w:szCs w:val="13"/>
          <w:color w:val="auto"/>
        </w:rPr>
        <w:t>We go to market via a direct sales model. Given the size, complexity, and value of our system, our sales have come from long-term discussions between our management team and senior-level executives at our customers. As we progress, we intend to accelerate our sales cycle as we begin to expand our marketing efforts and transition from a small number of very large transactions to more widespread adoption of our system.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Manufacturing and Suppliers</w:t>
      </w:r>
    </w:p>
    <w:p>
      <w:pPr>
        <w:spacing w:after="0" w:line="95"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We operate a repair/service facility center with engineering support in Wilmington, Massachusetts, and a facility with additional engineering support in Montreal, Quebec. Our Wilmington facility services previously manufactured autonomous mobile robots, whereas today it is dedicated to warranty processing and repair of field returns. Our facility in Montreal conducts testing and engineering developmental work on de-palletizing and palletizing robotic cells. Each facility is staffed with a mix of permanent and temporary employees to manage peak workload and can operate two shifts when needed. We manufacture with third-party contract manufacturers which has allowed us to efficiently scale production capabilities, optimize resources, and foster agility in meeting growing market demand.</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also purchase lifts, fixed place robots, conveyors, and steel racking equipment from a wide range of vendors to complete our systems.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95"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Our ability to drive innovation in the robotics and A.I. automation markets depends in part upon our ability to protect our core technology and the intellectual property therein and thereto. We seek to protect our intellectual property rights in our core technology through a combination of patents, trademarks, copyrights, and trade secrets. This includes the use of non-disclosure and invention assignment agreements with our contractors and employees and the use of non-disclosure agreements with our customers, vendors, and business partners.</w:t>
      </w:r>
    </w:p>
    <w:p>
      <w:pPr>
        <w:spacing w:after="0" w:line="5" w:lineRule="exact"/>
        <w:rPr>
          <w:sz w:val="20"/>
          <w:szCs w:val="20"/>
          <w:color w:val="auto"/>
        </w:rPr>
      </w:pPr>
    </w:p>
    <w:p>
      <w:pPr>
        <w:jc w:val="both"/>
        <w:ind w:right="60" w:firstLine="240"/>
        <w:spacing w:after="0" w:line="276" w:lineRule="auto"/>
        <w:rPr>
          <w:sz w:val="20"/>
          <w:szCs w:val="20"/>
          <w:color w:val="auto"/>
        </w:rPr>
      </w:pPr>
      <w:r>
        <w:rPr>
          <w:rFonts w:ascii="Times New Roman" w:cs="Times New Roman" w:eastAsia="Times New Roman" w:hAnsi="Times New Roman"/>
          <w:sz w:val="13"/>
          <w:szCs w:val="13"/>
          <w:color w:val="auto"/>
        </w:rPr>
        <w:t>Unpatented research, development, know-how, and engineering skills make an important contribution to our business and core technology, but we pursue patent protection when we believe it is possible and consistent with our overall strategy for safeguarding our intellectual property. As of September 28, 2024, we had over 475 issued patents in 14 countries and over 225 additional patents pending worldwide. Our issued patents are scheduled to expire between May 2025 and October 2043.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Employees and Human Capital Resources</w:t>
      </w:r>
    </w:p>
    <w:p>
      <w:pPr>
        <w:spacing w:after="0" w:line="95"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Our employees are critical to our success. As of September 28, 2024, we had approximately 1,650 full-time employees, including approximately 1,600 based in the United States. Approximately 40% of our employees are based out of our Wilmington, Massachusetts and Montreal, Quebec locations. The remaining majority of employees install, commission, operate, or maintain our systems at customers’ facilities. We also engage consultants and contractors to supplement our permanent workforce on an as needed basis.</w:t>
      </w:r>
    </w:p>
    <w:p>
      <w:pPr>
        <w:spacing w:after="0" w:line="5" w:lineRule="exact"/>
        <w:rPr>
          <w:sz w:val="20"/>
          <w:szCs w:val="20"/>
          <w:color w:val="auto"/>
        </w:rPr>
      </w:pPr>
    </w:p>
    <w:p>
      <w:pPr>
        <w:ind w:right="160" w:firstLine="240"/>
        <w:spacing w:after="0" w:line="276" w:lineRule="auto"/>
        <w:rPr>
          <w:sz w:val="20"/>
          <w:szCs w:val="20"/>
          <w:color w:val="auto"/>
        </w:rPr>
      </w:pPr>
      <w:r>
        <w:rPr>
          <w:rFonts w:ascii="Times New Roman" w:cs="Times New Roman" w:eastAsia="Times New Roman" w:hAnsi="Times New Roman"/>
          <w:sz w:val="13"/>
          <w:szCs w:val="13"/>
          <w:color w:val="auto"/>
        </w:rPr>
        <w:t>A significant proportion of our employees are engaged in engineering, research and development, and related functions. We have been investing in our people for over a decade and our team possesses decades of combined technical and engineering experience, with a majority of our full-time employees holding technical degrees and a substantial portion of our total employee base holding advanced degrees, including numerous PhDs in engineering or related fields.</w:t>
      </w:r>
    </w:p>
    <w:p>
      <w:pPr>
        <w:spacing w:after="0" w:line="5" w:lineRule="exact"/>
        <w:rPr>
          <w:sz w:val="20"/>
          <w:szCs w:val="20"/>
          <w:color w:val="auto"/>
        </w:rPr>
      </w:pPr>
    </w:p>
    <w:p>
      <w:pPr>
        <w:ind w:right="20" w:firstLine="240"/>
        <w:spacing w:after="0" w:line="289" w:lineRule="auto"/>
        <w:rPr>
          <w:sz w:val="20"/>
          <w:szCs w:val="20"/>
          <w:color w:val="auto"/>
        </w:rPr>
      </w:pPr>
      <w:r>
        <w:rPr>
          <w:rFonts w:ascii="Times New Roman" w:cs="Times New Roman" w:eastAsia="Times New Roman" w:hAnsi="Times New Roman"/>
          <w:sz w:val="13"/>
          <w:szCs w:val="13"/>
          <w:color w:val="auto"/>
        </w:rPr>
        <w:t>We consider our relationship with our employees to be in good standing and have not experienced any work stoppages. None of our employees are subject to a collective bargaining agreement or represented by a labor union.</w:t>
      </w:r>
    </w:p>
    <w:p>
      <w:pPr>
        <w:spacing w:after="0" w:line="1" w:lineRule="exact"/>
        <w:rPr>
          <w:sz w:val="20"/>
          <w:szCs w:val="20"/>
          <w:color w:val="auto"/>
        </w:rPr>
      </w:pPr>
    </w:p>
    <w:p>
      <w:pPr>
        <w:ind w:right="20" w:firstLine="240"/>
        <w:spacing w:after="0" w:line="294" w:lineRule="auto"/>
        <w:rPr>
          <w:sz w:val="20"/>
          <w:szCs w:val="20"/>
          <w:color w:val="auto"/>
        </w:rPr>
      </w:pPr>
      <w:r>
        <w:rPr>
          <w:rFonts w:ascii="Times New Roman" w:cs="Times New Roman" w:eastAsia="Times New Roman" w:hAnsi="Times New Roman"/>
          <w:sz w:val="13"/>
          <w:szCs w:val="13"/>
          <w:color w:val="auto"/>
        </w:rPr>
        <w:t>Our human capital resources objectives include, as applicable, recruiting, integrating, developing, motivating, and retaining our existing and new employees. The principal purposes of our incentive plans are to attract, retain, and motivate key employees, directors, and consultants through cash and stock performance rewards and other benefits.</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Diversity, Equity and Inclusion</w:t>
      </w:r>
    </w:p>
    <w:p>
      <w:pPr>
        <w:spacing w:after="0" w:line="95" w:lineRule="exact"/>
        <w:rPr>
          <w:sz w:val="20"/>
          <w:szCs w:val="20"/>
          <w:color w:val="auto"/>
        </w:rPr>
      </w:pPr>
    </w:p>
    <w:p>
      <w:pPr>
        <w:ind w:right="220" w:firstLine="240"/>
        <w:spacing w:after="0" w:line="294" w:lineRule="auto"/>
        <w:rPr>
          <w:sz w:val="20"/>
          <w:szCs w:val="20"/>
          <w:color w:val="auto"/>
        </w:rPr>
      </w:pPr>
      <w:r>
        <w:rPr>
          <w:rFonts w:ascii="Times New Roman" w:cs="Times New Roman" w:eastAsia="Times New Roman" w:hAnsi="Times New Roman"/>
          <w:sz w:val="13"/>
          <w:szCs w:val="13"/>
          <w:color w:val="auto"/>
        </w:rPr>
        <w:t>As a leader in warehouse automation, we are dedicated to building a vibrant and diverse robotics organization globally. By fostering a culture of Diversity, Equity and Inclusion, we strive for a workplace that celebrates the uniqueness of each employee and embraces diversity to enable innovation as we reimagine the supply chain industry.</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Talent Attraction</w:t>
      </w:r>
    </w:p>
    <w:p>
      <w:pPr>
        <w:spacing w:after="0" w:line="95" w:lineRule="exact"/>
        <w:rPr>
          <w:sz w:val="20"/>
          <w:szCs w:val="20"/>
          <w:color w:val="auto"/>
        </w:rPr>
      </w:pPr>
    </w:p>
    <w:p>
      <w:pPr>
        <w:ind w:right="200" w:firstLine="240"/>
        <w:spacing w:after="0" w:line="269" w:lineRule="auto"/>
        <w:rPr>
          <w:sz w:val="20"/>
          <w:szCs w:val="20"/>
          <w:color w:val="auto"/>
        </w:rPr>
      </w:pPr>
      <w:r>
        <w:rPr>
          <w:rFonts w:ascii="Times New Roman" w:cs="Times New Roman" w:eastAsia="Times New Roman" w:hAnsi="Times New Roman"/>
          <w:sz w:val="13"/>
          <w:szCs w:val="13"/>
          <w:color w:val="auto"/>
        </w:rPr>
        <w:t>Our ability to attract and retain key talent is crucial to the success of our business. We invest in talent acquisition initiatives to have the right people in key positions. Our workforce strategy includes recruiting top talent, building a talent pipeline through university partnerships, providing ongoing training and development opportunities, and fostering a workplace culture that promotes innovation and collaboration. In the coming years, we anticipate continued competition for skilled professionals in our industry, and our talent acquisition strategy will focus on building our reputation as a destination for top talent and recruiting individuals with expertise in robotics and industrial automation.</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Talent Management</w:t>
      </w:r>
    </w:p>
    <w:p>
      <w:pPr>
        <w:spacing w:after="0" w:line="95" w:lineRule="exact"/>
        <w:rPr>
          <w:sz w:val="20"/>
          <w:szCs w:val="20"/>
          <w:color w:val="auto"/>
        </w:rPr>
      </w:pPr>
    </w:p>
    <w:p>
      <w:pPr>
        <w:ind w:right="80" w:firstLine="240"/>
        <w:spacing w:after="0" w:line="289" w:lineRule="auto"/>
        <w:rPr>
          <w:sz w:val="20"/>
          <w:szCs w:val="20"/>
          <w:color w:val="auto"/>
        </w:rPr>
      </w:pPr>
      <w:r>
        <w:rPr>
          <w:rFonts w:ascii="Times New Roman" w:cs="Times New Roman" w:eastAsia="Times New Roman" w:hAnsi="Times New Roman"/>
          <w:sz w:val="13"/>
          <w:szCs w:val="13"/>
          <w:color w:val="auto"/>
        </w:rPr>
        <w:t>The engagement, development, and retention of employees is critical to meet our priorities and deliver braggingly happy customers. All management levels are engaged in talent management practices. Our board of directors discusses key talent strategy in each regular board meeting, including periodic detailed discussions of our global leadership talent, with a focus on key positions at the executive leader level.</w:t>
      </w:r>
    </w:p>
    <w:p>
      <w:pPr>
        <w:spacing w:after="0" w:line="1"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We recognize that investing in strong talent management practices drives business performance, customer satisfaction, and employee engagement. Therefore, our talent interventions utilize various tools such as an annual performance management process, individual development interventions to facilitate a specific individual’s career growth, and development programs and learning plans to meet each employee where they are in their career. High-potential leaders are given exposure and visibility to members of our board of directors through formal project assignments and board presentations. We provide growth opportunities through formal and informal development programs that include training, coaching, networking, skills development, and on-the-job experience. In fiscal year 2024, we implemented management training to enable sustainable growth, support effective scaling, and foster a highly engaged workforce.</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Competitive Pay and Benefits</w:t>
      </w:r>
    </w:p>
    <w:p>
      <w:pPr>
        <w:spacing w:after="0" w:line="95" w:lineRule="exact"/>
        <w:rPr>
          <w:sz w:val="20"/>
          <w:szCs w:val="20"/>
          <w:color w:val="auto"/>
        </w:rPr>
      </w:pPr>
    </w:p>
    <w:p>
      <w:pPr>
        <w:ind w:right="300" w:firstLine="240"/>
        <w:spacing w:after="0" w:line="294" w:lineRule="auto"/>
        <w:rPr>
          <w:sz w:val="20"/>
          <w:szCs w:val="20"/>
          <w:color w:val="auto"/>
        </w:rPr>
      </w:pPr>
      <w:r>
        <w:rPr>
          <w:rFonts w:ascii="Times New Roman" w:cs="Times New Roman" w:eastAsia="Times New Roman" w:hAnsi="Times New Roman"/>
          <w:sz w:val="13"/>
          <w:szCs w:val="13"/>
          <w:color w:val="auto"/>
        </w:rPr>
        <w:t>At Symbotic, we have designed our compensation plans to attract and retain the best talent in the industry. Our goal is to drive employee performance by aligning incentive pay with short and long-term company results. Our employee benefit programs are comprehensive and competitive, and we continuously evaluate them to ensure that they are competitive and effective.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Government Regulations</w:t>
      </w:r>
    </w:p>
    <w:p>
      <w:pPr>
        <w:spacing w:after="0" w:line="9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laws, regulations and permitting requirements of federal, state and local authorities, including related to environmental, health and safety, anti-corruption and export controls.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Environmental Matters</w:t>
      </w:r>
    </w:p>
    <w:p>
      <w:pPr>
        <w:spacing w:after="0" w:line="95" w:lineRule="exact"/>
        <w:rPr>
          <w:sz w:val="20"/>
          <w:szCs w:val="20"/>
          <w:color w:val="auto"/>
        </w:rPr>
      </w:pPr>
    </w:p>
    <w:p>
      <w:pPr>
        <w:ind w:right="120" w:firstLine="240"/>
        <w:spacing w:after="0" w:line="266" w:lineRule="auto"/>
        <w:rPr>
          <w:sz w:val="20"/>
          <w:szCs w:val="20"/>
          <w:color w:val="auto"/>
        </w:rPr>
      </w:pPr>
      <w:r>
        <w:rPr>
          <w:rFonts w:ascii="Times New Roman" w:cs="Times New Roman" w:eastAsia="Times New Roman" w:hAnsi="Times New Roman"/>
          <w:sz w:val="13"/>
          <w:szCs w:val="13"/>
          <w:color w:val="auto"/>
        </w:rPr>
        <w:t>We are subject to domestic and foreign environmental laws and regulations governing our operations, including, but not limited to, emissions into the air and water and the use, handling, disposal and remediation of hazardous substances. A certain risk of environmental liability is inherent in our production activities, operation of our system and the disposal of our system. These laws and regulations govern, among other things, the generation, use, storage, registration, handling and disposal of chemicals and waste materials, the presence of specified substances in electrical products, the emission and discharge of hazardous materials into the ground, air or water, the cleanup of contaminated sites, including any contamination that results from spills due to our failure to properly dispose of chemicals and other waste materials and the health and safety of our employees.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Export and Trade Matters</w:t>
      </w:r>
    </w:p>
    <w:p>
      <w:pPr>
        <w:spacing w:after="0" w:line="95" w:lineRule="exact"/>
        <w:rPr>
          <w:sz w:val="20"/>
          <w:szCs w:val="20"/>
          <w:color w:val="auto"/>
        </w:rPr>
      </w:pPr>
    </w:p>
    <w:p>
      <w:pPr>
        <w:jc w:val="both"/>
        <w:ind w:right="120" w:firstLine="240"/>
        <w:spacing w:after="0" w:line="264" w:lineRule="auto"/>
        <w:rPr>
          <w:sz w:val="20"/>
          <w:szCs w:val="20"/>
          <w:color w:val="auto"/>
        </w:rPr>
      </w:pPr>
      <w:r>
        <w:rPr>
          <w:rFonts w:ascii="Times New Roman" w:cs="Times New Roman" w:eastAsia="Times New Roman" w:hAnsi="Times New Roman"/>
          <w:sz w:val="13"/>
          <w:szCs w:val="13"/>
          <w:color w:val="auto"/>
        </w:rPr>
        <w:t>We are subject to anti-corruption laws and regulations imposed by governments around the world with jurisdiction over our operations, including the U.S. Foreign Corrupt Practices Act, as well as the laws of the countries where we do business. We are also subject to various trade restrictions, including trade and economic sanctions and export controls, imposed by governments around the world with jurisdiction over our operations. For example, in accordance with trade sanctions administered by the U.S. Department of Treasury’s Office of Foreign Assets Control and export controls administered by the U.S.</w:t>
      </w:r>
    </w:p>
    <w:p>
      <w:pPr>
        <w:ind w:right="20"/>
        <w:spacing w:after="0" w:line="263" w:lineRule="auto"/>
        <w:rPr>
          <w:sz w:val="20"/>
          <w:szCs w:val="20"/>
          <w:color w:val="auto"/>
        </w:rPr>
      </w:pPr>
      <w:r>
        <w:rPr>
          <w:rFonts w:ascii="Times New Roman" w:cs="Times New Roman" w:eastAsia="Times New Roman" w:hAnsi="Times New Roman"/>
          <w:sz w:val="13"/>
          <w:szCs w:val="13"/>
          <w:color w:val="auto"/>
        </w:rPr>
        <w:t>Department of Commerce, we are prohibited from engaging in transactions involving certain persons and certain designated countries or territories, including Cuba, Iran, Syria, North Korea and the Crimea Region of Ukraine. In addition, our system may be subject to export regulations that can involve significant compliance time and may add additional overhead cost to our system. In recent years the United States government has a renewed focus on export matters. For example, the Export Control Reform Act of 2018 and regulatory guidance thereunder have imposed additional controls and may result in the imposition of further additional controls, on the export of certain “emerging and foundational technologies.” Our current and future system may be subject to these heightened regulations, which could increase our compliance costs.</w:t>
      </w:r>
    </w:p>
    <w:p>
      <w:pPr>
        <w:spacing w:after="0" w:line="171" w:lineRule="exact"/>
        <w:rPr>
          <w:sz w:val="20"/>
          <w:szCs w:val="20"/>
          <w:color w:val="auto"/>
        </w:rPr>
      </w:pPr>
    </w:p>
    <w:p>
      <w:pPr>
        <w:ind w:right="220" w:firstLine="240"/>
        <w:spacing w:after="0" w:line="277" w:lineRule="auto"/>
        <w:rPr>
          <w:sz w:val="20"/>
          <w:szCs w:val="20"/>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Risk Factors—Other Risks—We are subject to U.S. and foreign anti-corruption and anti-money laundering laws and regulations and could face criminal liability and other serious consequences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violations, which could adversely affect our business, financial condition and results of operations</w:t>
      </w:r>
      <w:r>
        <w:rPr>
          <w:rFonts w:ascii="Times New Roman" w:cs="Times New Roman" w:eastAsia="Times New Roman" w:hAnsi="Times New Roman"/>
          <w:sz w:val="13"/>
          <w:szCs w:val="13"/>
          <w:color w:val="auto"/>
        </w:rPr>
        <w:t>” for additional information about the anti-corruption and anti-money laundering laws that may affect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business.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Employment Matters</w:t>
      </w:r>
    </w:p>
    <w:p>
      <w:pPr>
        <w:spacing w:after="0" w:line="95" w:lineRule="exact"/>
        <w:rPr>
          <w:sz w:val="20"/>
          <w:szCs w:val="20"/>
          <w:color w:val="auto"/>
        </w:rPr>
      </w:pPr>
    </w:p>
    <w:p>
      <w:pPr>
        <w:ind w:right="220" w:firstLine="240"/>
        <w:spacing w:after="0" w:line="289" w:lineRule="auto"/>
        <w:rPr>
          <w:sz w:val="20"/>
          <w:szCs w:val="20"/>
          <w:color w:val="auto"/>
        </w:rPr>
      </w:pPr>
      <w:r>
        <w:rPr>
          <w:rFonts w:ascii="Times New Roman" w:cs="Times New Roman" w:eastAsia="Times New Roman" w:hAnsi="Times New Roman"/>
          <w:sz w:val="13"/>
          <w:szCs w:val="13"/>
          <w:color w:val="auto"/>
        </w:rPr>
        <w:t>We are subject to federal, state, local and foreign laws and regulations relating to the protection of our employees. In addition to the requirements of the state and local governments of the communities in which we operate, we must comply with federal health and safety regulations, the most significant of which are enforced by Occupational Safety and Health Administration (“OSHA”).</w:t>
      </w:r>
    </w:p>
    <w:p>
      <w:pPr>
        <w:spacing w:after="0" w:line="1" w:lineRule="exact"/>
        <w:rPr>
          <w:sz w:val="20"/>
          <w:szCs w:val="20"/>
          <w:color w:val="auto"/>
        </w:rPr>
      </w:pPr>
    </w:p>
    <w:p>
      <w:pPr>
        <w:ind w:right="160" w:firstLine="240"/>
        <w:spacing w:after="0" w:line="294" w:lineRule="auto"/>
        <w:rPr>
          <w:sz w:val="20"/>
          <w:szCs w:val="20"/>
          <w:color w:val="auto"/>
        </w:rPr>
      </w:pPr>
      <w:r>
        <w:rPr>
          <w:rFonts w:ascii="Times New Roman" w:cs="Times New Roman" w:eastAsia="Times New Roman" w:hAnsi="Times New Roman"/>
          <w:sz w:val="13"/>
          <w:szCs w:val="13"/>
          <w:color w:val="auto"/>
        </w:rPr>
        <w:t>While we believe that we comply with all applicable worker safety regulations in the U.S. as governed by OSHA and our global sites meet all local regulations for worker safety, we cannot ensure that our compliance program will prevent the violation of one or more laws or regulations, or that a violation by us or an employee will not result in the imposition of a monetary fine.</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Data Privacy</w:t>
      </w:r>
    </w:p>
    <w:p>
      <w:pPr>
        <w:spacing w:after="0" w:line="95"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3"/>
          <w:szCs w:val="13"/>
          <w:color w:val="auto"/>
        </w:rPr>
        <w:t>Because we handle, collect, store, receive, transmit and otherwise process certain personal information of users and employees, we are also subject to federal, state and foreign laws related to the privacy and protection of such data, including the California Consumer Privacy Act (“CCPA”) and the General Data Protection Regulation of the European Union. The scope of data privacy laws and regulations worldwide continues to evolve, and we anticipate that the number of data privacy laws and the scope of individual data privacy and protection rights will increase.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20" w:name="page21"/>
    <w:bookmarkEnd w:id="2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We have developed internal compliance programs in an effort to comply with legal and regulatory requirements for warehouse automation industry and with respect to data privacy and security. For example, our compliance programs include product design safety reviews. While we are firmly committed to full compliance with all applicable laws and have developed appropriate policies and procedures in order to comply with the requirements of the evolving regulatory regimes, we cannot ensure that our compliance program will prevent the violation of one or more laws or regulations, or that a violation by us or an employee will not result in the imposition of a monetary fine.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95" w:lineRule="exact"/>
        <w:rPr>
          <w:sz w:val="20"/>
          <w:szCs w:val="20"/>
          <w:color w:val="auto"/>
        </w:rPr>
      </w:pPr>
    </w:p>
    <w:p>
      <w:pPr>
        <w:ind w:right="120" w:firstLine="240"/>
        <w:spacing w:after="0" w:line="269" w:lineRule="auto"/>
        <w:rPr>
          <w:sz w:val="20"/>
          <w:szCs w:val="20"/>
          <w:color w:val="auto"/>
        </w:rPr>
      </w:pPr>
      <w:r>
        <w:rPr>
          <w:rFonts w:ascii="Times New Roman" w:cs="Times New Roman" w:eastAsia="Times New Roman" w:hAnsi="Times New Roman"/>
          <w:sz w:val="13"/>
          <w:szCs w:val="13"/>
          <w:color w:val="auto"/>
        </w:rPr>
        <w:t>Our internet address is www.symbotic.com. Our website and the information contained therein or linked thereto are not part of this Annual Report. We make available free of charge through our internet website our annual reports on Form 10-K, quarterly reports on Form 10-Q, current reports on Form 8-K, proxy statements, registration statements and amendments to those reports filed or furnished pursuant to the Exchange Act as soon as reasonably practicable after we electronically file such material with, or furnish them to the SEC. The SEC maintains a website that contains reports, proxy statements and other information regarding issuers that file electronically with the SEC. These materials may be obtained electronically by accessing the SEC’s website at www.sec.gov.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93" w:lineRule="exact"/>
        <w:rPr>
          <w:sz w:val="20"/>
          <w:szCs w:val="20"/>
          <w:color w:val="auto"/>
        </w:rPr>
      </w:pPr>
    </w:p>
    <w:p>
      <w:pPr>
        <w:ind w:firstLine="240"/>
        <w:spacing w:after="0" w:line="265" w:lineRule="auto"/>
        <w:rPr>
          <w:sz w:val="20"/>
          <w:szCs w:val="20"/>
          <w:color w:val="auto"/>
        </w:rPr>
      </w:pPr>
      <w:r>
        <w:rPr>
          <w:rFonts w:ascii="Times New Roman" w:cs="Times New Roman" w:eastAsia="Times New Roman" w:hAnsi="Times New Roman"/>
          <w:sz w:val="13"/>
          <w:szCs w:val="13"/>
          <w:i w:val="1"/>
          <w:iCs w:val="1"/>
          <w:color w:val="auto"/>
        </w:rPr>
        <w:t>In evaluating our business and the Company, you should carefully consider the risks and uncertainties described below, together with the other information in this Annual Report on Form 10-K,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Class A common stock could decline, and you could lose part or all of your investment. The material and other risks and uncertainties described below and elsewhere in this Annual Report on Form 10-K are not intended to be exhaustive and are not the only ones we face. Additional risks and uncertainties not presently known to us or that we currently deem immaterial may also impair our business, reputation, revenue, financial condition, results of operations and future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Factor Summary</w:t>
      </w:r>
    </w:p>
    <w:p>
      <w:pPr>
        <w:spacing w:after="0" w:line="95" w:lineRule="exact"/>
        <w:rPr>
          <w:sz w:val="20"/>
          <w:szCs w:val="20"/>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Our Business, Operations and Industry, including:</w:t>
      </w:r>
    </w:p>
    <w:p>
      <w:pPr>
        <w:spacing w:after="0" w:line="50" w:lineRule="exact"/>
        <w:rPr>
          <w:rFonts w:ascii="Times New Roman" w:cs="Times New Roman" w:eastAsia="Times New Roman" w:hAnsi="Times New Roman"/>
          <w:sz w:val="13"/>
          <w:szCs w:val="13"/>
          <w:color w:val="auto"/>
        </w:rPr>
      </w:pPr>
    </w:p>
    <w:p>
      <w:pPr>
        <w:ind w:left="720" w:right="180" w:hanging="239"/>
        <w:spacing w:after="0" w:line="289" w:lineRule="auto"/>
        <w:tabs>
          <w:tab w:leader="none" w:pos="717"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a growing company with a limited operating history and a history of losses. We have not been profitable historically and we may not achieve or maintain profitability in the near term or at all, and it is difficult to evaluate our future prospects and the risks and challenges we may encounter.</w:t>
      </w:r>
    </w:p>
    <w:p>
      <w:pPr>
        <w:ind w:left="720" w:hanging="239"/>
        <w:spacing w:after="0"/>
        <w:tabs>
          <w:tab w:leader="none" w:pos="72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heavily on our larger customers, and therefore, our success is heavily dependent on their ability to grow their businesses and their adoption of our System.</w:t>
      </w:r>
    </w:p>
    <w:p>
      <w:pPr>
        <w:spacing w:after="0" w:line="50" w:lineRule="exact"/>
        <w:rPr>
          <w:rFonts w:ascii="Times New Roman" w:cs="Times New Roman" w:eastAsia="Times New Roman" w:hAnsi="Times New Roman"/>
          <w:sz w:val="13"/>
          <w:szCs w:val="13"/>
          <w:color w:val="auto"/>
        </w:rPr>
      </w:pPr>
    </w:p>
    <w:p>
      <w:pPr>
        <w:ind w:left="720" w:right="100" w:hanging="239"/>
        <w:spacing w:after="0" w:line="289" w:lineRule="auto"/>
        <w:tabs>
          <w:tab w:leader="none" w:pos="717"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C&amp;S Wholesale Grocers, an important customer, is our affiliate. Despite our affiliation with C&amp;S Wholesale Grocers, there is no guarantee that it will continue to be a customer beyond the term of its current contracts with us.</w:t>
      </w:r>
    </w:p>
    <w:p>
      <w:pPr>
        <w:ind w:left="720" w:right="100" w:hanging="239"/>
        <w:spacing w:after="0" w:line="289" w:lineRule="auto"/>
        <w:tabs>
          <w:tab w:leader="none" w:pos="717"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fail to realize anticipated benefits of the GreenBox joint venture, or it may disrupt our ongoing operations or result in operating difficulties, liabilities and expenses, harm our business, and negatively impact our results of operations.</w:t>
      </w:r>
    </w:p>
    <w:p>
      <w:pPr>
        <w:ind w:left="720" w:right="380" w:hanging="239"/>
        <w:spacing w:after="0" w:line="289" w:lineRule="auto"/>
        <w:tabs>
          <w:tab w:leader="none" w:pos="717"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operating results and financial condition may fluctuate from period to period, which could make our future operating results difficult to predict or cause our operating results to fall below analysts’ and investors’ expectations.</w:t>
      </w:r>
    </w:p>
    <w:p>
      <w:pPr>
        <w:ind w:left="720" w:right="360" w:hanging="239"/>
        <w:spacing w:after="0" w:line="289" w:lineRule="auto"/>
        <w:tabs>
          <w:tab w:leader="none" w:pos="717"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Complex technology will need to be developed, both in-house and in coordination with our vendors and suppliers, for us to successfully produce and integrate our System with our customers’ existing warehouses, and there can be no assurance that they will be successfully developed.</w:t>
      </w:r>
    </w:p>
    <w:p>
      <w:pPr>
        <w:ind w:left="720" w:hanging="239"/>
        <w:spacing w:after="0"/>
        <w:tabs>
          <w:tab w:leader="none" w:pos="72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rely on suppliers to provide equipment, components and services. Any disruption to our supply chain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80" w:right="180" w:hanging="239"/>
        <w:spacing w:after="0" w:line="276"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markets in which we participate are competitive. Many companies, including large retail and e-commerce companies, companies that offer point solutions or other comprehensive or specific supply chain functionalities and other companies that focus on automated technologies, may target the markets in which we do business. Additionally, our customers and potential customers may develop in-house solutions that compete with our System. If we are unable to compete effectively, our sales and profitability could be adversely affected.</w:t>
      </w:r>
    </w:p>
    <w:p>
      <w:pPr>
        <w:spacing w:after="0" w:line="5" w:lineRule="exact"/>
        <w:rPr>
          <w:rFonts w:ascii="Times New Roman" w:cs="Times New Roman" w:eastAsia="Times New Roman" w:hAnsi="Times New Roman"/>
          <w:sz w:val="13"/>
          <w:szCs w:val="13"/>
          <w:color w:val="auto"/>
        </w:rPr>
      </w:pPr>
    </w:p>
    <w:p>
      <w:pPr>
        <w:ind w:left="480" w:right="26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develop new solutions, adapt to technological change, sell our software, services and System into new markets or further penetrate our existing markets, our revenue may not grow as expected.</w:t>
      </w:r>
    </w:p>
    <w:p>
      <w:pPr>
        <w:ind w:left="480" w:right="36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adapt and respond effectively to rapidly changing technology, evolving industry standards and changing business needs, requirements or preferences, our System may become less competitive.</w:t>
      </w:r>
    </w:p>
    <w:p>
      <w:pPr>
        <w:ind w:left="48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demand for our System does not grow as we expect, or if market adoption of A.I.-enabled robotics and supply chain automation solutions does not continue to develop, or develops slower than we expect, our future revenue may stagnate or decline and our business may be adversely affected.</w:t>
      </w:r>
    </w:p>
    <w:p>
      <w:pPr>
        <w:ind w:left="480" w:hanging="239"/>
        <w:spacing w:after="0"/>
        <w:tabs>
          <w:tab w:leader="none" w:pos="48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Supply chain interruptions may increase our costs or reduce our revenue.</w:t>
      </w:r>
    </w:p>
    <w:p>
      <w:pPr>
        <w:spacing w:after="0" w:line="50"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being a public company, including that:</w:t>
      </w:r>
    </w:p>
    <w:p>
      <w:pPr>
        <w:spacing w:after="0" w:line="50" w:lineRule="exact"/>
        <w:rPr>
          <w:rFonts w:ascii="Times New Roman" w:cs="Times New Roman" w:eastAsia="Times New Roman" w:hAnsi="Times New Roman"/>
          <w:sz w:val="13"/>
          <w:szCs w:val="13"/>
          <w:color w:val="auto"/>
        </w:rPr>
      </w:pPr>
    </w:p>
    <w:p>
      <w:pPr>
        <w:ind w:left="480" w:hanging="239"/>
        <w:spacing w:after="0" w:line="26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required to assess our internal control over financial reporting and our management has identified material weaknesses. If our remediation of the material weaknesses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 reports, significant expenses to remediate any internal control deficiencies, and ultimately have an adverse effect on the trading price of our common stock.</w:t>
      </w:r>
    </w:p>
    <w:p>
      <w:pPr>
        <w:spacing w:after="0" w:line="10"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 related to intellectual property, including that:</w:t>
      </w:r>
    </w:p>
    <w:p>
      <w:pPr>
        <w:spacing w:after="0" w:line="50" w:lineRule="exact"/>
        <w:rPr>
          <w:rFonts w:ascii="Times New Roman" w:cs="Times New Roman" w:eastAsia="Times New Roman" w:hAnsi="Times New Roman"/>
          <w:sz w:val="13"/>
          <w:szCs w:val="13"/>
          <w:color w:val="auto"/>
        </w:rPr>
      </w:pPr>
    </w:p>
    <w:p>
      <w:pPr>
        <w:ind w:left="48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need to bring, or defend ourselves against, IP infringement or misappropriation claims, which may adversely affect our business, financial condition and results of operations by limiting our ability to use certain IP and causing us to incur substantial costs.</w:t>
      </w:r>
    </w:p>
    <w:p>
      <w:pPr>
        <w:ind w:left="480" w:right="100" w:hanging="239"/>
        <w:spacing w:after="0" w:line="288"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financial condition and results of operations may be adversely affected and the value of our brand, System and other intangible assets may be diminished if we are unable to maintain and protect our IP (including maintaining the confidentiality and control of our proprietary source code and other trade secrets) from unauthorized use, infringement or misappropriation by third parties.</w:t>
      </w:r>
    </w:p>
    <w:p>
      <w:pPr>
        <w:spacing w:after="0" w:line="162"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cybersecurity, software deficiencies, service interruptions and data privacy, including that:</w:t>
      </w:r>
    </w:p>
    <w:p>
      <w:pPr>
        <w:spacing w:after="0" w:line="50" w:lineRule="exact"/>
        <w:rPr>
          <w:rFonts w:ascii="Times New Roman" w:cs="Times New Roman" w:eastAsia="Times New Roman" w:hAnsi="Times New Roman"/>
          <w:sz w:val="13"/>
          <w:szCs w:val="13"/>
          <w:color w:val="auto"/>
        </w:rPr>
      </w:pPr>
    </w:p>
    <w:p>
      <w:pPr>
        <w:ind w:left="480" w:right="62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experienced cybersecurity incidents in the past and may experience further cybersecurity incidents or security breaches of our IT or OT in the future, which may result in system disruptions, shutdowns, unauthorized access to or disclosure of confidential or personal information.</w:t>
      </w:r>
    </w:p>
    <w:p>
      <w:pPr>
        <w:ind w:left="480" w:right="180" w:hanging="239"/>
        <w:spacing w:after="0" w:line="276"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efficiently manage and expand our business depends significantly on the reliability, capacity and protection of our IT. Real or perceived failures or security breaches of our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5"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ownership of our common stock, including that:</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common stock price may be volatile or may decline regardless of our operating performance; you may lose some or all of your investment.</w:t>
      </w:r>
    </w:p>
    <w:p>
      <w:pPr>
        <w:spacing w:after="0" w:line="50"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our organizational structure, including that:</w:t>
      </w:r>
    </w:p>
    <w:p>
      <w:pPr>
        <w:spacing w:after="0" w:line="50" w:lineRule="exact"/>
        <w:rPr>
          <w:rFonts w:ascii="Times New Roman" w:cs="Times New Roman" w:eastAsia="Times New Roman" w:hAnsi="Times New Roman"/>
          <w:sz w:val="13"/>
          <w:szCs w:val="13"/>
          <w:color w:val="auto"/>
        </w:rPr>
      </w:pPr>
    </w:p>
    <w:p>
      <w:pPr>
        <w:ind w:left="480" w:right="18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dual class structure of our common stock has the effect of concentrating voting control with our founder, certain family members of our founder and certain affiliated entities and trusts of our founder and his family members; this will limit or preclude your ability to influence our corporate matters.</w:t>
      </w:r>
    </w:p>
    <w:p>
      <w:pPr>
        <w:ind w:left="480" w:right="80" w:hanging="239"/>
        <w:spacing w:after="0" w:line="289" w:lineRule="auto"/>
        <w:tabs>
          <w:tab w:leader="none" w:pos="477"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share certain key executives with C&amp;S Wholesale Grocers, an important customer, which means those executives will not devote their full time and attention to our affairs, and the overlap may give rise to conflicts.</w:t>
      </w:r>
    </w:p>
    <w:p>
      <w:pPr>
        <w:ind w:left="480" w:hanging="239"/>
        <w:spacing w:after="0"/>
        <w:tabs>
          <w:tab w:leader="none" w:pos="48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TRA, we are required to make payments to equity holders of New Symbotic Holdings for certain tax benefits we may claim, and those payments may be substantial.</w:t>
      </w:r>
    </w:p>
    <w:p>
      <w:pPr>
        <w:spacing w:after="0" w:line="50" w:lineRule="exact"/>
        <w:rPr>
          <w:rFonts w:ascii="Times New Roman" w:cs="Times New Roman" w:eastAsia="Times New Roman" w:hAnsi="Times New Roman"/>
          <w:sz w:val="13"/>
          <w:szCs w:val="13"/>
          <w:color w:val="auto"/>
        </w:rPr>
      </w:pPr>
    </w:p>
    <w:p>
      <w:pPr>
        <w:ind w:left="240" w:hanging="239"/>
        <w:spacing w:after="0"/>
        <w:tabs>
          <w:tab w:leader="none" w:pos="2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including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53340</wp:posOffset>
            </wp:positionV>
            <wp:extent cx="719328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040"/>
          </w:cols>
          <w:pgMar w:left="540" w:top="177" w:right="319" w:bottom="1440" w:gutter="0" w:footer="0" w:header="0"/>
        </w:sectPr>
      </w:pPr>
    </w:p>
    <w:bookmarkStart w:id="22" w:name="page23"/>
    <w:bookmarkEnd w:id="2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20" w:hanging="239"/>
        <w:spacing w:after="0"/>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implemented a new enterprise resource planning system, and challenges with the implementation of the system may impact our business and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Business, Operations and Industry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Unless the context otherwise requires, all references in this section to “we,” “us” and “our” refer to Symbotic.</w:t>
      </w:r>
    </w:p>
    <w:p>
      <w:pPr>
        <w:spacing w:after="0" w:line="14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are a growing company with a limited operating history and a history of losses. We have not been profitable historically and we may not achieve or maintain profitability in the near term or at all, and it is difficult to evaluate our future prospects and the risks and challenges we may encounter.</w:t>
      </w:r>
    </w:p>
    <w:p>
      <w:pPr>
        <w:spacing w:after="0" w:line="30"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We face significant risks and difficulties as a growing company. We have a limited operating history upon which to evaluate the viability and sustainability of our technology and processes, which increases the risk to your investment. In addition, we have an accumulated deficit of $1.3 billion as of September 28, 2024 and have incurred recurring net losses since inception, including net losses of $84.7 million and $207.9 million, respectively, for the years ended September 28, 2024 and September 30, 2023. We could continue to incur operating losses in the near term as we continue to invest significantly in our business to position us for future growth, including expending substantial financial and other resources on:</w:t>
      </w:r>
    </w:p>
    <w:p>
      <w:pPr>
        <w:spacing w:after="0" w:line="11" w:lineRule="exact"/>
        <w:rPr>
          <w:sz w:val="20"/>
          <w:szCs w:val="20"/>
          <w:color w:val="auto"/>
        </w:rPr>
      </w:pPr>
    </w:p>
    <w:p>
      <w:pPr>
        <w:ind w:left="480" w:right="20" w:hanging="239"/>
        <w:spacing w:after="0" w:line="289" w:lineRule="auto"/>
        <w:tabs>
          <w:tab w:leader="none" w:pos="477"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product development, including investments in our product development team and the development of new products and new functionality for our supply chain automation system (“System”), as well as investments in further optimizing our System, technology and infrastructure;</w:t>
      </w:r>
    </w:p>
    <w:p>
      <w:pPr>
        <w:ind w:left="480" w:hanging="239"/>
        <w:spacing w:after="0"/>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technology infrastructure, including systems, architecture, scalability, availability, performance and security;</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acquisitions and strategic transactions;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international operations and anticipated international expansion;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administration, including increased legal, compliance and accounting expenses associated with being a public company.</w:t>
      </w:r>
    </w:p>
    <w:p>
      <w:pPr>
        <w:spacing w:after="0" w:line="51" w:lineRule="exact"/>
        <w:rPr>
          <w:sz w:val="20"/>
          <w:szCs w:val="20"/>
          <w:color w:val="auto"/>
        </w:rPr>
      </w:pPr>
    </w:p>
    <w:p>
      <w:pPr>
        <w:ind w:right="40" w:firstLine="240"/>
        <w:spacing w:after="0" w:line="289" w:lineRule="auto"/>
        <w:rPr>
          <w:sz w:val="20"/>
          <w:szCs w:val="20"/>
          <w:color w:val="auto"/>
        </w:rPr>
      </w:pPr>
      <w:r>
        <w:rPr>
          <w:rFonts w:ascii="Times New Roman" w:cs="Times New Roman" w:eastAsia="Times New Roman" w:hAnsi="Times New Roman"/>
          <w:sz w:val="13"/>
          <w:szCs w:val="13"/>
          <w:color w:val="auto"/>
        </w:rPr>
        <w:t>These efforts may be costlier than we expect, and our revenue may not grow at a rate to offset these expenses. We may make investments that do not generate optimal short- or medium-term financial results and may even incur increased operating losses in the short- or medium-term with no assurance that we will eventually achieve the intended long-term benefits or profitability.</w:t>
      </w:r>
    </w:p>
    <w:p>
      <w:pPr>
        <w:spacing w:after="0" w:line="1"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Our investments in our System, technology and services, may not be successful on the timeline we anticipate or at all and may not result in increased revenue growth. Additionally, we have encountered, and may in the future encounter, risks and uncertainties frequently experienced by growing companies in rapidly changing industries, such as unforeseen operating expenses, difficulties, complications, delays and other known or unknown factors that may result in losses in future periods. If our revenue growth does not meet our expectations in future periods, or we are unable to maintain or increase our revenue at a rate sufficient to offset the expected increase in our costs, our business, financial position and results of operations will be harmed, and we may not be able to achieve or maintain profitability over the long term.</w:t>
      </w:r>
    </w:p>
    <w:p>
      <w:pPr>
        <w:spacing w:after="0" w:line="11" w:lineRule="exact"/>
        <w:rPr>
          <w:sz w:val="20"/>
          <w:szCs w:val="20"/>
          <w:color w:val="auto"/>
        </w:rPr>
      </w:pPr>
    </w:p>
    <w:p>
      <w:pPr>
        <w:ind w:right="320" w:firstLine="240"/>
        <w:spacing w:after="0" w:line="289" w:lineRule="auto"/>
        <w:rPr>
          <w:sz w:val="20"/>
          <w:szCs w:val="20"/>
          <w:color w:val="auto"/>
        </w:rPr>
      </w:pPr>
      <w:r>
        <w:rPr>
          <w:rFonts w:ascii="Times New Roman" w:cs="Times New Roman" w:eastAsia="Times New Roman" w:hAnsi="Times New Roman"/>
          <w:sz w:val="13"/>
          <w:szCs w:val="13"/>
          <w:color w:val="auto"/>
        </w:rPr>
        <w:t>As our business expands, our historical results may not be indicative of our future performance and you should consider our future prospects in light of the risks and uncertainties of growing companies operating in fast evolving high-tech industries in emerging markets.</w:t>
      </w:r>
    </w:p>
    <w:p>
      <w:pPr>
        <w:spacing w:after="0" w:line="1" w:lineRule="exact"/>
        <w:rPr>
          <w:sz w:val="20"/>
          <w:szCs w:val="20"/>
          <w:color w:val="auto"/>
        </w:rPr>
      </w:pPr>
    </w:p>
    <w:p>
      <w:pPr>
        <w:ind w:right="200" w:firstLine="240"/>
        <w:spacing w:after="0" w:line="294" w:lineRule="auto"/>
        <w:rPr>
          <w:sz w:val="20"/>
          <w:szCs w:val="20"/>
          <w:color w:val="auto"/>
        </w:rPr>
      </w:pPr>
      <w:r>
        <w:rPr>
          <w:rFonts w:ascii="Times New Roman" w:cs="Times New Roman" w:eastAsia="Times New Roman" w:hAnsi="Times New Roman"/>
          <w:sz w:val="13"/>
          <w:szCs w:val="13"/>
          <w:color w:val="auto"/>
        </w:rPr>
        <w:t>As a result, it is difficult to predict our future revenue or appropriately budget for our expenses. If actual results differ from our estimates, or we adjust our estimates in future periods, our operating results and financial position could be materially affected.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depend heavily on our larger customers, and therefore, our success is heavily dependent on their ability to grow their businesses and their adoption of our System.</w:t>
      </w:r>
    </w:p>
    <w:p>
      <w:pPr>
        <w:spacing w:after="0" w:line="95" w:lineRule="exact"/>
        <w:rPr>
          <w:sz w:val="20"/>
          <w:szCs w:val="20"/>
          <w:color w:val="auto"/>
        </w:rPr>
      </w:pPr>
    </w:p>
    <w:p>
      <w:pPr>
        <w:ind w:right="160" w:firstLine="240"/>
        <w:spacing w:after="0" w:line="269" w:lineRule="auto"/>
        <w:rPr>
          <w:sz w:val="20"/>
          <w:szCs w:val="20"/>
          <w:color w:val="auto"/>
        </w:rPr>
      </w:pPr>
      <w:r>
        <w:rPr>
          <w:rFonts w:ascii="Times New Roman" w:cs="Times New Roman" w:eastAsia="Times New Roman" w:hAnsi="Times New Roman"/>
          <w:sz w:val="13"/>
          <w:szCs w:val="13"/>
          <w:color w:val="auto"/>
        </w:rPr>
        <w:t>Walmart, our largest customer, accounted for approximately 87% of our total revenue in the fiscal year ended September 28, 2024 and for a significant portion of our $22.4 billion backlog as of September 28, 2024. We have worked with Walmart since 2015 and entered into a Master Automation Agreement with Walmart in 2017 to implement our System in 25 of Walmart’s 42 regional distribution centers. We amended and restated the Master Automation Agreement on May 20, 2022 (“Walmart MAA”) to implement our System in all of Walmart’s 42 regional distribution centers, adding approximately an additional $6.1 billion to our backlog. Pursuant to the Walmart MAA, we have agreed to certain restrictions on our ability to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3"/>
          <w:szCs w:val="13"/>
          <w:color w:val="auto"/>
        </w:rPr>
        <w:t>sell or license our products and services to a specified company or its subsidiaries, affiliates or dedicated service providers. Walmart also has certain board observation rights. In the first quarter of fiscal year 2025, we entered into a commercial agreement with Walmart de México y Centroamérica to implement our System in two of their locations near Mexico City.</w:t>
      </w:r>
    </w:p>
    <w:p>
      <w:pPr>
        <w:spacing w:after="0" w:line="1"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Our ability to maintain a close, mutually beneficial relationship with Walmart is an important element in our continued growth. The loss or cancellation of business from Walmart, including our failure to properly implement or optimize our System in Walmart’s distribution centers, or our failure to comply with the terms of the Walmart MAA, could materially and adversely affect our business, financial condition or results of operations. Similarly, if Walmart is not able to grow its business or its business declines, including as a result of a reduction in the level of discretionary spending by its customers or competition from other retailers, our business, financial condition or results of operations may be materially and adversely affected.</w:t>
      </w:r>
    </w:p>
    <w:p>
      <w:pPr>
        <w:spacing w:after="0" w:line="11" w:lineRule="exact"/>
        <w:rPr>
          <w:sz w:val="20"/>
          <w:szCs w:val="20"/>
          <w:color w:val="auto"/>
        </w:rPr>
      </w:pPr>
    </w:p>
    <w:p>
      <w:pPr>
        <w:ind w:right="180" w:firstLine="240"/>
        <w:spacing w:after="0" w:line="266" w:lineRule="auto"/>
        <w:rPr>
          <w:sz w:val="20"/>
          <w:szCs w:val="20"/>
          <w:color w:val="auto"/>
        </w:rPr>
      </w:pPr>
      <w:r>
        <w:rPr>
          <w:rFonts w:ascii="Times New Roman" w:cs="Times New Roman" w:eastAsia="Times New Roman" w:hAnsi="Times New Roman"/>
          <w:sz w:val="13"/>
          <w:szCs w:val="13"/>
          <w:color w:val="auto"/>
        </w:rPr>
        <w:t>We have several larger customers, AFS, GreenBox and C&amp;S Wholesale Grocers, Inc. (“C&amp;S Wholesale Grocers”), with which we are affiliated, and UNFI. Net sales to these customers accounted for approximately 11% of our total revenue in the fiscal year ended September 28, 2024. It is not possible for us to predict the level of demand that will be generated by any of these customers in the future. In addition, revenue from these larger customers may fluctuate from time to time based on these customers’ business needs and customer experience, the timing of which may be affected by market conditions or other factors outside of our control. To the extent that one or more customers in this group decide not to implement our System in their distribution centers or decide to retain manual solutions or adopt single point automated solutions for their distribution centers, our business, financial condition or results of operations may be materially and adversely affected.</w:t>
      </w:r>
    </w:p>
    <w:p>
      <w:pPr>
        <w:spacing w:after="0" w:line="129"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C&amp;S Wholesale Grocers, an important customer, is our affiliate. Despite our affiliation with C&amp;S Wholesale Grocers, there is no guarantee that it will continue to be a customer beyond the term of its current contracts with us.</w:t>
      </w:r>
    </w:p>
    <w:p>
      <w:pPr>
        <w:spacing w:after="0" w:line="30" w:lineRule="exact"/>
        <w:rPr>
          <w:sz w:val="20"/>
          <w:szCs w:val="20"/>
          <w:color w:val="auto"/>
        </w:rPr>
      </w:pPr>
    </w:p>
    <w:p>
      <w:pPr>
        <w:ind w:firstLine="240"/>
        <w:spacing w:after="0" w:line="289" w:lineRule="auto"/>
        <w:rPr>
          <w:sz w:val="20"/>
          <w:szCs w:val="20"/>
          <w:color w:val="auto"/>
        </w:rPr>
      </w:pPr>
      <w:r>
        <w:rPr>
          <w:rFonts w:ascii="Times New Roman" w:cs="Times New Roman" w:eastAsia="Times New Roman" w:hAnsi="Times New Roman"/>
          <w:sz w:val="13"/>
          <w:szCs w:val="13"/>
          <w:color w:val="auto"/>
        </w:rPr>
        <w:t>Our Chairman and Chief Executive Officer, Richard B. Cohen, also serves as the Executive Chairman of C&amp;S Wholesale Grocers. Additionally, Mr. Cohen and trusts for the benefit of his family are the only beneficial stockholders of C&amp;S Wholesale Grocers. As a result, C&amp;S Wholesale Grocers can be considered an affiliate of ours.</w:t>
      </w:r>
    </w:p>
    <w:p>
      <w:pPr>
        <w:spacing w:after="0" w:line="1" w:lineRule="exact"/>
        <w:rPr>
          <w:sz w:val="20"/>
          <w:szCs w:val="20"/>
          <w:color w:val="auto"/>
        </w:rPr>
      </w:pPr>
    </w:p>
    <w:p>
      <w:pPr>
        <w:jc w:val="both"/>
        <w:ind w:right="160" w:firstLine="240"/>
        <w:spacing w:after="0" w:line="269" w:lineRule="auto"/>
        <w:rPr>
          <w:sz w:val="20"/>
          <w:szCs w:val="20"/>
          <w:color w:val="auto"/>
        </w:rPr>
      </w:pPr>
      <w:r>
        <w:rPr>
          <w:rFonts w:ascii="Times New Roman" w:cs="Times New Roman" w:eastAsia="Times New Roman" w:hAnsi="Times New Roman"/>
          <w:sz w:val="13"/>
          <w:szCs w:val="13"/>
          <w:color w:val="auto"/>
        </w:rPr>
        <w:t>C&amp;S Wholesale Grocers is also an important customer that has our Systems that are Operational in its facilities. We provide ongoing Software Maintenance and Support and Operation Services under our contracts with C&amp;S through September 2029. Despite our affiliation with C&amp;S Wholesale Grocers, there is no guarantee that it will continue to be a customer beyond the term of its current contracts with us in September 2029. To the extent C&amp;S Wholesale Grocers decides not to renew its contracts with us or to implement additional Systems in their distribution centers, our business, financial condition or results of operations may be materially and adversely affected.</w:t>
      </w:r>
    </w:p>
    <w:p>
      <w:pPr>
        <w:spacing w:after="0" w:line="127" w:lineRule="exact"/>
        <w:rPr>
          <w:sz w:val="20"/>
          <w:szCs w:val="20"/>
          <w:color w:val="auto"/>
        </w:rPr>
      </w:pPr>
    </w:p>
    <w:p>
      <w:pPr>
        <w:ind w:right="50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may fail to realize anticipated benefits of the GreenBox joint venture, or it may disrupt our ongoing operations or result in operating difficulties, liabilities and expenses, harm our business, and negatively impact our results of operations.</w:t>
      </w:r>
    </w:p>
    <w:p>
      <w:pPr>
        <w:spacing w:after="0" w:line="30" w:lineRule="exact"/>
        <w:rPr>
          <w:sz w:val="20"/>
          <w:szCs w:val="20"/>
          <w:color w:val="auto"/>
        </w:rPr>
      </w:pPr>
    </w:p>
    <w:p>
      <w:pPr>
        <w:jc w:val="both"/>
        <w:ind w:right="80" w:firstLine="240"/>
        <w:spacing w:after="0" w:line="276" w:lineRule="auto"/>
        <w:rPr>
          <w:sz w:val="20"/>
          <w:szCs w:val="20"/>
          <w:color w:val="auto"/>
        </w:rPr>
      </w:pPr>
      <w:r>
        <w:rPr>
          <w:rFonts w:ascii="Times New Roman" w:cs="Times New Roman" w:eastAsia="Times New Roman" w:hAnsi="Times New Roman"/>
          <w:sz w:val="13"/>
          <w:szCs w:val="13"/>
          <w:color w:val="auto"/>
        </w:rPr>
        <w:t>The GreenBox joint venture and related commercial agreement are expected to be material to our financial condition and results of operations. We may be unable to obtain the benefits, avoid the difficulties and risks of the joint venture, or it may take us longer than expected to fully realize the anticipated benefits and synergies of the GreenBox joint venture. Those benefits and synergies may ultimately be smaller than anticipated or may not be realized at all, which could adversely affect our business, financial condition or results of operations</w:t>
      </w:r>
    </w:p>
    <w:p>
      <w:pPr>
        <w:spacing w:after="0" w:line="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The GreenBox joint venture may also require us to issue additional equity securities, spend our cash, or incur debt (and increased interest expense), liabilities and amortization expenses related to intangible assets, which could adversely affect our results of operations and dilute the economic and voting rights of our stockholders. In addition, we cannot assure you that the GreenBox joint venture will lead to the successful development of new or enhanced products and services or that any new or enhanced products and services, if developed, will achieve market acceptance or prove to be profitable.</w:t>
      </w:r>
    </w:p>
    <w:p>
      <w:pPr>
        <w:spacing w:after="0" w:line="12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operating results and financial condition may fluctuate from period to period, which could make our future operating results difficult to predict or cause our operating results to fall below analysts’ and investors’ expectations.</w:t>
      </w:r>
    </w:p>
    <w:p>
      <w:pPr>
        <w:spacing w:after="0" w:line="30"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Our operating results and financial condition fluctuate from quarter to quarter and year to year and are likely to continue to vary due to a number of factors, many of which will not be within our control. Both our business and supply chain automation are changing and evolving rapidly, and our historical operating results may not be useful in predicting our future operating results. If our operating results do not meet the guidance that we provide to the marketplace or the expectations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24" w:name="page25"/>
    <w:bookmarkEnd w:id="2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analysts or investors, the market price of our Class A common stock will likely decline. Fluctuations in our operating results and financial condition may be due to a number of factors, including:</w:t>
      </w:r>
    </w:p>
    <w:p>
      <w:pPr>
        <w:spacing w:after="0" w:line="51" w:lineRule="exact"/>
        <w:rPr>
          <w:sz w:val="20"/>
          <w:szCs w:val="20"/>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our revenue attributable to software license and maintenance fees and System operation service fees versus milestone payments for System installation and other sales;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pricing by us in response to competitive pricing actions;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equipment vendors to continue to manufacture high-quality products and to supply sufficient products to meet our demands;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shortages of components, commodities or other materials, including semiconductors and integrated circuits, and other supply chain disruptions;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control costs, including our operating expenses and the costs of the equipment we purchase;</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introductions of new solutions, products or upgrades by us or our competitors;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business and pricing policies or those of our competitors;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including entry into the industry by new competitors and new offerings by existing competitors;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successfully manage any past or future acquisitions, strategic transactions and integrations of businesses;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maintain, protect or enforce our intellectual property or proprietary rights (“IP”) and maintain the confidentiality of our trade secrets;</w:t>
      </w:r>
    </w:p>
    <w:p>
      <w:pPr>
        <w:spacing w:after="0" w:line="50" w:lineRule="exact"/>
        <w:rPr>
          <w:rFonts w:ascii="Times New Roman" w:cs="Times New Roman" w:eastAsia="Times New Roman" w:hAnsi="Times New Roman"/>
          <w:sz w:val="13"/>
          <w:szCs w:val="13"/>
          <w:color w:val="auto"/>
        </w:rPr>
      </w:pPr>
    </w:p>
    <w:p>
      <w:pPr>
        <w:ind w:left="480" w:right="200" w:hanging="239"/>
        <w:spacing w:after="0" w:line="289" w:lineRule="auto"/>
        <w:tabs>
          <w:tab w:leader="none" w:pos="47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timing of expenditures, including those related to expanding our operations, increasing research and development, improving facilities and introducing new supply chain automation solutions;</w:t>
      </w: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effectively manage growth within existing and new markets domestically and abroad;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payment terms for our System;</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strength of regional, national and global economies;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cybersecurity incidents or security breaches;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natural disasters, health pandemics or man-made problems such as terrorism.</w:t>
      </w:r>
    </w:p>
    <w:p>
      <w:pPr>
        <w:spacing w:after="0" w:line="51" w:lineRule="exact"/>
        <w:rPr>
          <w:sz w:val="20"/>
          <w:szCs w:val="20"/>
          <w:color w:val="auto"/>
        </w:rPr>
      </w:pPr>
    </w:p>
    <w:p>
      <w:pPr>
        <w:ind w:right="160" w:firstLine="240"/>
        <w:spacing w:after="0" w:line="294" w:lineRule="auto"/>
        <w:rPr>
          <w:sz w:val="20"/>
          <w:szCs w:val="20"/>
          <w:color w:val="auto"/>
        </w:rPr>
      </w:pPr>
      <w:r>
        <w:rPr>
          <w:rFonts w:ascii="Times New Roman" w:cs="Times New Roman" w:eastAsia="Times New Roman" w:hAnsi="Times New Roman"/>
          <w:sz w:val="13"/>
          <w:szCs w:val="13"/>
          <w:color w:val="auto"/>
        </w:rPr>
        <w:t>Due to the foregoing factors, and the other risks discussed in this Annual Report on Form 10-K, you should not rely on quarter-over-quarter and year-over-year comparisons of our operating results as an indicator of our future performance.</w:t>
      </w:r>
    </w:p>
    <w:p>
      <w:pPr>
        <w:spacing w:after="0" w:line="111"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Complex technology will need to be developed, both in-house and in coordination with our vendors and suppliers, for us to successfully produce and integrate our System with our customers’ existing warehouses, and there can be no assurance that they will be successfully developed.</w:t>
      </w:r>
    </w:p>
    <w:p>
      <w:pPr>
        <w:spacing w:after="0" w:line="30"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Our System requires a substantial amount of third-party and proprietary in-house software and complex hardware to be installed and operated in our customers’ warehouses. The development of such advanced technologies is inherently complex and costly, and we will need to coordinate with our vendors and suppliers to produce and integrate our System with our customers’ infrastructure. In the future, one or more of our third-party software or hardware providers may choose not to support the operation of their software, software services and infrastructure with our System, or our System may not support the capabilities needed to operate with such software, software services and infrastructure.</w:t>
      </w:r>
    </w:p>
    <w:p>
      <w:pPr>
        <w:spacing w:after="0" w:line="11"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Defects and errors may be revealed over time (and may not even be known until after our System has been deployed to our customers) and our control over the performance of third-party services and systems may be limited. We may be unable to develop the necessary technology or meet the technological requirements and production timing to support our business plan. In addition, our System may not comply with the cost, performance useful life and warranty requirements we anticipate in our business plan. As a result, our business plan could be significantly impacted and we may incur significant liabilities under warranty claims, which could adversely affect our business, prospects,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senior management, technical experts, and other highly qualified personnel, including hardware and software engineers, and will need to hire and train additional personnel.</w:t>
      </w:r>
    </w:p>
    <w:p>
      <w:pPr>
        <w:spacing w:after="0" w:line="95" w:lineRule="exact"/>
        <w:rPr>
          <w:sz w:val="20"/>
          <w:szCs w:val="20"/>
          <w:color w:val="auto"/>
        </w:rPr>
      </w:pPr>
    </w:p>
    <w:p>
      <w:pPr>
        <w:ind w:right="260" w:firstLine="240"/>
        <w:spacing w:after="0" w:line="294" w:lineRule="auto"/>
        <w:rPr>
          <w:sz w:val="20"/>
          <w:szCs w:val="20"/>
          <w:color w:val="auto"/>
        </w:rPr>
      </w:pPr>
      <w:r>
        <w:rPr>
          <w:rFonts w:ascii="Times New Roman" w:cs="Times New Roman" w:eastAsia="Times New Roman" w:hAnsi="Times New Roman"/>
          <w:sz w:val="13"/>
          <w:szCs w:val="13"/>
          <w:color w:val="auto"/>
        </w:rPr>
        <w:t>Our success depends, in part, on our continuing ability to recruit, train, and develop highly qualified personnel. Experienced and highly skilled employees are in high demand and competition for these employees can be intense, particularly in our industry. Higher employee costs may also result from the high demand and competition for employees. As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80"/>
          </w:cols>
          <w:pgMar w:left="300" w:top="177" w:right="419"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any company with limited resources, there can be no guarantee that we will be able to attract such individuals or that the presence of such individuals will necessarily translate into profitability for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Challenges in attracting key employees and highly qualified personnel in a timely and cost-effective manner could materially adversely affect our business, financial, condition or results of operations.</w:t>
      </w:r>
    </w:p>
    <w:p>
      <w:pPr>
        <w:spacing w:after="0" w:line="38" w:lineRule="exact"/>
        <w:rPr>
          <w:sz w:val="20"/>
          <w:szCs w:val="20"/>
          <w:color w:val="auto"/>
        </w:rPr>
      </w:pPr>
    </w:p>
    <w:p>
      <w:pPr>
        <w:ind w:right="80" w:firstLine="240"/>
        <w:spacing w:after="0" w:line="289" w:lineRule="auto"/>
        <w:rPr>
          <w:sz w:val="20"/>
          <w:szCs w:val="20"/>
          <w:color w:val="auto"/>
        </w:rPr>
      </w:pPr>
      <w:r>
        <w:rPr>
          <w:rFonts w:ascii="Times New Roman" w:cs="Times New Roman" w:eastAsia="Times New Roman" w:hAnsi="Times New Roman"/>
          <w:sz w:val="13"/>
          <w:szCs w:val="13"/>
          <w:color w:val="auto"/>
        </w:rPr>
        <w:t>Our success depends on the continuing services of key employees. We believe the depth and quality of the experience of our management team with the retail supply chain, distribution logistics, automation and robotics technology is key to our ability to be successful. The loss of these individuals could materially and adversely affect our business and financial condition.</w:t>
      </w:r>
    </w:p>
    <w:p>
      <w:pPr>
        <w:spacing w:after="0" w:line="1" w:lineRule="exact"/>
        <w:rPr>
          <w:sz w:val="20"/>
          <w:szCs w:val="20"/>
          <w:color w:val="auto"/>
        </w:rPr>
      </w:pPr>
    </w:p>
    <w:p>
      <w:pPr>
        <w:ind w:right="520" w:firstLine="240"/>
        <w:spacing w:after="0" w:line="289" w:lineRule="auto"/>
        <w:rPr>
          <w:sz w:val="20"/>
          <w:szCs w:val="20"/>
          <w:color w:val="auto"/>
        </w:rPr>
      </w:pPr>
      <w:r>
        <w:rPr>
          <w:rFonts w:ascii="Times New Roman" w:cs="Times New Roman" w:eastAsia="Times New Roman" w:hAnsi="Times New Roman"/>
          <w:sz w:val="13"/>
          <w:szCs w:val="13"/>
          <w:color w:val="auto"/>
        </w:rPr>
        <w:t>If our employees seek to join a labor union, higher employee costs and increased risk of work stoppages or strikes could result. We also directly or indirectly rely on other companies with unionized workforces, including suppliers, and work stoppages or strikes at these companies could have a material adverse impact on our business and financial condition.</w:t>
      </w:r>
    </w:p>
    <w:p>
      <w:pPr>
        <w:spacing w:after="0" w:line="1" w:lineRule="exact"/>
        <w:rPr>
          <w:sz w:val="20"/>
          <w:szCs w:val="20"/>
          <w:color w:val="auto"/>
        </w:rPr>
      </w:pPr>
    </w:p>
    <w:p>
      <w:pPr>
        <w:ind w:right="160" w:firstLine="240"/>
        <w:spacing w:after="0" w:line="294" w:lineRule="auto"/>
        <w:rPr>
          <w:sz w:val="20"/>
          <w:szCs w:val="20"/>
          <w:color w:val="auto"/>
        </w:rPr>
      </w:pPr>
      <w:r>
        <w:rPr>
          <w:rFonts w:ascii="Times New Roman" w:cs="Times New Roman" w:eastAsia="Times New Roman" w:hAnsi="Times New Roman"/>
          <w:sz w:val="13"/>
          <w:szCs w:val="13"/>
          <w:color w:val="auto"/>
        </w:rPr>
        <w:t>Changes in laws and regulations related to employees, independent contractors, and temporary personnel may also lead to increased costs, reduced operational flexibility, and adversely affect our ability to staff our operations and manage workforce needs.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System may not be successful or meet existing or future requirements in customer agreements with existing or future customers.</w:t>
      </w:r>
    </w:p>
    <w:p>
      <w:pPr>
        <w:spacing w:after="0" w:line="95"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We installed our first System in a customer distribution center in 2012 and launched our latest System in 2019. Since that time, we have continued to refine the robotics technology and capabilities of our System and anticipate continuing to upgrade our System and related software, services and products in the future. Any System, software, service or product we may launch in the future may not be well received by our customers, may not help us to generate new customers, may adversely affect the attrition rate of existing customers and may increase our customer acquisition costs and the costs to service our customers. Any revenue we may generate from these or other new Systems, software, services or products may be lower than revenue generated from our existing System, software and services and may not be sufficient for us to recoup our development or customer acquisition costs incurred, particularly if launch dates are delayed for any new System, software, services or products or we are unable to scale such System, products, software or services. In addition, any new System, software, services and products may require increased operational expenses or customer acquisition costs and present new and difficult technological and intellectual property challenges that may subject us to claims or complaints if our customers experience installation issues, service disruptions or failures or other quality issues. To the extent any new System, software, services and products are not successful, it could have an adverse impact on our business, financial condition, cash flows or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suppliers to provide equipment, components and services. Any disruption to our supply chain could adversely affect our business, financial condition and results of operations.</w:t>
      </w:r>
    </w:p>
    <w:p>
      <w:pPr>
        <w:spacing w:after="0" w:line="95" w:lineRule="exact"/>
        <w:rPr>
          <w:sz w:val="20"/>
          <w:szCs w:val="20"/>
          <w:color w:val="auto"/>
        </w:rPr>
      </w:pPr>
    </w:p>
    <w:p>
      <w:pPr>
        <w:ind w:right="100" w:firstLine="240"/>
        <w:spacing w:after="0" w:line="289" w:lineRule="auto"/>
        <w:rPr>
          <w:sz w:val="20"/>
          <w:szCs w:val="20"/>
          <w:color w:val="auto"/>
        </w:rPr>
      </w:pPr>
      <w:r>
        <w:rPr>
          <w:rFonts w:ascii="Times New Roman" w:cs="Times New Roman" w:eastAsia="Times New Roman" w:hAnsi="Times New Roman"/>
          <w:sz w:val="13"/>
          <w:szCs w:val="13"/>
          <w:color w:val="auto"/>
        </w:rPr>
        <w:t>We buy equipment, components and services, including electronic components and commodities, from third parties. These materials are sourced from a wide variety of suppliers around the world. We must effectively manage our supply chain to ensure timely, reliable and sufficient supply, on reasonably favorable terms, of the materials used in our manufacturing processes.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reliance on suppliers involves certain risks, including:</w:t>
      </w:r>
    </w:p>
    <w:p>
      <w:pPr>
        <w:spacing w:after="0" w:line="51" w:lineRule="exact"/>
        <w:rPr>
          <w:sz w:val="20"/>
          <w:szCs w:val="20"/>
          <w:color w:val="auto"/>
        </w:rPr>
      </w:pPr>
    </w:p>
    <w:p>
      <w:pPr>
        <w:ind w:left="480" w:hanging="239"/>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worker strike, which could impact the unloading, loading and movement of cargo at ports used by our carriers, which could lead to delays in shipments and arrival schedules;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poor quality or an insecure supply chain, which could adversely affect the reliability and reputation of our System;</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increases due to inflation, exchange rate fluctuations, taxes, tariffs or commodity market volatility or other factors that affect our suppliers;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embargoes, sanctions and other trade restrictions that may affect our ability to purchase from various suppliers;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intellectual property challenges to ownership of rights or alleged infringement by suppliers; and</w:t>
      </w:r>
    </w:p>
    <w:p>
      <w:pPr>
        <w:spacing w:after="0" w:line="50" w:lineRule="exact"/>
        <w:rPr>
          <w:rFonts w:ascii="Times New Roman" w:cs="Times New Roman" w:eastAsia="Times New Roman" w:hAnsi="Times New Roman"/>
          <w:sz w:val="13"/>
          <w:szCs w:val="13"/>
          <w:color w:val="auto"/>
        </w:rPr>
      </w:pPr>
    </w:p>
    <w:p>
      <w:pPr>
        <w:ind w:left="480" w:right="400" w:hanging="239"/>
        <w:spacing w:after="0" w:line="289" w:lineRule="auto"/>
        <w:tabs>
          <w:tab w:leader="none" w:pos="477"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shortages and untimely availability of components, commodities or other materials, including semiconductors and integrated circuits, which could adversely affect our manufacturing efficiencies, construction schedules and ability to make timely delivery of our Systems and services.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Any of these uncertainties could adversely affect our profitability and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26" w:name="page27"/>
    <w:bookmarkEnd w:id="2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240"/>
        <w:spacing w:after="0" w:line="289" w:lineRule="auto"/>
        <w:rPr>
          <w:sz w:val="20"/>
          <w:szCs w:val="20"/>
          <w:color w:val="auto"/>
        </w:rPr>
      </w:pPr>
      <w:r>
        <w:rPr>
          <w:rFonts w:ascii="Times New Roman" w:cs="Times New Roman" w:eastAsia="Times New Roman" w:hAnsi="Times New Roman"/>
          <w:sz w:val="13"/>
          <w:szCs w:val="13"/>
          <w:color w:val="auto"/>
        </w:rPr>
        <w:t>If there are disruptions in our supply chain, the materials we rely on in our business may not be timely available, at reasonable rates, or at all. These disruptions could cause a delay in our manufacturing and construction of our System and thus a delay in our implementation schedules for our customers.</w:t>
      </w:r>
    </w:p>
    <w:p>
      <w:pPr>
        <w:spacing w:after="0" w:line="1" w:lineRule="exact"/>
        <w:rPr>
          <w:sz w:val="20"/>
          <w:szCs w:val="20"/>
          <w:color w:val="auto"/>
        </w:rPr>
      </w:pPr>
    </w:p>
    <w:p>
      <w:pPr>
        <w:ind w:right="40" w:firstLine="240"/>
        <w:spacing w:after="0" w:line="276" w:lineRule="auto"/>
        <w:rPr>
          <w:sz w:val="20"/>
          <w:szCs w:val="20"/>
          <w:color w:val="auto"/>
        </w:rPr>
      </w:pPr>
      <w:r>
        <w:rPr>
          <w:rFonts w:ascii="Times New Roman" w:cs="Times New Roman" w:eastAsia="Times New Roman" w:hAnsi="Times New Roman"/>
          <w:sz w:val="13"/>
          <w:szCs w:val="13"/>
          <w:color w:val="auto"/>
        </w:rPr>
        <w:t>We also maintain several single-source supplier relationships because the relationship is advantageous due to performance, quality, support, delivery, capacity or price considerations. Unavailability of, or delivery delays for, single-source components or products could adversely affect our ability to ship the related products in a timely manner. While substitute sources of supply are available, qualifying alternative suppliers and establishing reliable supplies could cost more or result in delays and a loss of sales.</w:t>
      </w:r>
    </w:p>
    <w:p>
      <w:pPr>
        <w:spacing w:after="0" w:line="121" w:lineRule="exact"/>
        <w:rPr>
          <w:sz w:val="20"/>
          <w:szCs w:val="20"/>
          <w:color w:val="auto"/>
        </w:rPr>
      </w:pPr>
    </w:p>
    <w:p>
      <w:pPr>
        <w:ind w:right="50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Certain of our supply agreements allow the supplier to terminate the agreement upon notice for any reason or no reason. This termination right could disrupt our operations, negatively impact our reputation and adversely affect our business, financial condition and results of operations.</w:t>
      </w:r>
    </w:p>
    <w:p>
      <w:pPr>
        <w:spacing w:after="0" w:line="30"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We rely on a number of suppliers for raw materials and components for our System and have entered into supply agreements with such suppliers. A number of these supply agreements provide the supplier with a termination right for any reason or no reason. If one of our suppliers terminates their relationship with us, or experiences a supply chain disruption, we could experience delays in our ability to deliver our System to our customers. In addition, while most raw materials and components for our System are available from multiple suppliers, certain of those items are only available from limited sources. Should any of these suppliers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As a result, the loss of a supplier could adversely affect our relationship with our customers and our reputation, as well as our business, financial condition and results of operations.</w:t>
      </w:r>
    </w:p>
    <w:p>
      <w:pPr>
        <w:spacing w:after="0" w:line="13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b w:val="1"/>
          <w:bCs w:val="1"/>
          <w:i w:val="1"/>
          <w:iCs w:val="1"/>
          <w:color w:val="auto"/>
        </w:rPr>
        <w:t>The markets in which we participate are competitive. Many companies, including large retail and e-commerce companies, companies that offer point solutions or other comprehensive or specific supply chain functionalities and other companies that focus on automated technologies, may target the markets in which we do business. Additionally, our customers and potential customers may develop in-house solutions that compete with our System. If we are unable to compete effectively, our sales and profitability could be adversely affected.</w:t>
      </w:r>
    </w:p>
    <w:p>
      <w:pPr>
        <w:spacing w:after="0" w:line="44"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We provide a System that offers a comprehensive supply chain automation solution. Accordingly, we compete with a number of companies that offer solutions to the retail distribution market, including companies that offer (i) point solutions such as Grey Orange, Locus Robotics, Vecna, OPEX, Fetch and Berkshire Grey; (ii) comprehensive solutions, which are comprised of a disparate set of point solutions such as Witron, Knapp AG, Honeywell, Dematic, Vanderlande, SSI Schaefer and Swisslog; and (iii) solutions that focus exclusively on e-commerce, such as Exotec, Ocado and AutoStore. Although we believe that our System is significantly differentiated from these offerings, the markets in which we participate may become more competitive in the future.</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ability to compete depends on a number of factors, including:</w:t>
      </w:r>
    </w:p>
    <w:p>
      <w:pPr>
        <w:spacing w:after="0" w:line="51" w:lineRule="exact"/>
        <w:rPr>
          <w:sz w:val="20"/>
          <w:szCs w:val="20"/>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System’s price, functionality, performance, ease of use, ease of installation, reliability, availability and cost effectiveness relative to that of our competitors’ products;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success in utilizing new and proprietary technologies (including software) to offer solutions and features previously not available in the marketplace;</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success in identifying new markets, applications and technologies and evolving our System to address these markets;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attract and retain customers;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name recognition and reputation;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maintain, protect and enforce our IP.</w:t>
      </w:r>
    </w:p>
    <w:p>
      <w:pPr>
        <w:spacing w:after="0" w:line="51" w:lineRule="exact"/>
        <w:rPr>
          <w:sz w:val="20"/>
          <w:szCs w:val="20"/>
          <w:color w:val="auto"/>
        </w:rPr>
      </w:pPr>
    </w:p>
    <w:p>
      <w:pPr>
        <w:ind w:right="180" w:firstLine="240"/>
        <w:spacing w:after="0" w:line="276" w:lineRule="auto"/>
        <w:rPr>
          <w:sz w:val="20"/>
          <w:szCs w:val="20"/>
          <w:color w:val="auto"/>
        </w:rPr>
      </w:pPr>
      <w:r>
        <w:rPr>
          <w:rFonts w:ascii="Times New Roman" w:cs="Times New Roman" w:eastAsia="Times New Roman" w:hAnsi="Times New Roman"/>
          <w:sz w:val="13"/>
          <w:szCs w:val="13"/>
          <w:color w:val="auto"/>
        </w:rPr>
        <w:t>Our customers may also internally develop their own automated solutions for their warehouses. Our market may need further education on the value of automated solutions and our System and on how to integrate them into current operations. A lack of understanding as to how our automated solution operates may cause potential customers to prefer more traditional technologies, limited point solutions or internally developed automated processes or to be cautious about investing in our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27" w:name="page28"/>
    <w:bookmarkEnd w:id="2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System. If we are unable to educate potential customers and change the market’s readiness to accept our technology, then our business, results of operations and financial condition may be harmed.</w:t>
      </w:r>
    </w:p>
    <w:p>
      <w:pPr>
        <w:spacing w:after="0" w:line="167"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develop new solutions, adapt to technological change, sell our software, services and System into new markets or further penetrate our existing markets, our revenue may not grow as expected.</w:t>
      </w:r>
    </w:p>
    <w:p>
      <w:pPr>
        <w:spacing w:after="0" w:line="30" w:lineRule="exact"/>
        <w:rPr>
          <w:sz w:val="20"/>
          <w:szCs w:val="20"/>
          <w:color w:val="auto"/>
        </w:rPr>
      </w:pPr>
    </w:p>
    <w:p>
      <w:pPr>
        <w:ind w:right="140" w:firstLine="240"/>
        <w:spacing w:after="0" w:line="289" w:lineRule="auto"/>
        <w:rPr>
          <w:sz w:val="20"/>
          <w:szCs w:val="20"/>
          <w:color w:val="auto"/>
        </w:rPr>
      </w:pPr>
      <w:r>
        <w:rPr>
          <w:rFonts w:ascii="Times New Roman" w:cs="Times New Roman" w:eastAsia="Times New Roman" w:hAnsi="Times New Roman"/>
          <w:sz w:val="13"/>
          <w:szCs w:val="13"/>
          <w:color w:val="auto"/>
        </w:rPr>
        <w:t>Our ability to increase sales will depend, in large part, on our ability to enhance and improve our System, software and services timely introduce new robotic technology and automation solutions, sell into new markets and further penetrate our existing markets. As a result, we must continually invest resources in product development and successfully incorporate and develop new technology.</w:t>
      </w:r>
    </w:p>
    <w:p>
      <w:pPr>
        <w:spacing w:after="0" w:line="1"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Developing upgrades and new supply chain automation solutions are costly and impose burdens on our internal teams, including management, compliance, and product development. The success of any enhancement or new System, software, services and products depends on several factors, including timely completion, competitive pricing, introduction and market acceptance of such System, software, services and products and our ability to develop and maintain relationships with customers and vendors. Any new System, software, service and product we develop or acquire may not be introduced in a timely or cost-effective manner.</w:t>
      </w:r>
    </w:p>
    <w:p>
      <w:pPr>
        <w:spacing w:after="0" w:line="11"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Any new markets into which we attempt to sell our System and services may not be receptive. Our ability to further penetrate our existing markets depends on the pricing, quality, availability and reliability of our System, software and services and our ability to design them to meet customer demand and price. Similarly, if any of our competitors implement new technologies before we are able to implement ours, those competitors may be able to provide more effective products, possibly at lower prices. If we are unable to provide a System that customers want at a competitive price, then our customers may become dissatisfied and use competitors’ services. Any delay or failure in the introduction of new or enhanced solutions could harm our business, financial condition, cash flows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manage our growth effectively could make it difficult to execute our business strategy and could adversely affect our business, financial condition and results of operations.</w:t>
      </w:r>
    </w:p>
    <w:p>
      <w:pPr>
        <w:spacing w:after="0" w:line="95" w:lineRule="exact"/>
        <w:rPr>
          <w:sz w:val="20"/>
          <w:szCs w:val="20"/>
          <w:color w:val="auto"/>
        </w:rPr>
      </w:pPr>
    </w:p>
    <w:p>
      <w:pPr>
        <w:jc w:val="both"/>
        <w:ind w:right="40" w:firstLine="240"/>
        <w:spacing w:after="0" w:line="276" w:lineRule="auto"/>
        <w:rPr>
          <w:sz w:val="20"/>
          <w:szCs w:val="20"/>
          <w:color w:val="auto"/>
        </w:rPr>
      </w:pPr>
      <w:r>
        <w:rPr>
          <w:rFonts w:ascii="Times New Roman" w:cs="Times New Roman" w:eastAsia="Times New Roman" w:hAnsi="Times New Roman"/>
          <w:sz w:val="13"/>
          <w:szCs w:val="13"/>
          <w:color w:val="auto"/>
        </w:rPr>
        <w:t>We have experienced rapid growth, and we are attempting to continue to grow our business substantially. To this end, we have made, and expect to continue to make, significant investments in our business, including investments in our infrastructure, technology, marketing and sales efforts. We are expanding our facilities and growing our headcount. If we do not generate the level of revenue required to support our investment, our business, financial condition and results of operations could be adversely affected.</w:t>
      </w:r>
    </w:p>
    <w:p>
      <w:pPr>
        <w:spacing w:after="0" w:line="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Our ability to effectively manage our anticipated growth and expansion will also require us to enhance our operational, financial and management controls and infrastructure, human resources policies and reporting systems. These enhancements and improvements will require significant capital expenditures, additional headcount, other capital expenditures and allocation of valuable management and employee resources. Our future financial performance and our ability to execute on our business plan will depend, in part, on our ability to effectively manage our growth and expansion. There are no guarantees we will be able to do so in an efficient or timely manner, or at all.</w:t>
      </w:r>
    </w:p>
    <w:p>
      <w:pPr>
        <w:spacing w:after="0" w:line="12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System, software and services may be affected from time to time by design and manufacturing defects that could adversely affect our business, financial condition and results of operations and result in harm to our reputation.</w:t>
      </w:r>
    </w:p>
    <w:p>
      <w:pPr>
        <w:spacing w:after="0" w:line="30"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Our System constitutes complex software and hardware that can be affected by design and manufacturing defects. Our sophisticated solution may have issues that can unexpectedly interfere with the intended operation of our hardware or software products. Defects may also exist in components and products that we source from third parties or the System may not be implemented or used correctly or as intended. Any such defects or incorrect implementation or use could make our System, software and services unsafe, create a risk of property damage and personal injury, and subject us to the hazards and uncertainties of product liability claims and related litigation. In addition, from time to time, we may experience outages, service slowdowns or errors that affect our System and software. As a result, our System may not perform as anticipated and may not meet customer expectations. There can be no assurance that we will be able to detect and fix all issues and defects in our System, software and services. Failure to do so could result in widespread technical and performance issues in our System and services and could lead to claims against us.</w:t>
      </w:r>
    </w:p>
    <w:p>
      <w:pPr>
        <w:spacing w:after="0" w:line="15" w:lineRule="exact"/>
        <w:rPr>
          <w:sz w:val="20"/>
          <w:szCs w:val="20"/>
          <w:color w:val="auto"/>
        </w:rPr>
      </w:pPr>
    </w:p>
    <w:p>
      <w:pPr>
        <w:ind w:right="180" w:firstLine="240"/>
        <w:spacing w:after="0" w:line="294" w:lineRule="auto"/>
        <w:rPr>
          <w:sz w:val="20"/>
          <w:szCs w:val="20"/>
          <w:color w:val="auto"/>
        </w:rPr>
      </w:pPr>
      <w:r>
        <w:rPr>
          <w:rFonts w:ascii="Times New Roman" w:cs="Times New Roman" w:eastAsia="Times New Roman" w:hAnsi="Times New Roman"/>
          <w:sz w:val="13"/>
          <w:szCs w:val="13"/>
          <w:color w:val="auto"/>
        </w:rPr>
        <w:t>We maintain general liability insurance; however, claims related to design and manufacturing defects may subject us to judgments or settlements that result in damages materially in excess of the limits of our insurance coverage. In addition, we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28" w:name="page29"/>
    <w:bookmarkEnd w:id="2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3"/>
          <w:szCs w:val="13"/>
          <w:color w:val="auto"/>
        </w:rPr>
        <w:t>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adapt and respond effectively to rapidly changing technology, evolving industry standards and changing business needs, requirements or preferences, our System may become less competitive.</w:t>
      </w:r>
    </w:p>
    <w:p>
      <w:pPr>
        <w:spacing w:after="0" w:line="95"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Our future business and financial success will depend on our ability to continue to anticipate the needs of our current and potential customers and to enhance and improve our System, software and services, introduce new robotic technology and automation solutions in a timely manner, sell into new markets and further penetrate our existing markets. To be successful, we must be able to quickly adapt to changes in technology, industry standards and business needs of our customers by continually enhancing our technology, services and solutions. Developing new software, services and products and upgrades to our existing System, software and services as well as integrating and coordinating our current System, software and services imposes burdens on our internal teams, including management, compliance, and product development. These processes are costly, and our efforts to develop, integrate and enhance our System, software and services may not be successful.</w:t>
      </w:r>
    </w:p>
    <w:p>
      <w:pPr>
        <w:spacing w:after="0" w:line="13" w:lineRule="exact"/>
        <w:rPr>
          <w:sz w:val="20"/>
          <w:szCs w:val="20"/>
          <w:color w:val="auto"/>
        </w:rPr>
      </w:pPr>
    </w:p>
    <w:p>
      <w:pPr>
        <w:ind w:right="60" w:firstLine="240"/>
        <w:spacing w:after="0" w:line="269" w:lineRule="auto"/>
        <w:rPr>
          <w:sz w:val="20"/>
          <w:szCs w:val="20"/>
          <w:color w:val="auto"/>
        </w:rPr>
      </w:pPr>
      <w:r>
        <w:rPr>
          <w:rFonts w:ascii="Times New Roman" w:cs="Times New Roman" w:eastAsia="Times New Roman" w:hAnsi="Times New Roman"/>
          <w:sz w:val="13"/>
          <w:szCs w:val="13"/>
          <w:color w:val="auto"/>
        </w:rPr>
        <w:t>Our success also depends on our continued improvements to provide products and services that are attractive to our customers. As a result, we must continually invest resources in product development and successfully incorporate and develop new technology. If we are unable to do so or otherwise provide supply chain automation solutions that customers want, then our customers may become dissatisfied and use competitors’ services. If we are unable to continue offering innovative software, services and products, we may be unable to attract additional customers or retain our existing customers, which could harm our business, results of operations and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tariffs, customs duties and other increases in manufacturing and operating costs could adversely affect our cash flow as well as our business, financial condition and results of operations.</w:t>
      </w:r>
    </w:p>
    <w:p>
      <w:pPr>
        <w:spacing w:after="0" w:line="95" w:lineRule="exact"/>
        <w:rPr>
          <w:sz w:val="20"/>
          <w:szCs w:val="20"/>
          <w:color w:val="auto"/>
        </w:rPr>
      </w:pPr>
    </w:p>
    <w:p>
      <w:pPr>
        <w:ind w:right="20" w:firstLine="240"/>
        <w:spacing w:after="0" w:line="265" w:lineRule="auto"/>
        <w:rPr>
          <w:sz w:val="20"/>
          <w:szCs w:val="20"/>
          <w:color w:val="auto"/>
        </w:rPr>
      </w:pPr>
      <w:r>
        <w:rPr>
          <w:rFonts w:ascii="Times New Roman" w:cs="Times New Roman" w:eastAsia="Times New Roman" w:hAnsi="Times New Roman"/>
          <w:sz w:val="13"/>
          <w:szCs w:val="13"/>
          <w:color w:val="auto"/>
        </w:rPr>
        <w:t>Our operating costs are subject to fluctuations, particularly due to changes in prices for commodities, parts, raw materials, energy and related utilities, freight and labor, which may be driven by inflation, prevailing price levels, exchange rates, changes in trade agreements and trade protection measures including tariffs and other economic factors. In the past, our operating costs have been impacted by price inflation and these costs may continue to be so impacted. The U.S. has enacted various trade actions, including imposing tariffs on certain goods we import from other countries, which has also contributed to higher costs for some commodities and raw materials. Additional tariffs imposed by the U.S., or further retaliatory trade measures taken by other countries, could increase the cost of our System that we may not be able to offset. Actions we take to mitigate volatility in manufacturing and operating costs may not be successful and, as a result, our financial condition, cash flows and results of operations could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performance is subject to risks of foreign exchange fluctuation, which could result in foreign exchange losses.</w:t>
      </w:r>
    </w:p>
    <w:p>
      <w:pPr>
        <w:spacing w:after="0" w:line="95" w:lineRule="exact"/>
        <w:rPr>
          <w:sz w:val="20"/>
          <w:szCs w:val="20"/>
          <w:color w:val="auto"/>
        </w:rPr>
      </w:pPr>
    </w:p>
    <w:p>
      <w:pPr>
        <w:ind w:right="100" w:firstLine="240"/>
        <w:spacing w:after="0" w:line="273" w:lineRule="auto"/>
        <w:rPr>
          <w:sz w:val="20"/>
          <w:szCs w:val="20"/>
          <w:color w:val="auto"/>
        </w:rPr>
      </w:pPr>
      <w:r>
        <w:rPr>
          <w:rFonts w:ascii="Times New Roman" w:cs="Times New Roman" w:eastAsia="Times New Roman" w:hAnsi="Times New Roman"/>
          <w:sz w:val="13"/>
          <w:szCs w:val="13"/>
          <w:color w:val="auto"/>
        </w:rPr>
        <w:t>We may be exposed to fluctuations of the U.S. dollar against certain other currencies, including the Mexican Peso, because we publish our financial statements in U.S. dollars, while some of our assets, liabilities, revenues and costs are or will be denominated in other currencies. Exchange rates for currencies of the countries in which we operate may fluctuate in relation to the U.S. dollar, and such fluctuations may have a material adverse effect on our earnings or assets when translating foreign currency into U.S. dollars. We do not hedge our exchange rate so any changes in exchange rates will directly affect our earnings.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customer agreements allocate certain liabilities to us. The occurrence of such liability could disrupt our business or result in liability.</w:t>
      </w:r>
    </w:p>
    <w:p>
      <w:pPr>
        <w:spacing w:after="0" w:line="95" w:lineRule="exact"/>
        <w:rPr>
          <w:sz w:val="20"/>
          <w:szCs w:val="20"/>
          <w:color w:val="auto"/>
        </w:rPr>
      </w:pPr>
    </w:p>
    <w:p>
      <w:pPr>
        <w:ind w:right="40" w:firstLine="240"/>
        <w:spacing w:after="0" w:line="276" w:lineRule="auto"/>
        <w:rPr>
          <w:sz w:val="20"/>
          <w:szCs w:val="20"/>
          <w:color w:val="auto"/>
        </w:rPr>
      </w:pPr>
      <w:r>
        <w:rPr>
          <w:rFonts w:ascii="Times New Roman" w:cs="Times New Roman" w:eastAsia="Times New Roman" w:hAnsi="Times New Roman"/>
          <w:sz w:val="13"/>
          <w:szCs w:val="13"/>
          <w:color w:val="auto"/>
        </w:rPr>
        <w:t>Our customer contracts, including those with our largest customers, allocate liability between our customers and us. We have agreed to indemnify customers for infringement or misappropriation of third-party IP; damage, destruction, injury or property damage; and actions by our employees. The potential liabilities associated with such provisions are significant, although our customer contracts typically contain limitations on our liability with respect to certain indemnification claims.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29" w:name="page30"/>
    <w:bookmarkEnd w:id="2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Costs, payments or damages incurred or paid by us in connection with indemnification claims could adversely affect our financial condition, cash flows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need to raise additional capital, and this capital may not be available on terms favorable to us, or at all, when needed.</w:t>
      </w:r>
    </w:p>
    <w:p>
      <w:pPr>
        <w:spacing w:after="0" w:line="95"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Research and development and improvement of our facilities is capital-intensive and may require capital investment to fund. On February 26, 2024, we completed a sale in an underwritten offering of 10,000,000 shares of our Class A common stock. Our net proceeds, after deducting underwriting discounts and commissions and our offering expenses, were approximately $197 million. However, there can be no assurance that we will have access to further capital if we need on favorable terms when required, or at all. If we cannot raise additional funds when we need them, our financial condition, business, prospects and results of operations could be materially adversely affected.</w:t>
      </w:r>
    </w:p>
    <w:p>
      <w:pPr>
        <w:spacing w:after="0" w:line="11"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We may raise funds through the issuance of debt securities or through loan arrangements, the terms of which could require significant interest payments, contain covenants that restrict our business or other unfavorable terms. We may also raise funds through the sale of additional equity securities, which could dilute our stockholders.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risks associated with future mergers, acquisitions or dispositions of businesses or assets or other strategic transactions or joint ventures.</w:t>
      </w:r>
    </w:p>
    <w:p>
      <w:pPr>
        <w:spacing w:after="0" w:line="95"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We may pursue mergers, acquisitions or dispositions of businesses or assets or other strategic transactions that we believe will enable us to strengthen or broaden our business. We established the GreenBox joint venture in July 2023 and acquired substantially all of the assets of Veo Robotics in July 2024. However, we may be unable to identify suitable companies, businesses or assets, reach agreement on potential strategic transactions on acceptable terms and manage the impacts of such transactions on our business. Moreover, mergers, acquisitions, dispositions and other strategic transactions involve various risks including, but not limited to:</w:t>
      </w:r>
    </w:p>
    <w:p>
      <w:pPr>
        <w:spacing w:after="0" w:line="11" w:lineRule="exact"/>
        <w:rPr>
          <w:sz w:val="20"/>
          <w:szCs w:val="20"/>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integrating or disposing of a business;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introducing new or improved supply chain automation solutions;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unanticipated changes in customer, supplier and other third-party relationships,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diversion of management’s attention from day-to-day operations,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realize the anticipated benefits of such transactions, such as cost savings and revenue enhancements,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substantial transaction costs,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impairment resulting from the overpayment for an acquisition.</w:t>
      </w:r>
    </w:p>
    <w:p>
      <w:pPr>
        <w:spacing w:after="0" w:line="51" w:lineRule="exact"/>
        <w:rPr>
          <w:sz w:val="20"/>
          <w:szCs w:val="20"/>
          <w:color w:val="auto"/>
        </w:rPr>
      </w:pPr>
    </w:p>
    <w:p>
      <w:pPr>
        <w:ind w:right="20" w:firstLine="240"/>
        <w:spacing w:after="0" w:line="276" w:lineRule="auto"/>
        <w:rPr>
          <w:sz w:val="20"/>
          <w:szCs w:val="20"/>
          <w:color w:val="auto"/>
        </w:rPr>
      </w:pPr>
      <w:r>
        <w:rPr>
          <w:rFonts w:ascii="Times New Roman" w:cs="Times New Roman" w:eastAsia="Times New Roman" w:hAnsi="Times New Roman"/>
          <w:sz w:val="13"/>
          <w:szCs w:val="13"/>
          <w:color w:val="auto"/>
        </w:rPr>
        <w:t>Future mergers or acquisitions may require us to obtain additional equity or debt financing, which may not be available on attractive terms. Moreover, to the extent a transaction financed by non-equity consideration results in goodwill, it will reduce our tangible net worth, which might have an adverse effect on credit availability. For all these reasons, mergers, acquisitions or dispositions of businesses or assets or other strategic transactions could cause our actual results to differ materially from those anticipated.</w:t>
      </w:r>
    </w:p>
    <w:p>
      <w:pPr>
        <w:spacing w:after="0" w:line="5" w:lineRule="exact"/>
        <w:rPr>
          <w:sz w:val="20"/>
          <w:szCs w:val="20"/>
          <w:color w:val="auto"/>
        </w:rPr>
      </w:pPr>
    </w:p>
    <w:p>
      <w:pPr>
        <w:ind w:right="40" w:firstLine="240"/>
        <w:spacing w:after="0" w:line="294" w:lineRule="auto"/>
        <w:rPr>
          <w:sz w:val="20"/>
          <w:szCs w:val="20"/>
          <w:color w:val="auto"/>
        </w:rPr>
      </w:pPr>
      <w:r>
        <w:rPr>
          <w:rFonts w:ascii="Times New Roman" w:cs="Times New Roman" w:eastAsia="Times New Roman" w:hAnsi="Times New Roman"/>
          <w:sz w:val="13"/>
          <w:szCs w:val="13"/>
          <w:color w:val="auto"/>
        </w:rPr>
        <w:t>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11"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If demand for our System does not grow as we expect, or if market adoption of A.I.-enabled robotics and supply chain automation solutions does not continue to develop, or develops slower than we expect, our future revenue may stagnate or decline and our business may be adversely affected.</w:t>
      </w:r>
    </w:p>
    <w:p>
      <w:pPr>
        <w:spacing w:after="0" w:line="30" w:lineRule="exact"/>
        <w:rPr>
          <w:sz w:val="20"/>
          <w:szCs w:val="20"/>
          <w:color w:val="auto"/>
        </w:rPr>
      </w:pPr>
    </w:p>
    <w:p>
      <w:pPr>
        <w:ind w:firstLine="240"/>
        <w:spacing w:after="0" w:line="268" w:lineRule="auto"/>
        <w:rPr>
          <w:sz w:val="20"/>
          <w:szCs w:val="20"/>
          <w:color w:val="auto"/>
        </w:rPr>
      </w:pPr>
      <w:r>
        <w:rPr>
          <w:rFonts w:ascii="Times New Roman" w:cs="Times New Roman" w:eastAsia="Times New Roman" w:hAnsi="Times New Roman"/>
          <w:sz w:val="13"/>
          <w:szCs w:val="13"/>
          <w:color w:val="auto"/>
        </w:rPr>
        <w:t>The supply chain automation industry is rapidly growing and developing. We may not be able to develop effective strategies to raise awareness among potential customers of the benefits of A.I. enabled robotics and automation and our System may not address the specific needs or provide the level of functionality required by potential customers to encourage the continuation of the shift towards supply chain automation. If supply chain automation technology does not continue to gain broader market acceptance as an alternative to conventional manual operations, or if the marketplace adopts supply chain automation technologies that differ from ours, we may not be able to increase or sustain the level of sales of our solution, retain existing customers or attract new customers, and our operating results would be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30" w:name="page31"/>
    <w:bookmarkEnd w:id="3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Laws and regulations governing robotics and supply chain automation industries are still developing and may restrict our business or increase the costs of our System, making our System less competitive or adversely affecting our revenue growth.</w:t>
      </w:r>
    </w:p>
    <w:p>
      <w:pPr>
        <w:spacing w:after="0" w:line="30"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We are subject to laws and regulations relating to the robotics and supply chain automation industries in the jurisdictions in which we conduct our business or in some circumstances, of those jurisdictions in which we offer our System. Our System utilizes emerging tools and technologies, such as artificial intelligence, which may also become subject to regulation under new laws or new applications of existing laws. These laws and regulations are developing and vary from one jurisdiction to another and future legislative and regulatory action, court decisions or other governmental action, which may be affected by, among other things, political pressures, attitudes and climates, as well as personal biases, may have a material and adverse impact on our operations and financial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warehousing facilities are subject to various compliance requirements, including those of OSHA and other workplace safety agencies, and compliance costs could increase as we scale our System.</w:t>
      </w:r>
    </w:p>
    <w:p>
      <w:pPr>
        <w:spacing w:after="0" w:line="95"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Our warehousing facilities are subject to numerous federal and state laws and regulations, including those of OSHA, a regulatory agency of the United States Department of Labor. In particular, our facilities are subject to oversight and regulation under local ordinances, building, zoning and fire codes, environmental protection regulation, and other rules and regulations. Although we believe that obtaining and renewing any certificates or licenses required for the operation of our business in compliance with such laws and regulations will be routine, we cannot assure you that we will obtain or renew them in a timely manner. Our failure to hold a given license or certificate, whether by expiration, nonrenewal, modification or termination, may impair our ability to perform our obligations under our customer contracts. Such licenses or certificates may require us to operate in ways that incur substantial compliance costs, particularly as we seek to scale our System.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Supply chain interruptions may increase our costs or reduce our revenue.</w:t>
      </w:r>
    </w:p>
    <w:p>
      <w:pPr>
        <w:spacing w:after="0" w:line="95"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We depend on good vendor relationships and the effectiveness of our supply chain management to ensure reliable and sufficient supply, on reasonably favorable terms, of materials used in our manufacturing processes. The materials we purchase and use in the ordinary course of business are sourced from a wide variety of suppliers around the world, including Germany, Italy, Sweden, Mexico, the United States and China. Disruptions in the supply chain may result from public health crises, such as the COVID-19 pandemic, or from weather-related events, natural disasters, trade restrictions, tariffs, border controls, acts of war, terrorist attacks, third-party strikes, work stoppages or slowdowns, shipping capacity constraints, supply or shipping interruptions or other factors beyond our control. In the event of disruptions in our existing supply chain, the labor and materials we rely on in the ordinary course of our business may not be available at reasonable rates or at all. Further, we may not be able to recover such additional costs under our agreements with our customers. Our supply chain also depends on third-party warehouses and logistics providers. Any disruption in the supply, storage or delivery of materials could disrupt our operations, which may cause harm to our reputation and results of operations.</w:t>
      </w:r>
    </w:p>
    <w:p>
      <w:pPr>
        <w:spacing w:after="0" w:line="13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We are required to assess our internal control over financial reporting and our management has identified material weaknesses. If our remediation of the material weaknesses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 reports, significant expenses to remediate any internal control deficiencies, and ultimately have an adverse effect on the trading price of our common stock.</w:t>
      </w:r>
    </w:p>
    <w:p>
      <w:pPr>
        <w:spacing w:after="0" w:line="50"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Pursuant to Section 404 of the Sarbanes-Oxley Act, or Section 404, we are required to furnish a report by our management on our internal control over financial reporting. As we are no longer an “emerging growth company” as of the end of the fiscal year ended September 28, 2024, to achieve compliance with Section 404, we are required to document and test the operating effectiveness of our internal control over financial reporting, which is both costly and challenging.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1" w:name="page32"/>
    <w:bookmarkEnd w:id="3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3"/>
          <w:szCs w:val="13"/>
          <w:color w:val="auto"/>
        </w:rPr>
        <w:t>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5" w:lineRule="exact"/>
        <w:rPr>
          <w:sz w:val="20"/>
          <w:szCs w:val="20"/>
          <w:color w:val="auto"/>
        </w:rPr>
      </w:pPr>
    </w:p>
    <w:p>
      <w:pPr>
        <w:ind w:right="80" w:firstLine="240"/>
        <w:spacing w:after="0" w:line="263" w:lineRule="auto"/>
        <w:rPr>
          <w:sz w:val="20"/>
          <w:szCs w:val="20"/>
          <w:color w:val="auto"/>
        </w:rPr>
      </w:pPr>
      <w:r>
        <w:rPr>
          <w:rFonts w:ascii="Times New Roman" w:cs="Times New Roman" w:eastAsia="Times New Roman" w:hAnsi="Times New Roman"/>
          <w:sz w:val="13"/>
          <w:szCs w:val="13"/>
          <w:color w:val="auto"/>
        </w:rPr>
        <w:t xml:space="preserve">Our management has conducted an evaluation of the effectiveness of our internal control over financial reporting as of September 28, 2024. Based upon this evaluation and those criteria, management concluded that, as of September 28, 2024, the Company’s internal control over financial reporting was not effective due to the identification of material weaknesses. As of September 28, 2024,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This resulted in an overstatement of revenue during the year. These deficiencies in internal control over financial reporting constituted material weaknesses. For further discussion of these material weaknesses, see Item 9A. </w:t>
      </w:r>
      <w:r>
        <w:rPr>
          <w:rFonts w:ascii="Times New Roman" w:cs="Times New Roman" w:eastAsia="Times New Roman" w:hAnsi="Times New Roman"/>
          <w:sz w:val="13"/>
          <w:szCs w:val="13"/>
          <w:i w:val="1"/>
          <w:iCs w:val="1"/>
          <w:color w:val="auto"/>
        </w:rPr>
        <w:t>Controls and Procedures</w:t>
      </w:r>
      <w:r>
        <w:rPr>
          <w:rFonts w:ascii="Times New Roman" w:cs="Times New Roman" w:eastAsia="Times New Roman" w:hAnsi="Times New Roman"/>
          <w:sz w:val="13"/>
          <w:szCs w:val="13"/>
          <w:color w:val="auto"/>
        </w:rPr>
        <w: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5" w:lineRule="exact"/>
        <w:rPr>
          <w:sz w:val="20"/>
          <w:szCs w:val="20"/>
          <w:color w:val="auto"/>
        </w:rPr>
      </w:pPr>
    </w:p>
    <w:p>
      <w:pPr>
        <w:ind w:firstLine="240"/>
        <w:spacing w:after="0" w:line="273" w:lineRule="auto"/>
        <w:rPr>
          <w:sz w:val="20"/>
          <w:szCs w:val="20"/>
          <w:color w:val="auto"/>
        </w:rPr>
      </w:pPr>
      <w:r>
        <w:rPr>
          <w:rFonts w:ascii="Times New Roman" w:cs="Times New Roman" w:eastAsia="Times New Roman" w:hAnsi="Times New Roman"/>
          <w:sz w:val="13"/>
          <w:szCs w:val="13"/>
          <w:color w:val="auto"/>
        </w:rPr>
        <w:t>We may be unable to conclude in future periods that our disclosure controls and procedures are effective due to the effects of various factors, which may, in part, include unremediated material weaknesses in internal controls over financial reporting. Disclosure controls and procedures include, without limitation, controls and procedures designed to ensure that information required to be disclosed by a company in those reports is accumulated and communicated to the company’s management, including its principal executive and principal financial officers, as appropriate to allow timely decisions regarding required disclosure.</w:t>
      </w:r>
    </w:p>
    <w:p>
      <w:pPr>
        <w:spacing w:after="0" w:line="171" w:lineRule="exact"/>
        <w:rPr>
          <w:sz w:val="20"/>
          <w:szCs w:val="20"/>
          <w:color w:val="auto"/>
        </w:rPr>
      </w:pPr>
    </w:p>
    <w:p>
      <w:pPr>
        <w:ind w:right="60" w:firstLine="240"/>
        <w:spacing w:after="0" w:line="266" w:lineRule="auto"/>
        <w:rPr>
          <w:sz w:val="20"/>
          <w:szCs w:val="20"/>
          <w:color w:val="auto"/>
        </w:rPr>
      </w:pPr>
      <w:r>
        <w:rPr>
          <w:rFonts w:ascii="Times New Roman" w:cs="Times New Roman" w:eastAsia="Times New Roman" w:hAnsi="Times New Roman"/>
          <w:sz w:val="13"/>
          <w:szCs w:val="13"/>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Remediation efforts have placed, and will continue to place, a significant burden on management and add increased pressure on our financial reporting resources and processes. The accuracy of our financial reporting and our ability to timely file with the SEC may in the future be adversely impacted if we are unable to successfully remediate the material weaknesses in a timely manner, or if any additional material weaknesses in our internal control over financial reporting are identified.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Intellectual Property</w:t>
      </w:r>
    </w:p>
    <w:p>
      <w:pPr>
        <w:spacing w:after="0" w:line="17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may need to bring, or defend ourselves against, IP infringement or misappropriation claims, which may adversely affect our business, financial condition and results of operations by limiting our ability to use certain IP and causing us to incur substantial costs.</w:t>
      </w:r>
    </w:p>
    <w:p>
      <w:pPr>
        <w:spacing w:after="0" w:line="30" w:lineRule="exact"/>
        <w:rPr>
          <w:sz w:val="20"/>
          <w:szCs w:val="20"/>
          <w:color w:val="auto"/>
        </w:rPr>
      </w:pPr>
    </w:p>
    <w:p>
      <w:pPr>
        <w:ind w:right="220" w:firstLine="240"/>
        <w:spacing w:after="0" w:line="276" w:lineRule="auto"/>
        <w:rPr>
          <w:sz w:val="20"/>
          <w:szCs w:val="20"/>
          <w:color w:val="auto"/>
        </w:rPr>
      </w:pPr>
      <w:r>
        <w:rPr>
          <w:rFonts w:ascii="Times New Roman" w:cs="Times New Roman" w:eastAsia="Times New Roman" w:hAnsi="Times New Roman"/>
          <w:sz w:val="13"/>
          <w:szCs w:val="13"/>
          <w:color w:val="auto"/>
        </w:rPr>
        <w:t>We may become subject to IP disputes. Our success depends, in part, on our ability to develop and commercialize our System without infringing, misappropriating or otherwise violating the IP of third parties. However, we may not be aware that our System infringes, misappropriates or otherwise violates third-party IP, and such third parties may bring claims alleging such infringement, misappropriation or violation.</w:t>
      </w:r>
    </w:p>
    <w:p>
      <w:pPr>
        <w:spacing w:after="0" w:line="5"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Companies, organizations or individuals, including our competitors, may own or obtain patents, copyrights, trademarks, trade secrets, or other IP that would prevent or limit our ability to develop, manufacture or sell our System, which could make it more difficult for us to operate our business. We may receive inquiries from IP owners inquiring whether we have infringed upon, misappropriated or violated their IP, or otherwise not complied with the terms and conditions such rights may be subject to (including open source software licenses). Companies owning IP, including those relating to supply chain automation, may allege infringement, misappropriation or violation of such rights.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third-party obtains an injunction preventing us from using our IP, or if we cannot license or develop alternative technology for any infringing aspect of our business, we would be forced to limit or stop sales of our System and services or cease business activities related to such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2" w:name="page33"/>
    <w:bookmarkEnd w:id="3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80" w:firstLine="240"/>
        <w:spacing w:after="0" w:line="289" w:lineRule="auto"/>
        <w:rPr>
          <w:sz w:val="20"/>
          <w:szCs w:val="20"/>
          <w:color w:val="auto"/>
        </w:rPr>
      </w:pPr>
      <w:r>
        <w:rPr>
          <w:rFonts w:ascii="Times New Roman" w:cs="Times New Roman" w:eastAsia="Times New Roman" w:hAnsi="Times New Roman"/>
          <w:sz w:val="13"/>
          <w:szCs w:val="13"/>
          <w:color w:val="auto"/>
        </w:rPr>
        <w:t>In response to a determination that we have infringed upon, misappropriated or violated a third-party’s IP (including through our indemnification obligations), we may be required to do one or more of the following:</w:t>
      </w:r>
    </w:p>
    <w:p>
      <w:pPr>
        <w:spacing w:after="0" w:line="1" w:lineRule="exact"/>
        <w:rPr>
          <w:sz w:val="20"/>
          <w:szCs w:val="20"/>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cease development, sales or use of our System that incorporates or is covered by the asserted IP;</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substantial damages, including through settlement payments or indemnification obligations (including legal fees);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 license from the owner of the asserted IP, which license may not be available on reasonable terms or at all; or</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redesign one or more aspects of our System that is alleged to infringe, misappropriate or violate any third-party IP.</w:t>
      </w:r>
    </w:p>
    <w:p>
      <w:pPr>
        <w:spacing w:after="0" w:line="51"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A successful claim of infringement, violation or misappropriation against us could materially adversely affect our business, financial, condition or results of operations. Any legal proceedings or claims, whether valid or invalid, could result in substantial costs and diversion of resources. If third parties successfully oppose or challenge our IP or successfully claim that we infringe, misappropriate or otherwise violate their IP, we may be subject to liability, required to enter into costly license agreements, or required to rebrand or restrict our System. Also, we expect that the occurrence of infringement claims is likely to grow as the market for our System grows. Accordingly, our exposure to damages resulting from infringement claims could increase, and this could further exhaust our financial and management resources.</w:t>
      </w:r>
    </w:p>
    <w:p>
      <w:pPr>
        <w:spacing w:after="0" w:line="11" w:lineRule="exact"/>
        <w:rPr>
          <w:sz w:val="20"/>
          <w:szCs w:val="20"/>
          <w:color w:val="auto"/>
        </w:rPr>
      </w:pPr>
    </w:p>
    <w:p>
      <w:pPr>
        <w:ind w:firstLine="240"/>
        <w:spacing w:after="0" w:line="265" w:lineRule="auto"/>
        <w:rPr>
          <w:sz w:val="20"/>
          <w:szCs w:val="20"/>
          <w:color w:val="auto"/>
        </w:rPr>
      </w:pPr>
      <w:r>
        <w:rPr>
          <w:rFonts w:ascii="Times New Roman" w:cs="Times New Roman" w:eastAsia="Times New Roman" w:hAnsi="Times New Roman"/>
          <w:sz w:val="13"/>
          <w:szCs w:val="13"/>
          <w:color w:val="auto"/>
        </w:rPr>
        <w:t>In order to protect our IP, we may be required to spend significant resources to monitor our IP. Litigation may be necessary in the future to enforce our IP and to protect our trade secrets. Litigation brought to protect and enforce our IP could be costly, time-consuming, and distracting to management, and could result in the impairment or loss of portions of our IP. Further, our efforts to enforce our IP may be met with defenses, counterclaims, and countersuits attacking the validity and enforceability of our IP, and if such defenses, counterclaims, or countersuits are successful, we could lose our rights in and to valuable IP. Our inability to protect our proprietary technology against unauthorized copying or use, as well as any costly litigation or diversion of our management’s attention and resources, could delay further sales or the implementation of our System, impair the functionality of our System, delay introductions of new solutions, result in our substituting inferior or more costly technologies into our System, and injure our reputation.</w:t>
      </w:r>
    </w:p>
    <w:p>
      <w:pPr>
        <w:spacing w:after="0" w:line="292"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business, financial condition and results of operations may be adversely affected and the value of our brand, System and other intangible assets may be diminished if we are unable to maintain and protect our IP (including maintaining the confidentiality and control of our proprietary source code and other trade secrets) from unauthorized use, infringement or misappropriation by third parties.</w:t>
      </w:r>
    </w:p>
    <w:p>
      <w:pPr>
        <w:spacing w:after="0" w:line="30" w:lineRule="exact"/>
        <w:rPr>
          <w:sz w:val="20"/>
          <w:szCs w:val="20"/>
          <w:color w:val="auto"/>
        </w:rPr>
      </w:pPr>
    </w:p>
    <w:p>
      <w:pPr>
        <w:ind w:right="180" w:firstLine="240"/>
        <w:spacing w:after="0" w:line="269" w:lineRule="auto"/>
        <w:rPr>
          <w:sz w:val="20"/>
          <w:szCs w:val="20"/>
          <w:color w:val="auto"/>
        </w:rPr>
      </w:pPr>
      <w:r>
        <w:rPr>
          <w:rFonts w:ascii="Times New Roman" w:cs="Times New Roman" w:eastAsia="Times New Roman" w:hAnsi="Times New Roman"/>
          <w:sz w:val="13"/>
          <w:szCs w:val="13"/>
          <w:color w:val="auto"/>
        </w:rPr>
        <w:t>Our success depends on our ability to protect our IP (including by obtaining and enforcing our patents and trademarks and maintaining the confidentiality of our proprietary source code and other trade secrets), and the failure to adequately maintain, protect or enforce our IP could result in our competitors offering products or services similar or superior to ours, which would adversely affect our business, financial, condition or results of operations. We rely on a combination of patents, trade secrets (including know-how), employee and third-party invention assignment and nondisclosure agreements, copyright, trademark, and other IP licenses and contractual rights to establish, maintain and protect the IP in and to our System.</w:t>
      </w:r>
    </w:p>
    <w:p>
      <w:pPr>
        <w:spacing w:after="0" w:line="11" w:lineRule="exact"/>
        <w:rPr>
          <w:sz w:val="20"/>
          <w:szCs w:val="20"/>
          <w:color w:val="auto"/>
        </w:rPr>
      </w:pPr>
    </w:p>
    <w:p>
      <w:pPr>
        <w:ind w:right="140" w:firstLine="240"/>
        <w:spacing w:after="0" w:line="289" w:lineRule="auto"/>
        <w:rPr>
          <w:sz w:val="20"/>
          <w:szCs w:val="20"/>
          <w:color w:val="auto"/>
        </w:rPr>
      </w:pPr>
      <w:r>
        <w:rPr>
          <w:rFonts w:ascii="Times New Roman" w:cs="Times New Roman" w:eastAsia="Times New Roman" w:hAnsi="Times New Roman"/>
          <w:sz w:val="13"/>
          <w:szCs w:val="13"/>
          <w:color w:val="auto"/>
        </w:rPr>
        <w:t>The measures we take to maintain and protect our IP from infringement, misappropriation or violation by others or the unauthorized disclosure of our trade secrets may not be effective for various reasons, including the following:</w:t>
      </w:r>
    </w:p>
    <w:p>
      <w:pPr>
        <w:spacing w:after="0" w:line="1" w:lineRule="exact"/>
        <w:rPr>
          <w:sz w:val="20"/>
          <w:szCs w:val="20"/>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patent applications we submit or currently have pending may not result in the issuance of patents;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scope of our issued patents, including our patent claims, may not be broad enough to protect our proprietary rights;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issued patents may be challenged, invalidated or held unenforceable through administrative or legal proceedings in the U.S. or in foreign jurisdictions;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employees or business partners may breach their confidentiality, non-disclosure and non-use obligations to us and we may not have adequate remedies for any such breach;</w:t>
      </w:r>
    </w:p>
    <w:p>
      <w:pPr>
        <w:spacing w:after="0" w:line="50" w:lineRule="exact"/>
        <w:rPr>
          <w:rFonts w:ascii="Times New Roman" w:cs="Times New Roman" w:eastAsia="Times New Roman" w:hAnsi="Times New Roman"/>
          <w:sz w:val="13"/>
          <w:szCs w:val="13"/>
          <w:color w:val="auto"/>
        </w:rPr>
      </w:pPr>
    </w:p>
    <w:p>
      <w:pPr>
        <w:ind w:left="480" w:right="240" w:hanging="239"/>
        <w:spacing w:after="0" w:line="289" w:lineRule="auto"/>
        <w:tabs>
          <w:tab w:leader="none" w:pos="47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competitors or third parties may reverse engineer, circumvent or design around our technology or IP or independently discover or develop technologies that are substantially equivalent or superior to ours;</w:t>
      </w:r>
    </w:p>
    <w:p>
      <w:pPr>
        <w:ind w:left="480" w:right="80" w:hanging="239"/>
        <w:spacing w:after="0" w:line="289" w:lineRule="auto"/>
        <w:tabs>
          <w:tab w:leader="none" w:pos="47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successful in enforcing our IP portfolio against third parties who are infringing, violating or misappropriating such IP, for a number of reasons, including substantive and procedural legal impediments;</w:t>
      </w: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trademarks may not be valid or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3" w:name="page34"/>
    <w:bookmarkEnd w:id="3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efforts to protect our trademarks from unauthorized use may be deemed insufficient to satisfy legal requirements throughout the world to maintain our rights in our trademarks;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goodwill that we have developed in our trademarks could be lost or impaired;</w:t>
      </w:r>
    </w:p>
    <w:p>
      <w:pPr>
        <w:spacing w:after="0" w:line="50" w:lineRule="exact"/>
        <w:rPr>
          <w:rFonts w:ascii="Times New Roman" w:cs="Times New Roman" w:eastAsia="Times New Roman" w:hAnsi="Times New Roman"/>
          <w:sz w:val="13"/>
          <w:szCs w:val="13"/>
          <w:color w:val="auto"/>
        </w:rPr>
      </w:pPr>
    </w:p>
    <w:p>
      <w:pPr>
        <w:ind w:left="480" w:right="80" w:hanging="239"/>
        <w:spacing w:after="0" w:line="289" w:lineRule="auto"/>
        <w:tabs>
          <w:tab w:leader="none" w:pos="47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associated with enforcing patents, confidentiality and invention assignment agreements or other IP and IP-related agreements may make enforcement commercially impracticable or divert our management’s attention and resources; and</w:t>
      </w:r>
    </w:p>
    <w:p>
      <w:pPr>
        <w:ind w:left="480" w:right="140" w:hanging="239"/>
        <w:spacing w:after="0" w:line="289" w:lineRule="auto"/>
        <w:tabs>
          <w:tab w:leader="none" w:pos="47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use of open-source software could: (i) subject us to claims alleging that we are not compliant with such software licenses; (ii) require us to publicly release portions of our proprietary source code; and (iii) expose us to greater security risks than would the use of non-open-source third-party commercial software.</w:t>
      </w:r>
    </w:p>
    <w:p>
      <w:pPr>
        <w:spacing w:after="0" w:line="1"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Additionally, IP laws vary throughout the world. Some foreign countries do not protect IP to the same extent as do the laws of the U.S. Further, policing the unauthorized use of or enforcing our IP in foreign jurisdictions may be difficult. Therefore, as we continue to expand our international footprint, our IP may not be as strong and expansive, or as easily enforced (or even exist), outside of the U.S. Accordingly, despite our efforts, we may be unable to prevent third parties from infringing upon, misappropriating, or otherwise violating our IP.</w:t>
      </w:r>
    </w:p>
    <w:p>
      <w:pPr>
        <w:spacing w:after="0" w:line="5" w:lineRule="exact"/>
        <w:rPr>
          <w:sz w:val="20"/>
          <w:szCs w:val="20"/>
          <w:color w:val="auto"/>
        </w:rPr>
      </w:pPr>
    </w:p>
    <w:p>
      <w:pPr>
        <w:ind w:right="40" w:firstLine="240"/>
        <w:spacing w:after="0" w:line="264" w:lineRule="auto"/>
        <w:rPr>
          <w:sz w:val="20"/>
          <w:szCs w:val="20"/>
          <w:color w:val="auto"/>
        </w:rPr>
      </w:pPr>
      <w:r>
        <w:rPr>
          <w:rFonts w:ascii="Times New Roman" w:cs="Times New Roman" w:eastAsia="Times New Roman" w:hAnsi="Times New Roman"/>
          <w:sz w:val="13"/>
          <w:szCs w:val="13"/>
          <w:color w:val="auto"/>
        </w:rPr>
        <w:t>If we are unable to adequately prevent disclosure of trade secrets or other proprietary information, the value of our technology may be diminished. 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enforceable or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System. These agreements may be breached, and we may not have adequate remedies for any such breach.</w:t>
      </w:r>
    </w:p>
    <w:p>
      <w:pPr>
        <w:spacing w:after="0" w:line="131"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software contains third-party open-source software components. Certain use of such open-source components with our proprietary software could adversely affect our ability to charge fees for, or otherwise protect the value of, our solution.</w:t>
      </w:r>
    </w:p>
    <w:p>
      <w:pPr>
        <w:spacing w:after="0" w:line="3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3"/>
          <w:szCs w:val="13"/>
          <w:color w:val="auto"/>
        </w:rPr>
        <w:t>We license certain software from third parties under open-source licenses. Use and distribution of open-source software may entail greater risks than use of non-open-source third-party commercial software, as open-source licensors generally do not provide support, warranties, indemnification or other contractual protections regarding infringement claims or the quality of the code. In addition, the public availability of such software may make it easier for others to compromise our System.</w:t>
      </w:r>
    </w:p>
    <w:p>
      <w:pPr>
        <w:spacing w:after="0" w:line="5"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Some open-source licenses contain requirements that we make available source code for modifications or derivative works of our proprietary software based upon the type of open-source software we use or grant other licenses to our IP. If we combine our proprietary software with open-source software in a certain manner, we could, under certain open-source licenses, be required to release the source code of our proprietary software to the public. This could allow our competitors to create similar products or service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1"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Although we monitor our use of open-source software to avoid subjecting our System to unintended conditions, the terms of many open-source licenses have not been interpreted by U.S. or foreign courts, and there is a risk that these licenses could be construed in a way that could impose unanticipated conditions or restrictions on our ability to provide or distribute our System. From time to time, there have been claims challenging the ownership of open-source software against companies that incorporate open-source software into their solutions. We could similarly be subject to lawsuits by parties claiming ownership of what we believe to be open-source software. Moreover, we cannot assure you that our processes for controlling our use of open-source software in our System will be effective.</w:t>
      </w:r>
    </w:p>
    <w:p>
      <w:pPr>
        <w:spacing w:after="0" w:line="11" w:lineRule="exact"/>
        <w:rPr>
          <w:sz w:val="20"/>
          <w:szCs w:val="20"/>
          <w:color w:val="auto"/>
        </w:rPr>
      </w:pPr>
    </w:p>
    <w:p>
      <w:pPr>
        <w:ind w:right="60" w:firstLine="240"/>
        <w:spacing w:after="0" w:line="269" w:lineRule="auto"/>
        <w:rPr>
          <w:sz w:val="20"/>
          <w:szCs w:val="20"/>
          <w:color w:val="auto"/>
        </w:rPr>
      </w:pPr>
      <w:r>
        <w:rPr>
          <w:rFonts w:ascii="Times New Roman" w:cs="Times New Roman" w:eastAsia="Times New Roman" w:hAnsi="Times New Roman"/>
          <w:sz w:val="13"/>
          <w:szCs w:val="13"/>
          <w:color w:val="auto"/>
        </w:rPr>
        <w:t>If we are held to have breached or failed to fully comply with all the terms and conditions of an open-source software license, we could face infringement or other liability. This may result in an injunction against providing our System, a requirement to seek costly licenses from third parties to continue providing our System on terms that are not economically feasible, re-engineering our System, discontinuing or delaying the provision of our System if re-engineering could not be accomplished on a timely basis or to make generally available, in source code form, our proprietary code, any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34" w:name="page35"/>
    <w:bookmarkEnd w:id="3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patent applications may not issue or, if issued, may not provide sufficient protection, which may adversely affect our ability to prevent others from commercially exploiting products similar to ours.</w:t>
      </w:r>
    </w:p>
    <w:p>
      <w:pPr>
        <w:spacing w:after="0" w:line="95" w:lineRule="exact"/>
        <w:rPr>
          <w:sz w:val="20"/>
          <w:szCs w:val="20"/>
          <w:color w:val="auto"/>
        </w:rPr>
      </w:pPr>
    </w:p>
    <w:p>
      <w:pPr>
        <w:ind w:right="60" w:firstLine="240"/>
        <w:spacing w:after="0" w:line="263" w:lineRule="auto"/>
        <w:rPr>
          <w:sz w:val="20"/>
          <w:szCs w:val="20"/>
          <w:color w:val="auto"/>
        </w:rPr>
      </w:pPr>
      <w:r>
        <w:rPr>
          <w:rFonts w:ascii="Times New Roman" w:cs="Times New Roman" w:eastAsia="Times New Roman" w:hAnsi="Times New Roman"/>
          <w:sz w:val="13"/>
          <w:szCs w:val="13"/>
          <w:color w:val="auto"/>
        </w:rPr>
        <w:t>We rely on our patent portfolio to protect our competitive advantages. As of September 28, 2024, we had 483 issued patents in 14 countries and an additional 235 patents pending worldwide. Our issued patents are scheduled to expire between May 2025 and October 2043. The pending patent applications are presently undergoing examination or expected to undergo examination in the near future. These patents and patent applications seek to protect our proprietary inventions relevant to our business (including our revolutionary distribution center structure, our depalletizing tool, our electro-sensitive protection system for machinery and other software and hardware components of our System), in addition to other proprietary technologies (including source code) which are primarily maintained as trade secrets. We intend to pursue additional IP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System or other automated or robotic supply chain solution.</w:t>
      </w:r>
    </w:p>
    <w:p>
      <w:pPr>
        <w:spacing w:after="0" w:line="1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Even if we continue to seek patent protection in the future, we may be unable to obtain or maintain patent protection for our technology. There may be issued patents of which we are not aware, held by third parties that, if found to be valid and enforceable, could be alleged to be infringed by our current or future technologies or offerings. There also may be pending patent applications of which we are not aware that may result in issued patents, which could be alleged to be infringed by our current or future technologies or offerings. Furthermore, legal standards relating to the validity, enforceability and scope of protection of IP rights are uncertain. Despite our precautions, it may be possible for unauthorized third parties to copy our solution and use information that we regard as proprietary to create products that compete with ours.</w:t>
      </w:r>
    </w:p>
    <w:p>
      <w:pPr>
        <w:spacing w:after="0" w:line="11"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We also cannot be certain that we are the first inventor of the subject matter for which we have filed a particular patent application, or if we are the first party to file such a patent application. If another party has invented or filed a patent application with respect to the same subject matter as we have, we may not be entitled to the protection sought by our applicable patent applications. We also cannot be certain that all the claims included in a patent application will ultimately be allowed in the applicable issued patent. Further, the scope of protection provided by issued patent claims is often difficult to determine. As a result, we cannot be certain that the patent applications that we file will issue, or that our issued patents will afford protection against competitors with similar technology. In addition, even if all of our patent claims are allowed and cover their intended scope, our competitors may circumvent or design around our issued patents, which may adversely affect our business, financial, condition or results of operations. Finally, our issued patents may be challenged and invalidated.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Cybersecurity, Software Deficiencies, Service Interruptions and Data Privacy</w:t>
      </w:r>
    </w:p>
    <w:p>
      <w:pPr>
        <w:spacing w:after="0" w:line="171"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have experienced cybersecurity incidents in the past and may experience further cybersecurity incidents or security breaches of our IT or OT in the future, which may result in system disruptions, shutdowns, unauthorized access to or disclosure of confidential or personal information.</w:t>
      </w:r>
    </w:p>
    <w:p>
      <w:pPr>
        <w:spacing w:after="0" w:line="30" w:lineRule="exact"/>
        <w:rPr>
          <w:sz w:val="20"/>
          <w:szCs w:val="20"/>
          <w:color w:val="auto"/>
        </w:rPr>
      </w:pPr>
    </w:p>
    <w:p>
      <w:pPr>
        <w:ind w:right="300" w:firstLine="240"/>
        <w:spacing w:after="0" w:line="266" w:lineRule="auto"/>
        <w:rPr>
          <w:sz w:val="20"/>
          <w:szCs w:val="20"/>
          <w:color w:val="auto"/>
        </w:rPr>
      </w:pPr>
      <w:r>
        <w:rPr>
          <w:rFonts w:ascii="Times New Roman" w:cs="Times New Roman" w:eastAsia="Times New Roman" w:hAnsi="Times New Roman"/>
          <w:sz w:val="13"/>
          <w:szCs w:val="13"/>
          <w:color w:val="auto"/>
        </w:rPr>
        <w:t>We rely heavily on information technology (“IT”) and operational technology (“OT”) in our System and services for our customers, and in our enterprise infrastructure. Despite our implementation of security measures, our IT and OT may be subject to unauthorized access or harm by nation states, cyber-criminals, malicious insiders and other actors who may engage in fraud, theft of confidential or proprietary information, sabotage or other criminal activity. Our IT and OT could be compromised by malware (including ransomware), cyber-attacks or, as a result of, error or system failure. Hardware and software that we procure or rely upon from third parties may also contain defects or vulnerabilities in manufacture or design that could expose our System to a risk of compromise. In addition, our software contains third-party open source components, which may expose us to greater security risks than the use of non-open source third-party commercial software.</w:t>
      </w:r>
    </w:p>
    <w:p>
      <w:pPr>
        <w:spacing w:after="0" w:line="13"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We have experienced cyber threats and incidents in the past, although none have been material or had a material adverse effect on our business or financial condition. In the past, an unauthorized actor gained access to our IT, which resulted in certain information being accessed and exfiltrated, including human resources and employee data. Information that may have been subject to unauthorized access includes names, addresses and Social Security Numbers of employees. We may experience additional cybersecurity incidents and security breaches in the future. Additionally, certain functional areas of our workforce work remotely and such a remote work environment may be outside of our corporate network security protection boundaries, which imposes additional risks to our business, including increased risk of industrial espionage, phishing, cybersecurity attacks and unauthorized dissemination of sensitive, proprietary or confidential information. We allow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5" w:name="page36"/>
    <w:bookmarkEnd w:id="3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3"/>
          <w:szCs w:val="13"/>
          <w:color w:val="auto"/>
        </w:rPr>
        <w:t>employees to use their personal devices for the purpose of accessing certain of our resources. Personal devices are not centrally managed by us and could result in unauthorized access to sensitive, proprietary or confidential information if such a device is lost or compromised.</w:t>
      </w:r>
    </w:p>
    <w:p>
      <w:pPr>
        <w:spacing w:after="0" w:line="1" w:lineRule="exact"/>
        <w:rPr>
          <w:sz w:val="20"/>
          <w:szCs w:val="20"/>
          <w:color w:val="auto"/>
        </w:rPr>
      </w:pPr>
    </w:p>
    <w:p>
      <w:pPr>
        <w:ind w:right="160" w:firstLine="240"/>
        <w:spacing w:after="0" w:line="276" w:lineRule="auto"/>
        <w:rPr>
          <w:sz w:val="20"/>
          <w:szCs w:val="20"/>
          <w:color w:val="auto"/>
        </w:rPr>
      </w:pPr>
      <w:r>
        <w:rPr>
          <w:rFonts w:ascii="Times New Roman" w:cs="Times New Roman" w:eastAsia="Times New Roman" w:hAnsi="Times New Roman"/>
          <w:sz w:val="13"/>
          <w:szCs w:val="13"/>
          <w:color w:val="auto"/>
        </w:rPr>
        <w:t>Our business also uses IT resources on a dispersed basis for a wide variety of key functions including hardware and software development, engineering, manufacturing, sales, accounting, human resources and security. Our vendors, partners, employees and customers have access to, and share, information across multiple locations via various digital technologies. In addition, we rely on partners and vendors, including cloud providers, for a wide range of outsourced activities as part of our IT infrastructure and our commercial offerings.</w:t>
      </w:r>
    </w:p>
    <w:p>
      <w:pPr>
        <w:spacing w:after="0" w:line="5"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Secure connectivity is important to these ongoing operations. Also, our partners and vendors frequently have access to our confidential information as well as confidential information about our customers, employees and others. We design our security architecture to reduce the risk that a compromise of our partners’ data or infrastructure, for example a cloud platform, could lead to a compromise of our internal systems or customer networks, but this risk cannot be eliminated and vulnerabilities at third parties could result in unknown risk exposure to our business. Any significant security incident could have an adverse impact on sales, interrupt or delay our ability to operate or service our customers, harm our reputation and cause us to incur legal liability and increased costs to address such events and related security concerns.</w:t>
      </w:r>
    </w:p>
    <w:p>
      <w:pPr>
        <w:spacing w:after="0" w:line="127"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3"/>
          <w:szCs w:val="13"/>
          <w:b w:val="1"/>
          <w:bCs w:val="1"/>
          <w:i w:val="1"/>
          <w:iCs w:val="1"/>
          <w:color w:val="auto"/>
        </w:rPr>
        <w:t>Our ability to efficiently manage and expand our business depends significantly on the reliability, capacity and protection of our IT. Real or perceived failures or security breaches of our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44"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Our System, software and services are used by our customers in supply chain applications that may be subject to information theft, tampering, vulnerabilities or sabotage. Careless or malicious actors could cause a customer’s supply chain processes, including our System, to be disrupted or could cause equipment to operate in an improper manner that could result in harm to people or property. While we continue to improve the security attributes of our System, software and services, we can reduce risk but not eliminate it. To a significant extent, the security of our customers’ IT depends on how they are designed, installed, protected, configured, updated and monitored, and much of this is typically outside our control. In addition, the software supply chain introduces security vulnerabilities into many products, including products that may be used by our System.</w:t>
      </w:r>
    </w:p>
    <w:p>
      <w:pPr>
        <w:spacing w:after="0" w:line="13" w:lineRule="exact"/>
        <w:rPr>
          <w:sz w:val="20"/>
          <w:szCs w:val="20"/>
          <w:color w:val="auto"/>
        </w:rPr>
      </w:pPr>
    </w:p>
    <w:p>
      <w:pPr>
        <w:ind w:right="20" w:firstLine="240"/>
        <w:spacing w:after="0" w:line="276" w:lineRule="auto"/>
        <w:rPr>
          <w:sz w:val="20"/>
          <w:szCs w:val="20"/>
          <w:color w:val="auto"/>
        </w:rPr>
      </w:pPr>
      <w:r>
        <w:rPr>
          <w:rFonts w:ascii="Times New Roman" w:cs="Times New Roman" w:eastAsia="Times New Roman" w:hAnsi="Times New Roman"/>
          <w:sz w:val="13"/>
          <w:szCs w:val="13"/>
          <w:color w:val="auto"/>
        </w:rPr>
        <w:t>The current cyber threat environment indicates increased risk for all companies, including those in supply chain automation. Any significant security incident could have an adverse impact on sales, interrupt or delay our ability to operate or service our customers, harm our reputation and cause us to incur legal liability and increased costs to address such events and related security concerns. Cybersecurity incidents may also compromise third parties upon which we rely for our operations, and we are limited in our ability to prevent or mitigate those compromises or their effects.</w:t>
      </w:r>
    </w:p>
    <w:p>
      <w:pPr>
        <w:spacing w:after="0" w:line="5"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If such an event results in unauthorized access to, or loss of, any data subject to data privacy and security laws and regulations or contractual obligations, then we could be subject to substantial fines by U.S. federal and state authorities, foreign data privacy authorities and private claims by companies or individuals. A cyber-attack may cause additional costs, such as investigative and remediation costs, and the costs of providing individuals and/or data owners with notice of the breach, legal fees, and the costs of any additional fraud detection activities required by law, a court or a third-party. Further, if a high-profile security breach occurs with respect to another provider of supply chain automation solutions, our customers may lose trust in the security of our System or in the supply chain automation industry generally, which could adversely impact our ability to retain existing customers or attract new ones. Even in the absence of any security breach, customer concerns about security, privacy or data protection may deter them from using our System, software and services, which could negatively impact our reputation and otherwise adversely affect our business, financial condition and results of operations.</w:t>
      </w:r>
    </w:p>
    <w:p>
      <w:pPr>
        <w:spacing w:after="0" w:line="131"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A breach of our IT that results in unauthorized access to personal information could require us to notify affected employees, customers and other persons (including governmental organizations) and lead to lawsuits and investigations alleging breaches of applicable laws or regulations.</w:t>
      </w:r>
    </w:p>
    <w:p>
      <w:pPr>
        <w:spacing w:after="0" w:line="30" w:lineRule="exact"/>
        <w:rPr>
          <w:sz w:val="20"/>
          <w:szCs w:val="20"/>
          <w:color w:val="auto"/>
        </w:rPr>
      </w:pPr>
    </w:p>
    <w:p>
      <w:pPr>
        <w:ind w:right="320" w:firstLine="240"/>
        <w:spacing w:after="0" w:line="294" w:lineRule="auto"/>
        <w:rPr>
          <w:sz w:val="20"/>
          <w:szCs w:val="20"/>
          <w:color w:val="auto"/>
        </w:rPr>
      </w:pPr>
      <w:r>
        <w:rPr>
          <w:rFonts w:ascii="Times New Roman" w:cs="Times New Roman" w:eastAsia="Times New Roman" w:hAnsi="Times New Roman"/>
          <w:sz w:val="13"/>
          <w:szCs w:val="13"/>
          <w:color w:val="auto"/>
        </w:rPr>
        <w:t>We may collect and process certain personal information of our customers or customers’ customers in connection with our business. Additionally, we collect and otherwise process other data relating to individuals, including business partners, prospects, employees, vendors and contractors. Although we take steps to protect the security of our customers’ personal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6" w:name="page37"/>
    <w:bookmarkEnd w:id="3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3"/>
          <w:szCs w:val="13"/>
          <w:color w:val="auto"/>
        </w:rPr>
        <w:t>information and other personal information within our control, we may face actual or perceived breaches of security, security incidents or other misuses of this information. Many jurisdictions have enacted laws requiring companies to notify individuals, regulatory authorities and others of security breaches involving certain types of data, and we may have contractual obligations to customers imposing similar requirements.</w:t>
      </w:r>
    </w:p>
    <w:p>
      <w:pPr>
        <w:spacing w:after="0" w:line="162" w:lineRule="exact"/>
        <w:rPr>
          <w:sz w:val="20"/>
          <w:szCs w:val="20"/>
          <w:color w:val="auto"/>
        </w:rPr>
      </w:pPr>
    </w:p>
    <w:p>
      <w:pPr>
        <w:ind w:right="100" w:firstLine="240"/>
        <w:spacing w:after="0" w:line="266" w:lineRule="auto"/>
        <w:rPr>
          <w:sz w:val="20"/>
          <w:szCs w:val="20"/>
          <w:color w:val="auto"/>
        </w:rPr>
      </w:pPr>
      <w:r>
        <w:rPr>
          <w:rFonts w:ascii="Times New Roman" w:cs="Times New Roman" w:eastAsia="Times New Roman" w:hAnsi="Times New Roman"/>
          <w:sz w:val="13"/>
          <w:szCs w:val="13"/>
          <w:color w:val="auto"/>
        </w:rPr>
        <w:t>We may be required to expend significant resources to comply with security breach and security incident notification requirements if a third party accesses or acquires such personal information without authorization, if we otherwise experience a security breach or incident or loss or damage of personal information, or if this is perceived to have occurred. Any actual or perceived breach of our network security, or those of our vendors or service providers, could result in claims, litigation and proceedings against us by governmental entities, customers, individuals or others, negative effects on our business and future prospects, including possible fines, penalties and damages, reduced demand for our System, software and services and harm to our reputation and brand, which could negatively impact our business, financial condition and results of operations.</w:t>
      </w:r>
    </w:p>
    <w:p>
      <w:pPr>
        <w:spacing w:after="0" w:line="129"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depend and rely upon technologies from third parties (including cloud-based technologies) to operate our business, and interruptions of or performance or security problems with these technologies or the termination of relationships with the providers of these technologies may adversely affect our business, financial condition and results of operations.</w:t>
      </w:r>
    </w:p>
    <w:p>
      <w:pPr>
        <w:spacing w:after="0" w:line="30"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We rely on partners and vendors, including cloud providers, for a wide range of outsourced activities as part of our internal IT infrastructure and our commercial solution. If these services become unavailable due to extended outages or interruptions or because they are no longer available on commercially reasonable terms, our expenses could increase, our ability to manage finances could be interrupted and our processes for managing sales of our System and supporting our customers could be impaired until equivalent services, if available, are identified, obtained and implemented. All of which could adversely affect our business and results of operations.</w:t>
      </w:r>
    </w:p>
    <w:p>
      <w:pPr>
        <w:spacing w:after="0" w:line="127"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Real or perceived errors, failures, bugs or defects in our IT could adversely lead to liability and litigation, disrupt our operations and could negatively impact our reputation and otherwise adversely affect our business, financial condition and results of operations.</w:t>
      </w:r>
    </w:p>
    <w:p>
      <w:pPr>
        <w:spacing w:after="0" w:line="30"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Our System is complex and, like all complicated solutions that depend on software and hardware, may contain undetected defects or errors. We are continuing to evolve the features and functionality of our System through updates and enhancements, and as we do so, we may introduce additional defects or errors that may not be detected until after deployment by our customers. If we acquire companies or integrate into our System technologies developed by third parties, we may encounter difficulty in incorporating the newly-obtained technologies into our System and maintaining the quality standards that are consistent with our reputation.</w:t>
      </w:r>
    </w:p>
    <w:p>
      <w:pPr>
        <w:spacing w:after="0" w:line="11"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If our System is not implemented or used correctly or as intended, inadequate performance and disruptions in service may result. Because our customers use our System for important aspects of their business, any actual or perceived errors, defects, bugs, or other performance problems in our System could damage our customers’ businesses. Any defects or errors in our System generally, or the perception of such defects or errors, could result in a loss of customers and delayed or lost revenue and could damage our reputation and lead to liability or litigation.</w:t>
      </w:r>
    </w:p>
    <w:p>
      <w:pPr>
        <w:spacing w:after="0" w:line="5"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Errors in our software or hardware that supports our System, generally, could cause system failures, loss of data or other adverse effects for our customers who may assert warranty and other claims for substantial damages against us. Although our customer agreements often contain provisions that seek to limit our exposure to such claims, it is possible that these provisions may be ineffective or unenforceable under the laws of some jurisdictions. While we seek to insure against these types of claims, our insurance policies may not adequately limit our exposure to such claims. These claims, even if unsuccessful, could be costly and time consuming to defend and could harm our business, financial condition, results of operations and cash flows.</w:t>
      </w:r>
    </w:p>
    <w:p>
      <w:pPr>
        <w:spacing w:after="0" w:line="12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business requires the collection, use, handling, processing, transfer and storage of employee and customer data, and such activities may be regulated by third-party agreements, our own privacy policies and certain federal, state and foreign laws and regulations.</w:t>
      </w:r>
    </w:p>
    <w:p>
      <w:pPr>
        <w:spacing w:after="0" w:line="30"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Our handling of customer and employee data is subject to a variety of laws and regulations relating to privacy, data protection and cybersecurity, and we may become subject to additional obligations, including contractual obligations, relating to our maintenance and other processing of this data, and new or modified laws or regulations. Any actual or alleged failure by us to comply with our privacy policy or any federal, state or international privacy, data protection or security laws 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7" w:name="page38"/>
    <w:bookmarkEnd w:id="3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regulations or other obligations could result in claims and litigation against us, regulatory investigations and other proceedings, legal liability, fines, damages and other costs. Any actual or alleged failure by any of our vendors or business partners to comply with contractual or legal obligations regarding the protection of information about our customers could carry similar consequences. Should we become subject to additional privacy or data protection laws, regulations, or other obligations relating to privacy, data protection or cybersecurity, we may need to undertake compliance efforts that could carry a large cost and could entail substantial time and other resources.</w:t>
      </w:r>
    </w:p>
    <w:p>
      <w:pPr>
        <w:spacing w:after="0" w:line="11" w:lineRule="exact"/>
        <w:rPr>
          <w:sz w:val="20"/>
          <w:szCs w:val="20"/>
          <w:color w:val="auto"/>
        </w:rPr>
      </w:pPr>
    </w:p>
    <w:p>
      <w:pPr>
        <w:ind w:right="120" w:firstLine="240"/>
        <w:spacing w:after="0" w:line="266" w:lineRule="auto"/>
        <w:rPr>
          <w:sz w:val="20"/>
          <w:szCs w:val="20"/>
          <w:color w:val="auto"/>
        </w:rPr>
      </w:pPr>
      <w:r>
        <w:rPr>
          <w:rFonts w:ascii="Times New Roman" w:cs="Times New Roman" w:eastAsia="Times New Roman" w:hAnsi="Times New Roman"/>
          <w:sz w:val="13"/>
          <w:szCs w:val="13"/>
          <w:color w:val="auto"/>
        </w:rPr>
        <w:t>We publish privacy policies and other documentation regarding our collection, use, disclosure, and other processing of personal information. Although we endeavor to adhere to these policies and documentation, we, and the third parties on which we rely, may at times fail to do so or may be perceived to have failed to do so. Such failures or perceived failures could subject us to regulatory enforcement action as well as costly legal claims by affected individuals or our customers. As enhanced, systemic administrative, physical, and technical safeguards and practices are evaluated, adopted, and implemented to safeguard personally identifiable information, those safeguards and practices may result in offsets to productivity gains we may make elsewhere. Similarly, as the rights of individuals expand globally with respect to their personal information, complying with established practices to affect those privacy rights also can impact our productivity.</w:t>
      </w:r>
    </w:p>
    <w:p>
      <w:pPr>
        <w:spacing w:after="0" w:line="12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Numerous states and the federal government have enacted, or are considering enacting, increasingly complex and rigorous privacy, information security and data protection laws and regulations that build on an existing global privacy and data security regulatory framework. This global patchwork of laws could have a significant impact on our privacy, data protection and information security-related practices. Monitoring and complying with these laws and regulations may be expensive and disruptive to our business, and our real or perceived failure to comply with them could adversely affect our business, financial condition and results of operations.</w:t>
      </w:r>
    </w:p>
    <w:p>
      <w:pPr>
        <w:spacing w:after="0" w:line="50"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We, our customers, and third parties whom we work with are subject to numerous evolving and increasingly stringent foreign and domestic laws and requirements relating to privacy, data security, and data loss prevention that are increasing the cost and complexity of operating our business. Compliance with state, federal and foreign privacy regulations, such as the California Consumer Privacy Act or the European Union’s General Data Protection Regulation, could increase our operating costs as part of our efforts to protect and safeguard our sensitive data and personal information. Failure to maintain information privacy and security could result in business interruption, legal liability and reputational harm.</w:t>
      </w:r>
    </w:p>
    <w:p>
      <w:pPr>
        <w:spacing w:after="0" w:line="11"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We strive to comply with applicable privacy, data security, and data protection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 privacy, data security, or data protection, or our policies and documentation relating to personal information, we could face: governmental enforcement action; litigation with our customers, individuals or others; fines and civil or criminal penalties for us or our executives; obligations to cease offering our System or to substantially modify it in ways that make it less effective in certain jurisdictions; negative publicity and harm to our brand and reputation; and reduced overall demand for our System. Such developments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common stock price may be volatile or may decline regardless of our operating performance; you may lose some or all of your investment.</w:t>
      </w:r>
    </w:p>
    <w:p>
      <w:pPr>
        <w:spacing w:after="0" w:line="9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The trading price of our common stock may be volatile. The stock market and the market for our common stock recently have experienced extreme volatility. This volatility often has been unrelated or disproportionate to the operating performance of particular companies. You may not be able to resell your shares at an attractive price due to a number of factors such as those listed in “Risks Related to Symbotic —Risks Related to Our Business, Operations and Industry” and the following:</w:t>
      </w:r>
    </w:p>
    <w:p>
      <w:pPr>
        <w:spacing w:after="0" w:line="5" w:lineRule="exact"/>
        <w:rPr>
          <w:sz w:val="20"/>
          <w:szCs w:val="20"/>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operating and financial performance and prospects;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or annual earnings or those of other companies in our industry compared to market expectations;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conditions that impact demand for our System;</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announcements concerning our business, our customers’ businesses or our competitors’ businesses;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public’s reaction to our press releases, other public announcements and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38" w:name="page39"/>
    <w:bookmarkEnd w:id="3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size of our public float;</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coverage by or changes in financial estimates by securities analysts or failure to meet their expectations;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and industry perception of our success, or lack thereof, in pursuing our growth strategy;</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actions by us or our competitors, such as acquisitions or restructurings;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laws or regulations which adversely affect our industry or us;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standards, policies, guidance, interpretations or principles;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senior management or key personnel;</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issuances, exchanges or sales, or expected issuances, exchanges or sales of our capital stock;</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dividend policy;</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resolution of new or pending litigation against us; and</w:t>
      </w:r>
    </w:p>
    <w:p>
      <w:pPr>
        <w:spacing w:after="0" w:line="50" w:lineRule="exact"/>
        <w:rPr>
          <w:rFonts w:ascii="Times New Roman" w:cs="Times New Roman" w:eastAsia="Times New Roman" w:hAnsi="Times New Roman"/>
          <w:sz w:val="13"/>
          <w:szCs w:val="13"/>
          <w:color w:val="auto"/>
        </w:rPr>
      </w:pPr>
    </w:p>
    <w:p>
      <w:pPr>
        <w:ind w:left="480" w:hanging="239"/>
        <w:spacing w:after="0" w:line="289" w:lineRule="auto"/>
        <w:tabs>
          <w:tab w:leader="none" w:pos="47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 w:lineRule="exact"/>
        <w:rPr>
          <w:sz w:val="20"/>
          <w:szCs w:val="20"/>
          <w:color w:val="auto"/>
        </w:rPr>
      </w:pPr>
    </w:p>
    <w:p>
      <w:pPr>
        <w:ind w:right="80" w:firstLine="240"/>
        <w:spacing w:after="0" w:line="289" w:lineRule="auto"/>
        <w:rPr>
          <w:sz w:val="20"/>
          <w:szCs w:val="20"/>
          <w:color w:val="auto"/>
        </w:rPr>
      </w:pPr>
      <w:r>
        <w:rPr>
          <w:rFonts w:ascii="Times New Roman" w:cs="Times New Roman" w:eastAsia="Times New Roman" w:hAnsi="Times New Roman"/>
          <w:sz w:val="13"/>
          <w:szCs w:val="13"/>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 w:lineRule="exact"/>
        <w:rPr>
          <w:sz w:val="20"/>
          <w:szCs w:val="20"/>
          <w:color w:val="auto"/>
        </w:rPr>
      </w:pPr>
    </w:p>
    <w:p>
      <w:pPr>
        <w:ind w:right="320" w:firstLine="240"/>
        <w:spacing w:after="0" w:line="276" w:lineRule="auto"/>
        <w:rPr>
          <w:sz w:val="20"/>
          <w:szCs w:val="20"/>
          <w:color w:val="auto"/>
        </w:rPr>
      </w:pPr>
      <w:r>
        <w:rPr>
          <w:rFonts w:ascii="Times New Roman" w:cs="Times New Roman" w:eastAsia="Times New Roman" w:hAnsi="Times New Roman"/>
          <w:sz w:val="13"/>
          <w:szCs w:val="13"/>
          <w:color w:val="auto"/>
        </w:rPr>
        <w:t>In the past, following periods of market volatility, stockholders have instituted securities class action litigation. Following our earning release in July 2024, the price of our Class A common stock fell significantly and, as a result, a class action lawsuit was filed in United States District Court for the District of Massachusetts against us. This class action and any other possible securities litigation, whether meritorious or not, could have a substantial cost and divert resources and the attention of executive management from our business regardless of the outcome of such litigation.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party to pending litigation, and we may be subject to future litigation in the operation of our business. An adverse outcome in one or more proceedings could adversely affect our business.</w:t>
      </w:r>
    </w:p>
    <w:p>
      <w:pPr>
        <w:spacing w:after="0" w:line="95" w:lineRule="exact"/>
        <w:rPr>
          <w:sz w:val="20"/>
          <w:szCs w:val="20"/>
          <w:color w:val="auto"/>
        </w:rPr>
      </w:pPr>
    </w:p>
    <w:p>
      <w:pPr>
        <w:ind w:right="540" w:firstLine="240"/>
        <w:spacing w:after="0" w:line="289" w:lineRule="auto"/>
        <w:rPr>
          <w:sz w:val="20"/>
          <w:szCs w:val="20"/>
          <w:color w:val="auto"/>
        </w:rPr>
      </w:pPr>
      <w:r>
        <w:rPr>
          <w:rFonts w:ascii="Times New Roman" w:cs="Times New Roman" w:eastAsia="Times New Roman" w:hAnsi="Times New Roman"/>
          <w:sz w:val="13"/>
          <w:szCs w:val="13"/>
          <w:color w:val="auto"/>
        </w:rPr>
        <w:t>We are a party to litigation, and we may in the future face the risk of claims, lawsuits, and other proceedings involving competition and antitrust, intellectual property, privacy, consumer protection, accessibility, securities, tax, labor and employment, commercial disputes, services and other matters. See “Business — Legal Proceedings.”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Litigation to defend us against claims by third parties, or to enforce any rights that we may have against third parties, may be necessary, which could result in substantial costs and diversion of our resources.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Insurance might not cover such claims, might not provide sufficient payments to cover all the costs to resolve one or more such claims and might not continue to be available on terms acceptable to us.</w:t>
      </w:r>
    </w:p>
    <w:p>
      <w:pPr>
        <w:spacing w:after="0" w:line="38"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Any litigation to which we are a party may result in an onerous or unfavorable judgment that may not be reversed upon appeal, or in payments of substantial monetary damages or fines, the posting of bonds requiring significant collateral, letters of credit or similar instruments, or we may decide to settle lawsuits on similarly unfavorable terms. These proceedings could result in reputational harm and criminal sanctions. Litigation and other claims and regulatory proceedings against us could also result in unexpected disciplinary actions, expenses and liabilities, which could have a material adverse effect on our business, financial condition and results of operations.</w:t>
      </w:r>
    </w:p>
    <w:p>
      <w:pPr>
        <w:spacing w:after="0" w:line="127" w:lineRule="exact"/>
        <w:rPr>
          <w:sz w:val="20"/>
          <w:szCs w:val="20"/>
          <w:color w:val="auto"/>
        </w:rPr>
      </w:pPr>
    </w:p>
    <w:p>
      <w:pPr>
        <w:ind w:right="48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have been the subject of governmental and regulatory investigations and inquiries with respect to the operation of our businesses and we could be subject to future governmental and regulatory investigations and inquiries, legal proceedings and enforcement actions. Any such investigation, inquiry, proceeding or action could adversely affect our business.</w:t>
      </w:r>
    </w:p>
    <w:p>
      <w:pPr>
        <w:spacing w:after="0" w:line="30" w:lineRule="exact"/>
        <w:rPr>
          <w:sz w:val="20"/>
          <w:szCs w:val="20"/>
          <w:color w:val="auto"/>
        </w:rPr>
      </w:pPr>
    </w:p>
    <w:p>
      <w:pPr>
        <w:ind w:right="140" w:firstLine="240"/>
        <w:spacing w:after="0" w:line="266" w:lineRule="auto"/>
        <w:rPr>
          <w:sz w:val="20"/>
          <w:szCs w:val="20"/>
          <w:color w:val="auto"/>
        </w:rPr>
      </w:pPr>
      <w:r>
        <w:rPr>
          <w:rFonts w:ascii="Times New Roman" w:cs="Times New Roman" w:eastAsia="Times New Roman" w:hAnsi="Times New Roman"/>
          <w:sz w:val="13"/>
          <w:szCs w:val="13"/>
          <w:color w:val="auto"/>
        </w:rPr>
        <w:t>We have in the past and may receive in the future formal and informal inquiries from government authorities and regulators, regarding compliance with laws and other matters, particularly as we grow and expand our business and operations. Resolution of these matters against us may result in, among other things, the payment of fines, judgments, penalties, non-monetary sanctions, or settlements, which may be significant, as well as the imposition of administrative remedies, changes and additional costs to our business operations to avoid risks associated with such litigation or investigations, reputational damage and decreased demand for our products, and the expenditure of significant time and resources that would otherwise be available for operating our business. These results may have an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39" w:name="page40"/>
    <w:bookmarkEnd w:id="3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on our common stock for the foreseeable future.</w:t>
      </w:r>
    </w:p>
    <w:p>
      <w:pPr>
        <w:spacing w:after="0" w:line="95"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if any, industry trends and other factors that our board of directors may deem relevant. Any such decision will also be subject to compliance with contractual restrictions and covenants in the agreements governing future indebtedness. In addition, we may incur future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131"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30"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The trading market for our common stock will depend in part on the research and reports that third-party securities analysts publish about us and the industries in which we operate. If one or more analysts cease coverage of us, the price and trading volume of our securities would likely be negatively impacted. If any of our analysts downgrades our securities, or provides more favorable recommendations about our competitors, the price of our securities would likely decline. If one or more analysts ceases covering us or fails to regularly publish reports on us, we could lose visibility in the financial markets, which could cause the price or trading volume of our securities to decline. Moreover, if our reporting results do not meet the expectations of our analysts, the market price of our common stock could decline.</w:t>
      </w:r>
    </w:p>
    <w:p>
      <w:pPr>
        <w:spacing w:after="0" w:line="12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issuance of additional shares of common stock or convertible securities could make it difficult for another company to acquire us, may dilute your ownership of us and could adversely affect our stock price.</w:t>
      </w:r>
    </w:p>
    <w:p>
      <w:pPr>
        <w:spacing w:after="0" w:line="30" w:lineRule="exact"/>
        <w:rPr>
          <w:sz w:val="20"/>
          <w:szCs w:val="20"/>
          <w:color w:val="auto"/>
        </w:rPr>
      </w:pPr>
    </w:p>
    <w:p>
      <w:pPr>
        <w:ind w:right="100" w:firstLine="240"/>
        <w:spacing w:after="0" w:line="266" w:lineRule="auto"/>
        <w:rPr>
          <w:sz w:val="20"/>
          <w:szCs w:val="20"/>
          <w:color w:val="auto"/>
        </w:rPr>
      </w:pPr>
      <w:r>
        <w:rPr>
          <w:rFonts w:ascii="Times New Roman" w:cs="Times New Roman" w:eastAsia="Times New Roman" w:hAnsi="Times New Roman"/>
          <w:sz w:val="13"/>
          <w:szCs w:val="13"/>
          <w:color w:val="auto"/>
        </w:rPr>
        <w:t>We have filed a registration statement with the SEC on Form S-8 providing for the registration of shares of our common stock issued or reserved for issuance under the Symbotic Inc. 2022 Omnibus Incentive Compensation Plan (the “Incentive Compensation Plan”) and the 2022 Employee Stock Purchase Plan (the “ESPP”). Subject to the satisfaction of vesting conditions, shares registered under the registration statement on Form S-8 will be available for resale immediately in the public market without restriction.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3"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In the future, we expect to obtain financing or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sales, or the perception of future sales, of our common stock by us or our stockholders in the public market could cause the market price for our common stock to decline.</w:t>
      </w:r>
    </w:p>
    <w:p>
      <w:pPr>
        <w:spacing w:after="0" w:line="95" w:lineRule="exact"/>
        <w:rPr>
          <w:sz w:val="20"/>
          <w:szCs w:val="20"/>
          <w:color w:val="auto"/>
        </w:rPr>
      </w:pPr>
    </w:p>
    <w:p>
      <w:pPr>
        <w:ind w:right="240" w:firstLine="240"/>
        <w:spacing w:after="0" w:line="294" w:lineRule="auto"/>
        <w:rPr>
          <w:sz w:val="20"/>
          <w:szCs w:val="20"/>
          <w:color w:val="auto"/>
        </w:rPr>
      </w:pPr>
      <w:r>
        <w:rPr>
          <w:rFonts w:ascii="Times New Roman" w:cs="Times New Roman" w:eastAsia="Times New Roman" w:hAnsi="Times New Roman"/>
          <w:sz w:val="13"/>
          <w:szCs w:val="13"/>
          <w:color w:val="auto"/>
        </w:rPr>
        <w:t>The sale of substantial amounts of shares of our common stock in the public market, or the perception that such sales could occur, could harm the prevailing market price of shares of our common stock. These sales, or the possibility that these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40" w:name="page41"/>
    <w:bookmarkEnd w:id="4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sales may occur, also might make it more difficult for us to sell equity securities in the future at a time and at a price that we deem appropriate.</w:t>
      </w:r>
    </w:p>
    <w:p>
      <w:pPr>
        <w:spacing w:after="0" w:line="51" w:lineRule="exact"/>
        <w:rPr>
          <w:sz w:val="20"/>
          <w:szCs w:val="20"/>
          <w:color w:val="auto"/>
        </w:rPr>
      </w:pPr>
    </w:p>
    <w:p>
      <w:pPr>
        <w:ind w:right="240" w:firstLine="240"/>
        <w:spacing w:after="0" w:line="276" w:lineRule="auto"/>
        <w:rPr>
          <w:sz w:val="20"/>
          <w:szCs w:val="20"/>
          <w:color w:val="auto"/>
        </w:rPr>
      </w:pPr>
      <w:r>
        <w:rPr>
          <w:rFonts w:ascii="Times New Roman" w:cs="Times New Roman" w:eastAsia="Times New Roman" w:hAnsi="Times New Roman"/>
          <w:sz w:val="13"/>
          <w:szCs w:val="13"/>
          <w:color w:val="auto"/>
        </w:rPr>
        <w:t>As of December 2, 2024, there were (i) 106,352,609 shares of Class A Common Stock issued and outstanding, (ii) 76,757,485 shares of Class V-1 Common Stock issued and outstanding, and (iii) 404,309,196 shares of Class V-3 Common Stock issued and outstanding. These numbers do not take into account unvested shares of our Class A Common Stock and paired shares of Class A Common Stock issuable upon the exercise of securities exercisable for units of Symbotic Holdings.</w:t>
      </w:r>
    </w:p>
    <w:p>
      <w:pPr>
        <w:spacing w:after="0" w:line="5"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Shares held by certain of our stockholders will be eligible for resale, subject to, in the case of certain stockholders, volume, manner of sale and other limitations under Rule 144, if then available. In addition, pursuant to the A&amp;R Registration Rights Agreement, certain stockholders have the right, subject to certain conditions, to require us to register the sale of their shares of our common stock under the Securities Act of 1933, as amended (“Securities Act”). By exercising their registration rights and selling a large number of shares, these stockholders could cause the prevailing market price of our Class A Common Stock to decline. As of December 2, 2024, the shares covered by those registration rights represent approximately 83% of our outstanding common stock.</w:t>
      </w:r>
    </w:p>
    <w:p>
      <w:pPr>
        <w:spacing w:after="0" w:line="11" w:lineRule="exact"/>
        <w:rPr>
          <w:sz w:val="20"/>
          <w:szCs w:val="20"/>
          <w:color w:val="auto"/>
        </w:rPr>
      </w:pPr>
    </w:p>
    <w:p>
      <w:pPr>
        <w:ind w:right="160" w:firstLine="240"/>
        <w:spacing w:after="0" w:line="289" w:lineRule="auto"/>
        <w:rPr>
          <w:sz w:val="20"/>
          <w:szCs w:val="20"/>
          <w:color w:val="auto"/>
        </w:rPr>
      </w:pPr>
      <w:r>
        <w:rPr>
          <w:rFonts w:ascii="Times New Roman" w:cs="Times New Roman" w:eastAsia="Times New Roman" w:hAnsi="Times New Roman"/>
          <w:sz w:val="13"/>
          <w:szCs w:val="13"/>
          <w:color w:val="auto"/>
        </w:rPr>
        <w:t>As restrictions on resale end or if these stockholders exercise their registration rights,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Shares of our common stock reserved for future issuance under the Incentive Compensation Plan and the ESPP are eligible for sale in the public market, subject to provisions relating to various vesting agreements, lock-up agreements and, in some cases, limitations on volume and manner of sale applicable to affiliates under Rule 144, as applicable. We have reserved for issuance under the Incentive Compensation Plan a total of 75,485,491 shares of Class A Common Stock and 54,544,562 shares of Class A Common Stock remain available for issuance under the Incentive Compensation Plan as of September 28, 2024 (the “Share Reserve”). The Share Reserve is subject to an annual increase on the first trading day of each calendar year, which began on January 1, 2023 and ends on and including January 1, 2032, by a number of shares equal to the lesser of (i) 5% of the aggregate number of shares of our Class A Common Stock outstanding on the last day of the prior calendar year and (ii) such smaller number of shares (which may be zero) as is determined by the compensation committee of our board of directors (“Compensation Committee”) prior to such calendar year.</w:t>
      </w:r>
    </w:p>
    <w:p>
      <w:pPr>
        <w:spacing w:after="0" w:line="131"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Anti-takeover provisions in our Charter and Bylaws and under Delaware law could make an acquisition of us more difficult, limit attempts by our stockholders to replace or remove our current management and limit the market price of our common stock.</w:t>
      </w:r>
    </w:p>
    <w:p>
      <w:pPr>
        <w:spacing w:after="0" w:line="30" w:lineRule="exact"/>
        <w:rPr>
          <w:sz w:val="20"/>
          <w:szCs w:val="20"/>
          <w:color w:val="auto"/>
        </w:rPr>
      </w:pPr>
    </w:p>
    <w:p>
      <w:pPr>
        <w:ind w:right="140" w:firstLine="240"/>
        <w:spacing w:after="0" w:line="289" w:lineRule="auto"/>
        <w:rPr>
          <w:sz w:val="20"/>
          <w:szCs w:val="20"/>
          <w:color w:val="auto"/>
        </w:rPr>
      </w:pPr>
      <w:r>
        <w:rPr>
          <w:rFonts w:ascii="Times New Roman" w:cs="Times New Roman" w:eastAsia="Times New Roman" w:hAnsi="Times New Roman"/>
          <w:sz w:val="13"/>
          <w:szCs w:val="13"/>
          <w:color w:val="auto"/>
        </w:rPr>
        <w:t>Our Charter, Bylaws and Delaware law contain provisions that could make it more difficult, delay, or prevent an acquisition deemed undesirable by our board of directors. Among other things, our Charter and/or Bylaws includes the following provisions:</w:t>
      </w:r>
    </w:p>
    <w:p>
      <w:pPr>
        <w:spacing w:after="0" w:line="1" w:lineRule="exact"/>
        <w:rPr>
          <w:sz w:val="20"/>
          <w:szCs w:val="20"/>
          <w:color w:val="auto"/>
        </w:rPr>
      </w:pPr>
    </w:p>
    <w:p>
      <w:pPr>
        <w:ind w:left="480" w:hanging="239"/>
        <w:spacing w:after="0"/>
        <w:tabs>
          <w:tab w:leader="none" w:pos="4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prohibition on stockholder action by written consent, which means that our stockholders will only be able to act at a meeting of stockholders and will not be able to act by written consent;</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forum selection clause, which means certain litigation against us can only be brought in Delaware;</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authorization of undesignated preferred stock, the terms of which may be established and shares issued without further action by our stockholders;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advance notice procedures, which apply for stockholders to nominate candidates for election as directors or to bring matters before an annual meeting of stockholders.</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These provisions, alone or together, could delay or prevent hostile takeovers and changes in control or changes in our management.</w:t>
      </w:r>
    </w:p>
    <w:p>
      <w:pPr>
        <w:spacing w:after="0" w:line="51" w:lineRule="exact"/>
        <w:rPr>
          <w:sz w:val="20"/>
          <w:szCs w:val="20"/>
          <w:color w:val="auto"/>
        </w:rPr>
      </w:pPr>
    </w:p>
    <w:p>
      <w:pPr>
        <w:ind w:right="100" w:firstLine="240"/>
        <w:spacing w:after="0" w:line="269" w:lineRule="auto"/>
        <w:rPr>
          <w:sz w:val="20"/>
          <w:szCs w:val="20"/>
          <w:color w:val="auto"/>
        </w:rPr>
      </w:pPr>
      <w:r>
        <w:rPr>
          <w:rFonts w:ascii="Times New Roman" w:cs="Times New Roman" w:eastAsia="Times New Roman" w:hAnsi="Times New Roman"/>
          <w:sz w:val="13"/>
          <w:szCs w:val="13"/>
          <w:color w:val="auto"/>
        </w:rPr>
        <w:t>We are not governed by Section 203 of Delaware corporate law.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Charter contains provisions that will have a similar effect to Section 203.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41" w:name="page42"/>
    <w:bookmarkEnd w:id="4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240"/>
        <w:spacing w:after="0" w:line="294" w:lineRule="auto"/>
        <w:rPr>
          <w:sz w:val="20"/>
          <w:szCs w:val="20"/>
          <w:color w:val="auto"/>
        </w:rPr>
      </w:pPr>
      <w:r>
        <w:rPr>
          <w:rFonts w:ascii="Times New Roman" w:cs="Times New Roman" w:eastAsia="Times New Roman" w:hAnsi="Times New Roman"/>
          <w:sz w:val="13"/>
          <w:szCs w:val="13"/>
          <w:color w:val="auto"/>
        </w:rPr>
        <w:t>Any provision of our Charter and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11"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Charter provides that the courts located in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30"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Our Charter provides that, unless we consent in writing to an alternative forum, (a) a state court within Delaware (or, if no court within Delaware has jurisdiction, the federal district court for the District of Delaware) will, to the fullest extent permitted by law, be the sole and exclusive forum for: (i) any derivative action or proceeding brought on our behalf; (ii) any action asserting a breach of a fiduciary duty owed by any of our directors, officers, employees or stockholders to us or to our stockholders or (iii) any action arising pursuant to any provision of Delaware corporate law, our Charter or Bylaws; and (b) the federal district court for the District of Delaware (or if such court does not have jurisdiction, any other federal district court) will, to the fullest extent permitted by law, be the sole and exclusive forum for any action arising under the Securities Act.</w:t>
      </w:r>
    </w:p>
    <w:p>
      <w:pPr>
        <w:spacing w:after="0" w:line="13"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These forum selection provisions will not apply to suits brought to enforce any liability, obligation or duty created by the Exchange Act of 1934, as amended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Charter to be inapplicable or unenforceable, we may incur additional costs associated with resolving such action in other jurisdictions, which could harm our business, results of operations and financial condition.</w:t>
      </w:r>
    </w:p>
    <w:p>
      <w:pPr>
        <w:spacing w:after="0" w:line="11" w:lineRule="exact"/>
        <w:rPr>
          <w:sz w:val="20"/>
          <w:szCs w:val="20"/>
          <w:color w:val="auto"/>
        </w:rPr>
      </w:pPr>
    </w:p>
    <w:p>
      <w:pPr>
        <w:ind w:right="40" w:firstLine="240"/>
        <w:spacing w:after="0" w:line="276" w:lineRule="auto"/>
        <w:rPr>
          <w:sz w:val="20"/>
          <w:szCs w:val="20"/>
          <w:color w:val="auto"/>
        </w:rPr>
      </w:pPr>
      <w:r>
        <w:rPr>
          <w:rFonts w:ascii="Times New Roman" w:cs="Times New Roman" w:eastAsia="Times New Roman" w:hAnsi="Times New Roman"/>
          <w:sz w:val="13"/>
          <w:szCs w:val="13"/>
          <w:color w:val="auto"/>
        </w:rPr>
        <w:t>Additionally, Section 22 of the Securities Act creates concurrent jurisdiction for federal and state courts over all suits brought to enforce any duty or liability created by the Securities Act. As noted above, our Charter will provide that the federal district courts will have jurisdiction over any action arising under the Securities Act. Accordingly, there is uncertainty as to whether a court would enforce such provision. Our stockholders will not be deemed to have waived our compliance with the federal securities laws.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Being a Public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Because we did not become a public reporting company by means of a traditional underwritten initial public offering, our shareholders may face additional risks and uncertainties.</w:t>
      </w:r>
    </w:p>
    <w:p>
      <w:pPr>
        <w:spacing w:after="0" w:line="95" w:lineRule="exact"/>
        <w:rPr>
          <w:sz w:val="20"/>
          <w:szCs w:val="20"/>
          <w:color w:val="auto"/>
        </w:rPr>
      </w:pPr>
    </w:p>
    <w:p>
      <w:pPr>
        <w:jc w:val="both"/>
        <w:ind w:right="120" w:firstLine="240"/>
        <w:spacing w:after="0" w:line="269" w:lineRule="auto"/>
        <w:rPr>
          <w:sz w:val="20"/>
          <w:szCs w:val="20"/>
          <w:color w:val="auto"/>
        </w:rPr>
      </w:pPr>
      <w:r>
        <w:rPr>
          <w:rFonts w:ascii="Times New Roman" w:cs="Times New Roman" w:eastAsia="Times New Roman" w:hAnsi="Times New Roman"/>
          <w:sz w:val="13"/>
          <w:szCs w:val="13"/>
          <w:color w:val="auto"/>
        </w:rPr>
        <w:t>Because we became a public reporting company by means of consummating a merger with a special purpose acquisition company rather than by means of a traditional underwritten initial public offering, there was no independent third-party underwriter selling the shares of our Class A Common Stock, and, accordingly, our stockholders did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w:t>
      </w:r>
    </w:p>
    <w:p>
      <w:pPr>
        <w:spacing w:after="0" w:line="11" w:lineRule="exact"/>
        <w:rPr>
          <w:sz w:val="20"/>
          <w:szCs w:val="20"/>
          <w:color w:val="auto"/>
        </w:rPr>
      </w:pPr>
    </w:p>
    <w:p>
      <w:pPr>
        <w:ind w:right="180" w:firstLine="240"/>
        <w:spacing w:after="0" w:line="276" w:lineRule="auto"/>
        <w:rPr>
          <w:sz w:val="20"/>
          <w:szCs w:val="20"/>
          <w:color w:val="auto"/>
        </w:rPr>
      </w:pPr>
      <w:r>
        <w:rPr>
          <w:rFonts w:ascii="Times New Roman" w:cs="Times New Roman" w:eastAsia="Times New Roman" w:hAnsi="Times New Roman"/>
          <w:sz w:val="13"/>
          <w:szCs w:val="13"/>
          <w:color w:val="auto"/>
        </w:rPr>
        <w:t>In addition, because we did not become a public reporting company by means of a traditional underwritten initial public offering, security or industry analysts may not provide, or be less likely to provide, coverage of us. Investment banks may also be less likely to agree to underwrite secondary offerings on behalf of us than they might if we became a public reporting company by means of a traditional underwritten initial public offering, because they may be less familiar with us as a result of more limited coverage by analysts and the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and will continue to incur increased costs as a result of operating as a public company, and our management will devote substantial time to new compliance initiatives.</w:t>
      </w:r>
    </w:p>
    <w:p>
      <w:pPr>
        <w:spacing w:after="0" w:line="95"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We recently became a public company. Consequently, we have incurred, and we will continue to incur, significant legal, compliance, accounting and other expenses that we did not incur as a private company. As a public company, we are subject to the reporting requirements of the Exchange Act, the Sarbanes-Oxley Act of 2002, the Dodd-Frank Wall Street Reform and Consumer Protection Act, as well as rules adopted, and to be adopted, by the SEC and NASDAQ. Our management and other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42" w:name="page43"/>
    <w:bookmarkEnd w:id="4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3"/>
          <w:szCs w:val="13"/>
          <w:color w:val="auto"/>
        </w:rPr>
        <w:t>personnel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could also make it more difficult for us to attract and retain qualified persons to serve on our board of directors or board committees, or as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Some members of our management have limited experience in operating a public company.</w:t>
      </w:r>
    </w:p>
    <w:p>
      <w:pPr>
        <w:spacing w:after="0" w:line="95" w:lineRule="exact"/>
        <w:rPr>
          <w:sz w:val="20"/>
          <w:szCs w:val="20"/>
          <w:color w:val="auto"/>
        </w:rPr>
      </w:pPr>
    </w:p>
    <w:p>
      <w:pPr>
        <w:ind w:right="100" w:firstLine="240"/>
        <w:spacing w:after="0" w:line="266" w:lineRule="auto"/>
        <w:rPr>
          <w:sz w:val="20"/>
          <w:szCs w:val="20"/>
          <w:color w:val="auto"/>
        </w:rPr>
      </w:pPr>
      <w:r>
        <w:rPr>
          <w:rFonts w:ascii="Times New Roman" w:cs="Times New Roman" w:eastAsia="Times New Roman" w:hAnsi="Times New Roman"/>
          <w:sz w:val="13"/>
          <w:szCs w:val="13"/>
          <w:color w:val="auto"/>
        </w:rPr>
        <w:t>Some members of our management have limited experience in the management of a public company. As a public company, we must establish corporate infrastructure. Their limited experience in dealing with the increasingly complex laws pertaining to public companies could be a significant disadvantage. It is likely that an increasing amount of their time may be devoted to these activities, which will result in less time being devoted to our management and growth. The development and implementation of the standards and controls necessary for us to achieve the level of accounting standards required of a public company may require additional staffing and costs greater than expected. We may need to expand our employee base and hire additional employees to support our operations as a public company, which will increase our operating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Organizational Structure</w:t>
      </w:r>
    </w:p>
    <w:p>
      <w:pPr>
        <w:spacing w:after="0" w:line="17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The dual class structure of our common stock has the effect of concentrating voting control with our founder, certain family members of our founder and certain affiliated entities and trusts of our founder and his family members; this will limit or preclude your ability to influence our corporate matters.</w:t>
      </w:r>
    </w:p>
    <w:p>
      <w:pPr>
        <w:spacing w:after="0" w:line="30"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Our Class V-3 common stock has three votes per share and our Class A Common Stock and Class V-1 common stock have one vote per share. Our Class V-3 common stock converts into Class V-1 common stock in certain situations, including automatically on June 7, 2029. Our Chairman and Chief Executive Officer, Richard B. Cohen, together with certain family members and certain affiliated entities and trusts of Mr. Cohen and his family members, in the aggregate, hold Class V-3 common stock and 87.4% of the voting power of our outstanding common stock and are able to control all matters submitted to our stockholders for approval. This concentrated control will limit or preclude your ability to influence our corporate matters for the foreseeable future.</w:t>
      </w:r>
    </w:p>
    <w:p>
      <w:pPr>
        <w:spacing w:after="0" w:line="11"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Transfers by holders of our Class V-3 common stock will generally result in those shares converting to Class V-1 common stock, subject to limited exceptions, such as certain transfers effected for estate planning or charitable purposes. The conversion of Class V-3 common stock to Class V-1 common stock will have the effect, over time, of increasing the relative voting power of those holders of Class V-3 common stock who retain their shares in the long term. If, for example, Mr. Cohen retains, including through his affiliated entities and trusts, a significant portion of his holdings of Class V-3 common stock for an extended period of time, he could, in the future, continue to control a significant portion of the combined voting power of our outstanding capital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multi-class capital structure may render our shares ineligible for inclusion in certain stock market indices, which could adversely affect the share price and liquidity of our common stock.</w:t>
      </w:r>
    </w:p>
    <w:p>
      <w:pPr>
        <w:spacing w:after="0" w:line="95"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We cannot predict whether our multi-class structure will result in a lower or more volatile market price of our Class A Common Stock, in adverse publicity, or other adverse consequences. For example, certain index providers have restrictions on including companies with multiple-class share structures in certain of their indexes. In addition, several stockholder advisory firms have announced their opposition to the use of multiple-class structures. As a result, the multi-class structure of our common stock may cause stockholder advisory firms to publish negative commentary about our corporate governance practices, recommend that stockholders vote against certain company annual stockholder meeting proposals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our Class A Common Stock.</w:t>
      </w:r>
    </w:p>
    <w:p>
      <w:pPr>
        <w:spacing w:after="0" w:line="12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share certain key executives with C&amp;S Wholesale Grocers, an important customer, which means those executives will not devote their full time and attention to our affairs, and the overlap may give rise to conflicts.</w:t>
      </w:r>
    </w:p>
    <w:p>
      <w:pPr>
        <w:spacing w:after="0" w:line="30" w:lineRule="exact"/>
        <w:rPr>
          <w:sz w:val="20"/>
          <w:szCs w:val="20"/>
          <w:color w:val="auto"/>
        </w:rPr>
      </w:pPr>
    </w:p>
    <w:p>
      <w:pPr>
        <w:ind w:right="400" w:firstLine="240"/>
        <w:spacing w:after="0" w:line="294" w:lineRule="auto"/>
        <w:rPr>
          <w:sz w:val="20"/>
          <w:szCs w:val="20"/>
          <w:color w:val="auto"/>
        </w:rPr>
      </w:pPr>
      <w:r>
        <w:rPr>
          <w:rFonts w:ascii="Times New Roman" w:cs="Times New Roman" w:eastAsia="Times New Roman" w:hAnsi="Times New Roman"/>
          <w:sz w:val="13"/>
          <w:szCs w:val="13"/>
          <w:color w:val="auto"/>
        </w:rPr>
        <w:t>Our Chairman and Chief Executive Officer, Richard B. Cohen, also serves as the Executive Chairman of C&amp;S Wholesale Grocers and he and trusts for the benefit of his family are the only beneficial stockholders of C&amp;S Wholesale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43" w:name="page44"/>
    <w:bookmarkEnd w:id="4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Grocers. Our Chief Strategy Officer, William Boyd, also serves as Executive Vice President and Chief Legal Officer of C&amp;S Wholesale Grocers and our Chief Human Resource Officer, Miriam Ort, also serves as Chief Human Resources Officer of C&amp;S Wholesale Grocers. As a result, not all of our executive officers devote their full time and attention to our affairs and are compensated separately by C&amp;S Wholesale Grocers and its subsidiaries. The overlapping executives may have actual or apparent conflicts of interest with respect to matters involving or affecting each company. For example, the potential for a conflict of interest exists when we, on the one hand, and C&amp;S Wholesale Grocers, on the other hand, look at certain corporate opportunities that may be suitable for either company. Also, conflicts may arise if there are issues or disputes under the commercial arrangements that exist between us and C&amp;S Wholesale Grocers. These overlapping executives’ ownership interests in us and C&amp;S Wholesale Grocers could create actual, apparent or potential conflicts of interest if they are faced with decisions that have different implications for us and C&amp;S Wholesale Grocers.</w:t>
      </w:r>
    </w:p>
    <w:p>
      <w:pPr>
        <w:spacing w:after="0" w:line="131"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overlapping executive officers and directors with C&amp;S Wholesale Grocers may result in the diversion of corporate opportunities to C&amp;S Wholesale Grocers and other conflicts, and provisions in our Charter may provide us no remedy in those circumstances.</w:t>
      </w:r>
    </w:p>
    <w:p>
      <w:pPr>
        <w:spacing w:after="0" w:line="30"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Certain of our executive officers and directors may also be serving as directors, officers, employees, consultants or agents of C&amp;S Wholesale Grocers and its subsidiaries and we may engage in material business transactions with such entities. Our Charter renounces our rights to certain business opportunities. It also provides that no director or officer who is also serving as a director, officer, employee, consultant or agent of C&amp;S Wholesale Grocers will be liable to us or our stockholders for breach of any fiduciary duty that would otherwise occur by reason of the fact that any such individual directs a corporate opportunity to C&amp;S Wholesale Grocers or any of its subsidiaries instead of us, or does not refer or communicate information regarding such corporate opportunities to us.</w:t>
      </w:r>
    </w:p>
    <w:p>
      <w:pPr>
        <w:spacing w:after="0" w:line="127"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only principal asset is our interest in New Symbotic Holdings, and accordingly, we will depend on distributions from New Symbotic Holdings to pay taxes, make payments under the tax receivable agreement (“TRA”) and cover our corporate and other overhead expenses.</w:t>
      </w:r>
    </w:p>
    <w:p>
      <w:pPr>
        <w:spacing w:after="0" w:line="30" w:lineRule="exact"/>
        <w:rPr>
          <w:sz w:val="20"/>
          <w:szCs w:val="20"/>
          <w:color w:val="auto"/>
        </w:rPr>
      </w:pPr>
    </w:p>
    <w:p>
      <w:pPr>
        <w:ind w:right="80" w:firstLine="240"/>
        <w:spacing w:after="0" w:line="262" w:lineRule="auto"/>
        <w:rPr>
          <w:sz w:val="20"/>
          <w:szCs w:val="20"/>
          <w:color w:val="auto"/>
        </w:rPr>
      </w:pPr>
      <w:r>
        <w:rPr>
          <w:rFonts w:ascii="Times New Roman" w:cs="Times New Roman" w:eastAsia="Times New Roman" w:hAnsi="Times New Roman"/>
          <w:sz w:val="13"/>
          <w:szCs w:val="13"/>
          <w:color w:val="auto"/>
        </w:rPr>
        <w:t>We are a holding company and have no material assets other than our ownership interest in New Symbotic Holdings. We have no independent means of generating revenue or cash flow. To the extent the funds of New Symbotic Holdings are legally available for distribution, and subject to any restrictions contained in any credit agreement to which New Symbotic Holdings or its subsidiaries are bound, New Symbotic Holdings is required under the New Symbotic Holdings Limited Liability Company Agreement (“New Symbotic Holdings LLC Agreement”) to (i) make generally pro rata distributions to its equityholders, including us, in an amount generally intended to allow its equityholders to satisfy their respective income tax liabilities with respect to their allocable share of the income of New Symbotic Holdings, based on certain assumptions and conventions, and (ii) reimburse us for our corporate and other overhead expenses. In the future, we may be limited, however, in our ability to cause New Symbotic Holdings and its subsidiaries to make these and other distributions to us due to restrictions contained in any credit agreement to which New Symbotic Holdings or any of its subsidiaries are bound. To the extent that we need funds and New Symbotic Holdings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7"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Moreover, because we have no independent means of generating revenue, our ability to make tax payments and payments under the TRA is dependent on the ability of New Symbotic Holdings to make distributions to us in an amount sufficient to cover our tax obligations and obligations under the TRA. This ability, in turn, may depend on the ability of New Symbotic Holdings’ subsidiaries to make distributions to it. The ability of New Symbotic Holdings, its subsidiaries and other entities in which it directly or indirectly holds an equity interest to make such distributions will be subject to, among other things, (i) the applicable provisions of Delaware law (or other applicable jurisdictions) that may limit the amount of funds available for distribution and (ii) restrictions contained in any credit agreement to which New Symbotic Holdings, its subsidiaries and other entities in which it directly or indirectly holds an equity interest are bound. To the extent that we are unable to make payments under the TRA for any reason, such payments will accrue interest until paid.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Pursuant to the TRA, we are required to make payments to equity holders of New Symbotic Holdings for certain tax benefits we may claim, and those payments may be substantial.</w:t>
      </w:r>
    </w:p>
    <w:p>
      <w:pPr>
        <w:spacing w:after="0" w:line="95" w:lineRule="exact"/>
        <w:rPr>
          <w:sz w:val="20"/>
          <w:szCs w:val="20"/>
          <w:color w:val="auto"/>
        </w:rPr>
      </w:pPr>
    </w:p>
    <w:p>
      <w:pPr>
        <w:ind w:right="100" w:firstLine="240"/>
        <w:spacing w:after="0" w:line="294" w:lineRule="auto"/>
        <w:rPr>
          <w:sz w:val="20"/>
          <w:szCs w:val="20"/>
          <w:color w:val="auto"/>
        </w:rPr>
      </w:pPr>
      <w:r>
        <w:rPr>
          <w:rFonts w:ascii="Times New Roman" w:cs="Times New Roman" w:eastAsia="Times New Roman" w:hAnsi="Times New Roman"/>
          <w:sz w:val="13"/>
          <w:szCs w:val="13"/>
          <w:color w:val="auto"/>
        </w:rPr>
        <w:t>Our purchase of New Symbotic Holdings Common Units in connection with the Unit Purchase Agreement dated December 12, 2021 and exchange of New Symbotic Holdings Common Units for shares of our Class A Common Stock 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44" w:name="page45"/>
    <w:bookmarkEnd w:id="4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cash pursuant to the New Symbotic Holdings LLC Agreement (collectively, “Exchanges”) are expected to produce additional favorable tax attributes for us. When we acquire New Symbotic Holdings Common Units from existing unitholders, both the existing basis and anticipated basis adjustments are likely to increase (for tax purposes) depreciation and amortization deductions allocable to us from New Symbotic Holdings and therefore reduce the amount of income tax that we would otherwise be required to pay in the future. This increase in tax basis may also decrease gain (or increase loss) on future dispositions of certain assets to the extent the increased tax basis is allocated to those assets.</w:t>
      </w:r>
    </w:p>
    <w:p>
      <w:pPr>
        <w:spacing w:after="0" w:line="11"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We entered into the TRA, which generally provides for the payment by us to certain legacy equity holders of New Symbotic Holdings (“TRA Holders”) of their proportionate share of 85% of the tax savings, if any, in U.S. federal and state income tax that we realize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TRA, and (iii) tax benefits related to imputed interest deemed to be paid by us as a result of payments under the TRA. The term of the TRA will continue until all such tax benefits have been utilized or expired unless we exercise our right to terminate the TRA for an amount representing the present value of anticipated future tax benefits under the TRA or certain other acceleration events occur. These payments are our obligation and not that of New Symbotic Holdings.</w:t>
      </w:r>
    </w:p>
    <w:p>
      <w:pPr>
        <w:spacing w:after="0" w:line="15" w:lineRule="exact"/>
        <w:rPr>
          <w:sz w:val="20"/>
          <w:szCs w:val="20"/>
          <w:color w:val="auto"/>
        </w:rPr>
      </w:pPr>
    </w:p>
    <w:p>
      <w:pPr>
        <w:ind w:firstLine="240"/>
        <w:spacing w:after="0" w:line="273" w:lineRule="auto"/>
        <w:rPr>
          <w:sz w:val="20"/>
          <w:szCs w:val="20"/>
          <w:color w:val="auto"/>
        </w:rPr>
      </w:pPr>
      <w:r>
        <w:rPr>
          <w:rFonts w:ascii="Times New Roman" w:cs="Times New Roman" w:eastAsia="Times New Roman" w:hAnsi="Times New Roman"/>
          <w:sz w:val="13"/>
          <w:szCs w:val="13"/>
          <w:color w:val="auto"/>
        </w:rPr>
        <w:t>We expect that the payments we will be required to make under the TRA will be substantial. Assuming no material changes in the relevant tax law and that we earn sufficient taxable income to realize all tax benefits that are subject to the TRA, we expect that the reduction in tax payments for us associated with our purchase of New Symbotic Holdings Common Units since the Business Combination would aggregate to approximately $520.7 million over a 41-year period. Under such scenario we would be required to pay the TRA Holders 85% of such amount, or $442.6 million, over a 41-year period from the Business Combination.</w:t>
      </w:r>
    </w:p>
    <w:p>
      <w:pPr>
        <w:spacing w:after="0" w:line="171" w:lineRule="exact"/>
        <w:rPr>
          <w:sz w:val="20"/>
          <w:szCs w:val="20"/>
          <w:color w:val="auto"/>
        </w:rPr>
      </w:pPr>
    </w:p>
    <w:p>
      <w:pPr>
        <w:ind w:right="100" w:firstLine="240"/>
        <w:spacing w:after="0" w:line="265" w:lineRule="auto"/>
        <w:rPr>
          <w:sz w:val="20"/>
          <w:szCs w:val="20"/>
          <w:color w:val="auto"/>
        </w:rPr>
      </w:pPr>
      <w:r>
        <w:rPr>
          <w:rFonts w:ascii="Times New Roman" w:cs="Times New Roman" w:eastAsia="Times New Roman" w:hAnsi="Times New Roman"/>
          <w:sz w:val="13"/>
          <w:szCs w:val="13"/>
          <w:color w:val="auto"/>
        </w:rPr>
        <w:t>Further, assuming no material changes in the relevant tax law and that we earn sufficient taxable income to realize all tax benefits that are subject to the TRA, we estimate that the reduction in tax payments for us associated with our purchase of New Symbotic Holdings Common Units would aggregate to approximately $3,841.4 million over 41 years based on a closing share price of $25.52 per share of Class A common stock and assuming all future Exchanges of New Symbotic Holdings Common Units had occurred on September 28, 2024. Under such scenario, we would be required to pay the TRA Holders 85% of such amount, or $3,265.2 million, over a 41-year period. These amounts are estimates and have been prepared for informational purposes only. The actual amount of reduction in tax payments and related liabilities that we will recognize will differ based on, among other things, the timing of the Exchanges, the price of our shares of Class A Common Stock at the time of the Exchanges, and the tax rates then in effect.</w:t>
      </w:r>
    </w:p>
    <w:p>
      <w:pPr>
        <w:spacing w:after="0" w:line="176" w:lineRule="exact"/>
        <w:rPr>
          <w:sz w:val="20"/>
          <w:szCs w:val="20"/>
          <w:color w:val="auto"/>
        </w:rPr>
      </w:pPr>
    </w:p>
    <w:p>
      <w:pPr>
        <w:ind w:right="160" w:firstLine="240"/>
        <w:spacing w:after="0" w:line="288" w:lineRule="auto"/>
        <w:rPr>
          <w:sz w:val="20"/>
          <w:szCs w:val="20"/>
          <w:color w:val="auto"/>
        </w:rPr>
      </w:pPr>
      <w:r>
        <w:rPr>
          <w:rFonts w:ascii="Times New Roman" w:cs="Times New Roman" w:eastAsia="Times New Roman" w:hAnsi="Times New Roman"/>
          <w:sz w:val="13"/>
          <w:szCs w:val="13"/>
          <w:color w:val="auto"/>
        </w:rPr>
        <w:t>The actual payment amounts may materially differ from these hypothetical amounts, as potential future reductions in tax payments for us and TRA payments by us are calculated using the market value of our Class A Common Stock at the time of an Exchange and the prevailing tax rates applicable to us over the life of the TRA and is dependent on us generating sufficient future taxable income to realize the benefit.</w:t>
      </w:r>
    </w:p>
    <w:p>
      <w:pPr>
        <w:spacing w:after="0" w:line="162"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The actual increase in our allocable share of New Symbotic Holdings’ tax basis in its assets, as well as the amount and timing of any payments under the TRA, vary depending upon a number of factors, including the timing of Exchanges, the market price of our Class A Common Stock at the time of the Exchanges, the extent to which such Exchanges are taxable, the amount and timing of the recognition of our income, the tax rate then applicable, and the portion of our payments under the TRA constituting imputed interest. Payments under the TRA are expected to give rise to certain additional tax benefits attributable to either further increases in basis or in the form of deductions for imputed interest, depending on the circumstances. Any such benefits are covered by the TRA and will increase the amounts due thereunder. In addition, the TRA provides for interest, at a rate equal to the Secured Overnight Financing Rate plus 100 basis points, accrued from the due date (without extensions) of the corresponding tax return to the date of payment specified by the TRA.</w:t>
      </w:r>
    </w:p>
    <w:p>
      <w:pPr>
        <w:spacing w:after="0" w:line="15" w:lineRule="exact"/>
        <w:rPr>
          <w:sz w:val="20"/>
          <w:szCs w:val="20"/>
          <w:color w:val="auto"/>
        </w:rPr>
      </w:pPr>
    </w:p>
    <w:p>
      <w:pPr>
        <w:ind w:right="120" w:firstLine="240"/>
        <w:spacing w:after="0" w:line="266" w:lineRule="auto"/>
        <w:rPr>
          <w:sz w:val="20"/>
          <w:szCs w:val="20"/>
          <w:color w:val="auto"/>
        </w:rPr>
      </w:pPr>
      <w:r>
        <w:rPr>
          <w:rFonts w:ascii="Times New Roman" w:cs="Times New Roman" w:eastAsia="Times New Roman" w:hAnsi="Times New Roman"/>
          <w:sz w:val="13"/>
          <w:szCs w:val="13"/>
          <w:color w:val="auto"/>
        </w:rPr>
        <w:t>While many of the factors that will determine the amount of payments that we will make under the TRA are outside of our control, we expect that the payments we will make under the TRA will be substantial and could materially and adversely affect our financial condition. Any payments made by us under the TRA will generally reduce the amount of overall cash flow that might have otherwise been available to us. To the extent that we are unable to make timely payments under the TRA for any reason, the unpaid amounts will be deferred and will accrue interest until paid; however, nonpayment for a specified period may constitute a material breach of a material obligation under the TRA and therefore accelerate payments due under the TRA, as further described below. Furthermore, our future obligation to make payments under the TRA could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45" w:name="page46"/>
    <w:bookmarkEnd w:id="4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make us a less attractive target for an acquisition, particularly in the case of an acquirer that cannot use some or all of the tax benefits that may be deemed realized under the TRA.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 certain cases, payments under the TRA may exceed the actual tax benefits we realize or be accelerated.</w:t>
      </w:r>
    </w:p>
    <w:p>
      <w:pPr>
        <w:spacing w:after="0" w:line="95" w:lineRule="exact"/>
        <w:rPr>
          <w:sz w:val="20"/>
          <w:szCs w:val="20"/>
          <w:color w:val="auto"/>
        </w:rPr>
      </w:pPr>
    </w:p>
    <w:p>
      <w:pPr>
        <w:ind w:right="60" w:firstLine="240"/>
        <w:spacing w:after="0" w:line="263" w:lineRule="auto"/>
        <w:rPr>
          <w:sz w:val="20"/>
          <w:szCs w:val="20"/>
          <w:color w:val="auto"/>
        </w:rPr>
      </w:pPr>
      <w:r>
        <w:rPr>
          <w:rFonts w:ascii="Times New Roman" w:cs="Times New Roman" w:eastAsia="Times New Roman" w:hAnsi="Times New Roman"/>
          <w:sz w:val="13"/>
          <w:szCs w:val="13"/>
          <w:color w:val="auto"/>
        </w:rPr>
        <w:t>Payments under the TRA will be based on the tax reporting positions that we determine. The Internal Revenue Service or another taxing authority may challenge all or any part of the tax basis increases, as well as other tax positions that we take, and a court may sustain such a challenge. If any tax benefits that we initially claimed are disallowed, the TRA Holders will not be required to reimburse us for any excess payments that may previously have been made under the TRA, for example, due to adjustments resulting from examinations by taxing authorities. Rather, excess payments made to such holders will be netted against any future cash payments that we are otherwise required to make after the determination of such excess. However, a challenge to any tax benefits that we initially claim may not arise for a number of years after the initial time of such payment or, even if challenged early, such excess cash payment may be greater than the amount of future cash payments that we might otherwise be required to make under the terms of the TRA and, as a result, there might not be future cash payments against which to net. As a result, in certain circumstances we could make payments under the TRA in excess of our actual income or franchise tax savings, which could materially impair our financial condition.</w:t>
      </w:r>
    </w:p>
    <w:p>
      <w:pPr>
        <w:spacing w:after="0" w:line="15" w:lineRule="exact"/>
        <w:rPr>
          <w:sz w:val="20"/>
          <w:szCs w:val="20"/>
          <w:color w:val="auto"/>
        </w:rPr>
      </w:pPr>
    </w:p>
    <w:p>
      <w:pPr>
        <w:ind w:right="60" w:firstLine="240"/>
        <w:spacing w:after="0" w:line="266" w:lineRule="auto"/>
        <w:rPr>
          <w:sz w:val="20"/>
          <w:szCs w:val="20"/>
          <w:color w:val="auto"/>
        </w:rPr>
      </w:pPr>
      <w:r>
        <w:rPr>
          <w:rFonts w:ascii="Times New Roman" w:cs="Times New Roman" w:eastAsia="Times New Roman" w:hAnsi="Times New Roman"/>
          <w:sz w:val="13"/>
          <w:szCs w:val="13"/>
          <w:color w:val="auto"/>
        </w:rPr>
        <w:t>Moreover, the TRA provides that, if we (i) exercise our early termination rights under the TRA, (ii) experience certain changes of control (as described in the TRA) or (iii) breach any of our material obligations under the TRA, our obligations under the TRA may accelerate and we could be required to make a lump-sum cash payment to each TRA Holder equal to the present value of all future payments that would have otherwise been made under the TRA, which lump sum payment would be based on certain assumptions, including those relating to our future taxable income. The lump-sum payment could be substantial and could exceed the actual tax benefits that we realize subsequent to such payment because we would calculate such payment assuming, among other things, that we would have certain tax benefits available to us and that we would be able to use them in future years.</w:t>
      </w:r>
    </w:p>
    <w:p>
      <w:pPr>
        <w:spacing w:after="0" w:line="13" w:lineRule="exact"/>
        <w:rPr>
          <w:sz w:val="20"/>
          <w:szCs w:val="20"/>
          <w:color w:val="auto"/>
        </w:rPr>
      </w:pPr>
    </w:p>
    <w:p>
      <w:pPr>
        <w:ind w:right="180" w:firstLine="240"/>
        <w:spacing w:after="0" w:line="294" w:lineRule="auto"/>
        <w:rPr>
          <w:sz w:val="20"/>
          <w:szCs w:val="20"/>
          <w:color w:val="auto"/>
        </w:rPr>
      </w:pPr>
      <w:r>
        <w:rPr>
          <w:rFonts w:ascii="Times New Roman" w:cs="Times New Roman" w:eastAsia="Times New Roman" w:hAnsi="Times New Roman"/>
          <w:sz w:val="13"/>
          <w:szCs w:val="13"/>
          <w:color w:val="auto"/>
        </w:rPr>
        <w:t>There may be a material negative effect on our liquidity if the payments under the TRA exceed the actual tax savings that we realize. Furthermore, our obligations to make payments under the TRA could also have the effect of delaying, deferring or preventing certain mergers, asset sales, other forms of business combinations or other changes of control.</w:t>
      </w:r>
    </w:p>
    <w:p>
      <w:pPr>
        <w:spacing w:after="0" w:line="111"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3"/>
          <w:szCs w:val="13"/>
          <w:b w:val="1"/>
          <w:bCs w:val="1"/>
          <w:i w:val="1"/>
          <w:iCs w:val="1"/>
          <w:color w:val="auto"/>
        </w:rPr>
        <w:t>If New Symbotic Holdings were to become a publicly traded partnership taxable as a corporation for U.S. federal income tax purposes, we and New Symbotic Holdings might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44"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A number of aspects of our structure depend on the classification of New Symbotic Holdings as a partnership for U.S. federal income tax purposes, and we intend to operate such that New Symbotic Holdings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or other transfers of New Symbotic Holdings Common Units could cause New Symbotic Holdings to be treated as a publicly traded partnership. Applicable U.S. Treasury regulations provide for certain safe harbors from treatment as a publicly traded partnership, and we intend to operate such that Exchanges or other transfers of New Symbotic Holdings Common Units qualify for one or more such safe harbors. For example, we intend to limit the number of New Symbotic Holdings unitholders, and the New Symbotic Holdings LLC Agreement provides for limitations on the ability of New Symbotic Holdings equityholders to transfer their New Symbotic Holdings Common Units and provides us with the right to cause the imposition of limitations and restrictions (in addition to those already in place) on the ability of New Symbotic Holdings equityholders to Exchange their New Symbotic Holdings Common Units to the extent we believe it is necessary to ensure that New Symbotic Holdings will continue to be treated as a partnership for U.S. federal income tax purposes.</w:t>
      </w:r>
    </w:p>
    <w:p>
      <w:pPr>
        <w:spacing w:after="0" w:line="17" w:lineRule="exact"/>
        <w:rPr>
          <w:sz w:val="20"/>
          <w:szCs w:val="20"/>
          <w:color w:val="auto"/>
        </w:rPr>
      </w:pPr>
    </w:p>
    <w:p>
      <w:pPr>
        <w:ind w:right="120" w:firstLine="240"/>
        <w:spacing w:after="0" w:line="269" w:lineRule="auto"/>
        <w:rPr>
          <w:sz w:val="20"/>
          <w:szCs w:val="20"/>
          <w:color w:val="auto"/>
        </w:rPr>
      </w:pPr>
      <w:r>
        <w:rPr>
          <w:rFonts w:ascii="Times New Roman" w:cs="Times New Roman" w:eastAsia="Times New Roman" w:hAnsi="Times New Roman"/>
          <w:sz w:val="13"/>
          <w:szCs w:val="13"/>
          <w:color w:val="auto"/>
        </w:rPr>
        <w:t>If New Symbotic Holdings were to become a publicly traded partnership taxable as a corporation for U.S. federal income tax purposes, significant tax inefficiencies might result for us and New Symbotic Holdings, including as a result of our inability to file a consolidated U.S. federal income tax return with New Symbotic Holdings. In addition, we may not be able to realize tax benefits covered under the TRA, and we would not be able to recover any payments previously made by us under the TRA, even if the corresponding tax benefits (including any claimed increase in the tax basis of New Symbotic Holdings’ assets) were subsequently determined to have been unavailable.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46" w:name="page47"/>
    <w:bookmarkEnd w:id="4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implemented a new enterprise resource planning (“ERP”) system, and challenges with the implementation of the system may impact our business and operations.</w:t>
      </w:r>
    </w:p>
    <w:p>
      <w:pPr>
        <w:spacing w:after="0" w:line="95"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3"/>
          <w:szCs w:val="13"/>
          <w:color w:val="auto"/>
        </w:rPr>
        <w:t>In fiscal year 2024, we implemented a multi-year implementation of a complex new ERP system. The ERP system implementation required the integration of the ERP system with multiple new and existing information systems and business processes. It has been designed to accurately maintain our books and records and provide information to our management teams important to the operation of our business. Our ERP system implementation will continue to require ongoing maintenance and monitoring and in the future we may elect to implement additional modules of the ERP system. Conversion from our old system to the ERP system may cause inefficiencies until the ERP system is stabilized and mature. The implementation of our ERP system has mandated new procedures and many new controls over financial reporting.</w:t>
      </w:r>
    </w:p>
    <w:p>
      <w:pPr>
        <w:spacing w:after="0" w:line="1"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3"/>
          <w:szCs w:val="13"/>
          <w:color w:val="auto"/>
        </w:rPr>
        <w:t>These procedures and controls are not yet mature in their operation. If we are unable to adequately maintain procedures and controls relating to our ERP system, our ability to produce timely and accurate financial statements or comply with applicable regulations could be impaired and impact our assessment of the effectiveness of our internal controls over financial reporting.</w:t>
      </w:r>
    </w:p>
    <w:p>
      <w:pPr>
        <w:spacing w:after="0" w:line="123"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Our business, financial condition, results of operations and cash flows could be significantly hindered by the occurrence of a natural disaster, terrorist attack or other catastrophic event. We also face risks related to health pandemics or epidemics, such COVID-19, which could adversely affect our business, financial condition and results of operations.</w:t>
      </w:r>
    </w:p>
    <w:p>
      <w:pPr>
        <w:spacing w:after="0" w:line="30" w:lineRule="exact"/>
        <w:rPr>
          <w:sz w:val="20"/>
          <w:szCs w:val="20"/>
          <w:color w:val="auto"/>
        </w:rPr>
      </w:pPr>
    </w:p>
    <w:p>
      <w:pPr>
        <w:ind w:right="140" w:firstLine="240"/>
        <w:spacing w:after="0" w:line="264" w:lineRule="auto"/>
        <w:rPr>
          <w:sz w:val="20"/>
          <w:szCs w:val="20"/>
          <w:color w:val="auto"/>
        </w:rPr>
      </w:pPr>
      <w:r>
        <w:rPr>
          <w:rFonts w:ascii="Times New Roman" w:cs="Times New Roman" w:eastAsia="Times New Roman" w:hAnsi="Times New Roman"/>
          <w:sz w:val="13"/>
          <w:szCs w:val="13"/>
          <w:color w:val="auto"/>
        </w:rPr>
        <w:t>Our business operations and our System may be susceptible to outages due to fire, floods, unusual weather conditions, power loss, telecommunications failures, health pandemics or epidemics, terrorist attacks and other events beyond our control. Natural disasters including tornados, hurricanes, floods and earthquakes may damage the facilities of our customers, which could lead to reduced revenue for our customers and thus reduced sales for us. For example, during 2024, Hurricane Helene affected our ability to timely complete a customer installation at one of our sites. In addition, a substantial portion of our operations rely on support from our headquarters in Wilmington, Massachusetts. To the extent that fire, floods, unusual weather conditions, power loss, telecommunications failures, health pandemics or epidemics, terrorist attacks and other events beyond our control materially impact our ability to operate those offices, it may have a material impact on our business operations as a whole. To the extent that an event disrupts our business or the business of our current or prospective customers, or adversely impacts our reputation, it could adversely affect our business, financial condition, results of operations and cash flows.</w:t>
      </w:r>
    </w:p>
    <w:p>
      <w:pPr>
        <w:spacing w:after="0" w:line="291"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We are subject to U.S. and foreign anti-corruption and anti-money laundering laws and regulations and could face criminal liability and other serious consequences for violations, which could adversely affect our business, financial condition and results of operations.</w:t>
      </w:r>
    </w:p>
    <w:p>
      <w:pPr>
        <w:spacing w:after="0" w:line="30"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We are subject to the U.S. Foreign Corrupt Practices Act of 1977, as amended, the U.S. domestic bribery statute contained in 18 U.S.C. § 201, the U.S. Travel Act and the USA PATRIOT Act, and are or will be subject to other anti-bribery and anti-money laundering laws in countries in which we conduct or will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these laws and regulations may result in substantial civil and criminal fines and penalties, imprisonment, the loss of export or import privileges, debarment, tax reassessments, breach of contract and fraud litigation, reputational harm and other consequences.</w:t>
      </w:r>
    </w:p>
    <w:p>
      <w:pPr>
        <w:spacing w:after="0" w:line="131"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3"/>
          <w:szCs w:val="13"/>
          <w:b w:val="1"/>
          <w:bCs w:val="1"/>
          <w:i w:val="1"/>
          <w:iCs w:val="1"/>
          <w:color w:val="auto"/>
        </w:rPr>
        <w:t>Changes to applicable tax laws and regulations, exposure to additional income tax liabilities or unfavorable outcomes in tax audits could harm our future profitability or otherwise adversely affect our business, financial condition and results of operations.</w:t>
      </w:r>
    </w:p>
    <w:p>
      <w:pPr>
        <w:spacing w:after="0" w:line="30" w:lineRule="exact"/>
        <w:rPr>
          <w:sz w:val="20"/>
          <w:szCs w:val="20"/>
          <w:color w:val="auto"/>
        </w:rPr>
      </w:pPr>
    </w:p>
    <w:p>
      <w:pPr>
        <w:jc w:val="both"/>
        <w:ind w:right="200" w:firstLine="240"/>
        <w:spacing w:after="0" w:line="276" w:lineRule="auto"/>
        <w:rPr>
          <w:sz w:val="20"/>
          <w:szCs w:val="20"/>
          <w:color w:val="auto"/>
        </w:rPr>
      </w:pPr>
      <w:r>
        <w:rPr>
          <w:rFonts w:ascii="Times New Roman" w:cs="Times New Roman" w:eastAsia="Times New Roman" w:hAnsi="Times New Roman"/>
          <w:sz w:val="13"/>
          <w:szCs w:val="13"/>
          <w:color w:val="auto"/>
        </w:rPr>
        <w:t>We are a U.S. corporation with international operations and thus subject to U.S. corporate income tax on our worldwide operations and subject to foreign taxes in each relevant jurisdiction. Moreover, the majority of our operations and customers are located in the United States, and, as a result, we are subject to various U.S. federal, state and local taxes. New U.S. laws and policy relating to taxes may have an adverse effect on our business and future profitability.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47" w:name="page48"/>
    <w:bookmarkEnd w:id="4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Further, new income, sales, use or other tax laws, statutes, rules, regulations or ordinances, in the United States or in other foreign jurisdictions, could be enacted at any time, which could adversely affect our business, financial, condition or results of operations. In addition, existing tax laws, statutes, rules, regulations or ordinances could be interpreted, changed, modified or applied adversely to us and may have an adverse effect on our business, cash flows and future profitability.</w:t>
      </w:r>
    </w:p>
    <w:p>
      <w:pPr>
        <w:spacing w:after="0" w:line="5" w:lineRule="exact"/>
        <w:rPr>
          <w:sz w:val="20"/>
          <w:szCs w:val="20"/>
          <w:color w:val="auto"/>
        </w:rPr>
      </w:pPr>
    </w:p>
    <w:p>
      <w:pPr>
        <w:ind w:right="100" w:firstLine="240"/>
        <w:spacing w:after="0" w:line="263" w:lineRule="auto"/>
        <w:rPr>
          <w:sz w:val="20"/>
          <w:szCs w:val="20"/>
          <w:color w:val="auto"/>
        </w:rPr>
      </w:pPr>
      <w:r>
        <w:rPr>
          <w:rFonts w:ascii="Times New Roman" w:cs="Times New Roman" w:eastAsia="Times New Roman" w:hAnsi="Times New Roman"/>
          <w:sz w:val="13"/>
          <w:szCs w:val="13"/>
          <w:color w:val="auto"/>
        </w:rPr>
        <w:t>Our organizational structure is commonly referred to as an “Up-C” structure, which is often used by partnerships and limited liability companies undertaking an initial public offering to provide certain tax benefits and associated cash flow advantages to both the issuer corporation and the existing owners of the partnership or limited liability company in the initial public offering. The Up-C structure allows the Warehouse Technologies LLC unitholders to retain their equity ownership in New Symbotic Holdings, an entity that is classified as a partnership for U.S. federal income tax purposes, in the form of common units of New Symbotic Holdings (“New Symbotic Holdings Common Units”). This allows the holders of New Symbotic Holdings Common Units to retain the tax benefits of owning interests in a pass-through entity while also being able to access public markets. All other investors hold their equity ownership in Symbotic, a Delaware corporation that is a domestic corporation for U.S. federal income tax purposes, in the form of shares of Class A Common Stock. From time to time, the U.S. Congress has considered legislation to change the tax treatment of partnerships and there can be no assurance that any such legislation will not be enacted or if enacted will not be adverse to us.</w:t>
      </w:r>
    </w:p>
    <w:p>
      <w:pPr>
        <w:spacing w:after="0" w:line="15" w:lineRule="exact"/>
        <w:rPr>
          <w:sz w:val="20"/>
          <w:szCs w:val="20"/>
          <w:color w:val="auto"/>
        </w:rPr>
      </w:pPr>
    </w:p>
    <w:p>
      <w:pPr>
        <w:ind w:right="20" w:firstLine="240"/>
        <w:spacing w:after="0" w:line="268" w:lineRule="auto"/>
        <w:rPr>
          <w:sz w:val="20"/>
          <w:szCs w:val="20"/>
          <w:color w:val="auto"/>
        </w:rPr>
      </w:pPr>
      <w:r>
        <w:rPr>
          <w:rFonts w:ascii="Times New Roman" w:cs="Times New Roman" w:eastAsia="Times New Roman" w:hAnsi="Times New Roman"/>
          <w:sz w:val="13"/>
          <w:szCs w:val="13"/>
          <w:color w:val="auto"/>
        </w:rPr>
        <w:t>Because the holders of New Symbotic Holdings Common Units hold their economic interests directly in New Symbotic Holdings, rather than through us, the interests of such holders may conflict with those of the holders of shares of our Class A Common Stock. For example, the holders of New Symbotic Holdings Common Units may have a different tax position from the holders of our Class A Common Stock, which could influence decisions regarding whether and when New Symbotic Holdings should dispose of assets or incur new indebtedness, undergo certain changes of control within the meaning of the TRA, or terminate the TRA. In addition, the structuring of future transactions may take into consideration these tax or other considerations even where no similar benefit would accrue to the holders of shares of our Class A Common Stock.</w:t>
      </w:r>
    </w:p>
    <w:p>
      <w:pPr>
        <w:spacing w:after="0" w:line="174" w:lineRule="exact"/>
        <w:rPr>
          <w:sz w:val="20"/>
          <w:szCs w:val="20"/>
          <w:color w:val="auto"/>
        </w:rPr>
      </w:pPr>
    </w:p>
    <w:p>
      <w:pPr>
        <w:ind w:right="140" w:firstLine="240"/>
        <w:spacing w:after="0" w:line="286" w:lineRule="auto"/>
        <w:rPr>
          <w:sz w:val="20"/>
          <w:szCs w:val="20"/>
          <w:color w:val="auto"/>
        </w:rPr>
      </w:pPr>
      <w:r>
        <w:rPr>
          <w:rFonts w:ascii="Times New Roman" w:cs="Times New Roman" w:eastAsia="Times New Roman" w:hAnsi="Times New Roman"/>
          <w:sz w:val="13"/>
          <w:szCs w:val="13"/>
          <w:color w:val="auto"/>
        </w:rPr>
        <w:t>We also may be subject to audits of our income, sales and other transaction taxes by U.S. federal, state, local and foreign taxing authorities. Outcomes from these audits could have an adverse effect on our operating results and financial condition.</w:t>
      </w:r>
    </w:p>
    <w:p>
      <w:pPr>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1C. Cybersecurity</w:t>
      </w:r>
    </w:p>
    <w:p>
      <w:pPr>
        <w:spacing w:after="0" w:line="55" w:lineRule="exact"/>
        <w:rPr>
          <w:sz w:val="20"/>
          <w:szCs w:val="20"/>
          <w:color w:val="auto"/>
        </w:rPr>
      </w:pPr>
    </w:p>
    <w:p>
      <w:pPr>
        <w:ind w:right="180" w:firstLine="240"/>
        <w:spacing w:after="0" w:line="289" w:lineRule="auto"/>
        <w:rPr>
          <w:sz w:val="20"/>
          <w:szCs w:val="20"/>
          <w:color w:val="auto"/>
        </w:rPr>
      </w:pPr>
      <w:r>
        <w:rPr>
          <w:rFonts w:ascii="Times New Roman" w:cs="Times New Roman" w:eastAsia="Times New Roman" w:hAnsi="Times New Roman"/>
          <w:sz w:val="13"/>
          <w:szCs w:val="13"/>
          <w:color w:val="auto"/>
        </w:rPr>
        <w:t>We believe data privacy and cybersecurity are critical to supporting our vision and enabling our strategy. Our approach to data privacy and cybersecurity is supported by our commitment to preserving the trust our employees and customers place in us and focuses on driving continuous improvement as the threat landscape evolves.</w:t>
      </w:r>
    </w:p>
    <w:p>
      <w:pPr>
        <w:spacing w:after="0" w:line="1" w:lineRule="exact"/>
        <w:rPr>
          <w:sz w:val="20"/>
          <w:szCs w:val="20"/>
          <w:color w:val="auto"/>
        </w:rPr>
      </w:pPr>
    </w:p>
    <w:p>
      <w:pPr>
        <w:ind w:right="540" w:firstLine="240"/>
        <w:spacing w:after="0" w:line="289" w:lineRule="auto"/>
        <w:rPr>
          <w:sz w:val="20"/>
          <w:szCs w:val="20"/>
          <w:color w:val="auto"/>
        </w:rPr>
      </w:pPr>
      <w:r>
        <w:rPr>
          <w:rFonts w:ascii="Times New Roman" w:cs="Times New Roman" w:eastAsia="Times New Roman" w:hAnsi="Times New Roman"/>
          <w:sz w:val="13"/>
          <w:szCs w:val="13"/>
          <w:color w:val="auto"/>
        </w:rPr>
        <w:t>Our board of directors (“Board”), in coordination with each of our committees of our Board, is responsible for oversight of our enterprise risk management activities. The Board oversees risks from cybersecurity threats through periodic reports from the audit committee of the Board (“Audit Committee”), which monitors cybersecurity incidents and management’s response to such incidents.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Audit Committee directly oversees our processes for identifying and mitigating risks, including cybersecurity risks, to help align our risk exposure with our strategic objectives.</w:t>
      </w:r>
    </w:p>
    <w:p>
      <w:pPr>
        <w:spacing w:after="0" w:line="51"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Our Vice President (“VP”) of Security and Controls, who has over 16 years of experience in information technology and security and who holds Certified Information Systems Security Professional and IT Infrastructure Library certifications, has primary responsibility for overseeing our management of cybersecurity risks. Reporting to the Chief Technology Officer (“CTO”), our VP of Security and Controls meets regularly with the CTO, and works cross-functionally with other department leaders, including legal, business, policy, and technical functions, as appropriate, to exchange information related to cybersecurity. Our VP of Security and Controls provides quarterly updates to our Audit Committee on our cybersecurity status, risks, and strategies. These quarterly updates address a range of cybersecurity-related topics, such as recent developments related to the threat landscape, security controls, vulnerability assessments, third-party reviews, technological trends, and information security considerations arising with respect to our peers and third parties.</w:t>
      </w:r>
    </w:p>
    <w:p>
      <w:pPr>
        <w:spacing w:after="0" w:line="1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Our cybersecurity programs and procedures are designed to identify and address threats that are subject to ongoing compliance assessments, certifications, and testing. We conduct assessments of threat models to determine which risks are most likely to impact us. Our security and controls team gathers threat and risk data and updates through various sources, such as systems reviews, security research activities, and internal and external security scans and alerts, as appropriate. As applicable, in certain circumstances, we also collaborate with industry partners in the security community, our peers and law enforcement agencies, to support our cybersecurity threat intelligence capabilities. This information is collected, categorized,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assessed to identify, prioritize, and manage significant cybersecurity risks. As a result, our process is continually evaluated and evolves as the threat landscape changes.</w:t>
      </w:r>
    </w:p>
    <w:p>
      <w:pPr>
        <w:spacing w:after="0" w:line="51"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We have also incorporated security practices into employee trainings. We have a process for employees to formally acknowledge their review and understanding of security obligations. Additionally, our security and controls team conducts periodic security and data protection training aimed to emphasize the importance of security and data protection. We have also implemented a review process to assess the security profile and data protection practices of certain third-party suppliers and service providers that have exposure to our systems, including, as appropriate, review of vendor security policies and procedures. We do not, however, review security profile and data protection practices of all third-party vendors.</w:t>
      </w:r>
    </w:p>
    <w:p>
      <w:pPr>
        <w:spacing w:after="0" w:line="11" w:lineRule="exact"/>
        <w:rPr>
          <w:sz w:val="20"/>
          <w:szCs w:val="20"/>
          <w:color w:val="auto"/>
        </w:rPr>
      </w:pPr>
    </w:p>
    <w:p>
      <w:pPr>
        <w:ind w:right="180" w:firstLine="240"/>
        <w:spacing w:after="0" w:line="289" w:lineRule="auto"/>
        <w:rPr>
          <w:sz w:val="20"/>
          <w:szCs w:val="20"/>
          <w:color w:val="auto"/>
        </w:rPr>
      </w:pPr>
      <w:r>
        <w:rPr>
          <w:rFonts w:ascii="Times New Roman" w:cs="Times New Roman" w:eastAsia="Times New Roman" w:hAnsi="Times New Roman"/>
          <w:sz w:val="13"/>
          <w:szCs w:val="13"/>
          <w:color w:val="auto"/>
        </w:rPr>
        <w:t>In the event of a cybersecurity incident, our response and mitigation efforts are guided by the Incident Response Plan (“IRP”), which provides guidance on how to respond to, and recover from, a material cyber incident requiring an organized response. We conduct tabletop exercises testing the principles and procedures set forth in our IRP based on lessons learned.</w:t>
      </w:r>
    </w:p>
    <w:p>
      <w:pPr>
        <w:spacing w:after="0" w:line="1" w:lineRule="exact"/>
        <w:rPr>
          <w:sz w:val="20"/>
          <w:szCs w:val="20"/>
          <w:color w:val="auto"/>
        </w:rPr>
      </w:pPr>
    </w:p>
    <w:p>
      <w:pPr>
        <w:jc w:val="both"/>
        <w:ind w:right="300" w:firstLine="240"/>
        <w:spacing w:after="0" w:line="276" w:lineRule="auto"/>
        <w:rPr>
          <w:sz w:val="20"/>
          <w:szCs w:val="20"/>
          <w:color w:val="auto"/>
        </w:rPr>
      </w:pPr>
      <w:r>
        <w:rPr>
          <w:rFonts w:ascii="Times New Roman" w:cs="Times New Roman" w:eastAsia="Times New Roman" w:hAnsi="Times New Roman"/>
          <w:sz w:val="13"/>
          <w:szCs w:val="13"/>
          <w:color w:val="auto"/>
        </w:rPr>
        <w:t>In addition, we have a cybersecurity disclosure committee (“Cybersecurity Disclosure Committee”) which receives updates on an as needed basis from our security organization regarding cybersecurity incidents. The Cybersecurity Disclosure Committee includes our VP of Security and Controls and senior representatives from finance, controllership, internal audit, investor relations, and legal teams. In the event of a cybersecurity incident, the Cybersecurity Disclosure Committee meets to assess the incident for materiality and required disclosure.</w:t>
      </w:r>
    </w:p>
    <w:p>
      <w:pPr>
        <w:spacing w:after="0" w:line="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3"/>
          <w:szCs w:val="13"/>
          <w:color w:val="auto"/>
        </w:rPr>
        <w:t xml:space="preserve">While we have experienced cybersecurity incidents in the past, as of the date hereof, none have materially affected us or our business strategy, financial condition, results of operations, and/or cash flows. We continue to invest in cybersecurity and resiliency of our networks to enhance our internal controls and processes, which are designed to help protect our systems and infrastructure, and the information which they contain. For more information about cybersecurity risks relating to our business, refer to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included in this Annual Report on Form 10-K.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55"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Our corporate headquarters is in an approximately 66,000 square foot facility that we lease in Wilmington, Massachusetts. The lease expires in May 2025, and subsequent to our fiscal year end we opted to extend the lease to December 2030. As of September 28, 2024, our leased facilities are summarized below. We believe that our leased space is adequate for our current needs and, should we need additional space, we believe we will be able to obtain additional space on commercially reasonable terms.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gridSpan w:val="2"/>
          </w:tcPr>
          <w:p>
            <w:pPr>
              <w:ind w:left="130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8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~Size (sq. ft.)</w:t>
            </w: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Lease Expiration</w:t>
            </w:r>
          </w:p>
        </w:tc>
        <w:tc>
          <w:tcPr>
            <w:tcW w:w="432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Purpose</w:t>
            </w:r>
          </w:p>
        </w:tc>
      </w:tr>
      <w:tr>
        <w:trPr>
          <w:trHeight w:val="30"/>
        </w:trPr>
        <w:tc>
          <w:tcPr>
            <w:tcW w:w="3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18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Wilmington, MA (Main)</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w:t>
            </w:r>
          </w:p>
        </w:tc>
        <w:tc>
          <w:tcPr>
            <w:tcW w:w="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2025</w:t>
            </w: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Headquarters, R&amp;D &amp; Admin</w:t>
            </w:r>
          </w:p>
        </w:tc>
      </w:tr>
      <w:tr>
        <w:trPr>
          <w:trHeight w:val="18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Wilmington, MA</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185,000</w:t>
            </w:r>
          </w:p>
        </w:tc>
        <w:tc>
          <w:tcPr>
            <w:tcW w:w="8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2030</w:t>
            </w: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Innovation Center &amp; Testing</w:t>
            </w:r>
          </w:p>
        </w:tc>
      </w:tr>
      <w:tr>
        <w:trPr>
          <w:trHeight w:val="30"/>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19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Montreal, QC</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2026</w:t>
            </w: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Canadian Headquarters, R&amp;D &amp; Testing</w:t>
            </w:r>
          </w:p>
        </w:tc>
      </w:tr>
      <w:tr>
        <w:trPr>
          <w:trHeight w:val="18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Waltham, MA</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2025</w:t>
            </w:r>
          </w:p>
        </w:tc>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R&amp;D &amp; Testing</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55" w:lineRule="exact"/>
        <w:rPr>
          <w:sz w:val="20"/>
          <w:szCs w:val="20"/>
          <w:color w:val="auto"/>
        </w:rPr>
      </w:pPr>
    </w:p>
    <w:p>
      <w:pPr>
        <w:ind w:right="280" w:firstLine="240"/>
        <w:spacing w:after="0" w:line="289" w:lineRule="auto"/>
        <w:rPr>
          <w:sz w:val="20"/>
          <w:szCs w:val="20"/>
          <w:color w:val="auto"/>
        </w:rPr>
      </w:pPr>
      <w:r>
        <w:rPr>
          <w:rFonts w:ascii="Times New Roman" w:cs="Times New Roman" w:eastAsia="Times New Roman" w:hAnsi="Times New Roman"/>
          <w:sz w:val="13"/>
          <w:szCs w:val="13"/>
          <w:color w:val="auto"/>
        </w:rPr>
        <w:t>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relief.</w:t>
      </w:r>
    </w:p>
    <w:p>
      <w:pPr>
        <w:spacing w:after="0" w:line="1"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SEC Request for Information</w:t>
      </w:r>
    </w:p>
    <w:p>
      <w:pPr>
        <w:spacing w:after="0" w:line="33" w:lineRule="exact"/>
        <w:rPr>
          <w:sz w:val="20"/>
          <w:szCs w:val="20"/>
          <w:color w:val="auto"/>
        </w:rPr>
      </w:pPr>
    </w:p>
    <w:p>
      <w:pPr>
        <w:ind w:right="140" w:firstLine="240"/>
        <w:spacing w:after="0" w:line="294" w:lineRule="auto"/>
        <w:rPr>
          <w:sz w:val="20"/>
          <w:szCs w:val="20"/>
          <w:color w:val="auto"/>
        </w:rPr>
      </w:pPr>
      <w:r>
        <w:rPr>
          <w:rFonts w:ascii="Times New Roman" w:cs="Times New Roman" w:eastAsia="Times New Roman" w:hAnsi="Times New Roman"/>
          <w:sz w:val="13"/>
          <w:szCs w:val="13"/>
          <w:color w:val="auto"/>
        </w:rPr>
        <w:t>We have been responding to requests for information from the SEC relating to an investigation by the SEC of alleged violations by us of Rule 21F-17, which prohibits actions to impede an individual from communicating directly with the SEC staff about a possible securities law violation. We intend to continue to defend this matter vigorously and cannot predict the outcome of this investigation.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49" w:name="page50"/>
    <w:bookmarkEnd w:id="4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Securities Class Actions</w:t>
      </w:r>
    </w:p>
    <w:p>
      <w:pPr>
        <w:spacing w:after="0" w:line="33"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On August 14, 2024, a putative class action captioned Fox v. Symbotic Inc. et al., Case No. 24-cv-12090 was filed in the United States District Court for the District of Massachusetts by an alleged holder of our common stock. The complaint asserts claims for violations of federal securities laws against us and two of our officers on the grounds that, among other things, we made false and/or misleading statements related to its expected earnings for the third quarter of fiscal year 2024. Based on these allegations, the plaintiff brings claims seeking unspecified damages, attorneys’ fees, expert fees, and other costs and relief on behalf of herself and a putative class of persons who purchased our stock between May 6, 2024 and July 29, 2024. On September 11, 2024, the court entered a stipulation staying our deadline to respond to the complaint until after a lead plaintiff has been appointed pursuant to the Private Securities Litigation Reform Act. On October 15, 2024, four alleged shareholders filed motions seeking to be appointed as lead plaintiff. As of November 7, 2024, one alleged shareholder has withdrawn her motion for appointment as lead plaintiff, and two others have filed papers stating that they do not oppose the competing motion of the movant who claimed the largest losses, Dr. Seshagiri Rao Kalapala, and his selection of Levi &amp; Korsinsky, LLP as lead counsel. As of December 3, 2024, the court has not yet ruled on the pending lead plaintiff motions.</w:t>
      </w:r>
    </w:p>
    <w:p>
      <w:pPr>
        <w:spacing w:after="0" w:line="17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On December 3, 2024, a putative class action captioned Decker v. Symbotic Inc. et al., Case No. 24-cv-12976 was filed in the United States District Court for the District of Massachusetts by an alleged purchaser of our common stock. The complaint asserts claims for violations of federal securities laws against us and three of our officers on the grounds that we made false and/or misleading statements related to our revenue recognition and the effectiveness of our disclosure controls and procedures. Based on these allegations, the plaintiff brings claims seeking unspecified damages, attorneys’ fees, expert fees, and other costs and relief on behalf of himself and a putative class of persons who purchased our stock between February 8, 2024 and November 26, 2024.</w:t>
      </w:r>
    </w:p>
    <w:p>
      <w:pPr>
        <w:spacing w:after="0" w:line="11"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We intend to vigorously defend these cases. If a court ultimately determines that we are liable in either or both of these cases, we may be subject to substantial damages. We cannot predict with any degree of certainty the outcome of these matters or determine the extent of any potential liabilities. We also cannot provide an estimate of the possible loss or range of loss. Any adverse outcome in these matters could expose us to substantial damages that may have a material adverse impact on our operations and cash flows. Despite the potential for significant damages, we do not believe, based on currently available information, that the outcome of these proceedings will have a material adverse effect on our financial condition, although the outcome could be material to our operating results for any particular period, depending, in part, upon the operating results for such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Shareholder Derivative Actions</w:t>
      </w:r>
    </w:p>
    <w:p>
      <w:pPr>
        <w:spacing w:after="0" w:line="43" w:lineRule="exact"/>
        <w:rPr>
          <w:sz w:val="20"/>
          <w:szCs w:val="20"/>
          <w:color w:val="auto"/>
        </w:rPr>
      </w:pPr>
    </w:p>
    <w:p>
      <w:pPr>
        <w:ind w:right="60" w:firstLine="240"/>
        <w:spacing w:after="0" w:line="263" w:lineRule="auto"/>
        <w:rPr>
          <w:sz w:val="20"/>
          <w:szCs w:val="20"/>
          <w:color w:val="auto"/>
        </w:rPr>
      </w:pPr>
      <w:r>
        <w:rPr>
          <w:rFonts w:ascii="Times New Roman" w:cs="Times New Roman" w:eastAsia="Times New Roman" w:hAnsi="Times New Roman"/>
          <w:sz w:val="13"/>
          <w:szCs w:val="13"/>
          <w:color w:val="auto"/>
        </w:rPr>
        <w:t>On October 2, 2024, two putative shareholder derivative actions captioned Austen v. Cohen et al., 24-cv-12522 and Kukreja v. Cohen et al., 24-cv-12523 were filed in the United States District Court for the District of Massachusetts by our alleged shareholders. The actions assert claims on behalf of us against certain senior officers and members of our board of directors for, among others, breach of fiduciary duty, unjust enrichment, and violations of federal securities laws based primarily on allegations that the defendants caused or allowed us to disseminate misleading and inaccurate information to shareholders in connection with our expected earnings for the third quarter of fiscal year 2024. The actions also contend that the defendants wasted corporate assets by exposing us to the securities class action lawsuit filed on August 14, 2024. The actions seek compensatory damages, changes to corporate governance and internal procedures, restitution, costs and attorneys’ fees, and other unspecified relief. On November 19 and November 20, 2024, the parties filed motions seeking to consolidate the two actions into a single matter, appoint lead plaintiffs’ counsel, and stay any obligation of the defendants to respond to the complaint based on the pendency of the related Fox v. Symbotic securities class action lawsuit (described above).</w:t>
      </w:r>
    </w:p>
    <w:p>
      <w:pPr>
        <w:spacing w:after="0" w:line="15" w:lineRule="exact"/>
        <w:rPr>
          <w:sz w:val="20"/>
          <w:szCs w:val="20"/>
          <w:color w:val="auto"/>
        </w:rPr>
      </w:pPr>
    </w:p>
    <w:p>
      <w:pPr>
        <w:ind w:right="60" w:firstLine="240"/>
        <w:spacing w:after="0" w:line="268" w:lineRule="auto"/>
        <w:rPr>
          <w:sz w:val="20"/>
          <w:szCs w:val="20"/>
          <w:color w:val="auto"/>
        </w:rPr>
      </w:pPr>
      <w:r>
        <w:rPr>
          <w:rFonts w:ascii="Times New Roman" w:cs="Times New Roman" w:eastAsia="Times New Roman" w:hAnsi="Times New Roman"/>
          <w:sz w:val="13"/>
          <w:szCs w:val="13"/>
          <w:color w:val="auto"/>
        </w:rPr>
        <w:t>We intend to vigorously defend these cases. If a court ultimately determines that we are liable,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0" w:name="page51"/>
    <w:bookmarkEnd w:id="5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400"/>
        <w:spacing w:after="0" w:line="332" w:lineRule="auto"/>
        <w:rPr>
          <w:sz w:val="20"/>
          <w:szCs w:val="20"/>
          <w:color w:val="auto"/>
        </w:rPr>
      </w:pPr>
      <w:r>
        <w:rPr>
          <w:rFonts w:ascii="Times New Roman" w:cs="Times New Roman" w:eastAsia="Times New Roman" w:hAnsi="Times New Roman"/>
          <w:sz w:val="13"/>
          <w:szCs w:val="13"/>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3"/>
          <w:szCs w:val="13"/>
          <w:i w:val="1"/>
          <w:iCs w:val="1"/>
          <w:color w:val="auto"/>
        </w:rPr>
        <w:t>Market Information for Common Stock</w:t>
      </w:r>
    </w:p>
    <w:p>
      <w:pPr>
        <w:spacing w:after="0" w:line="1"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Our Class A Common Stock, par value $0.0001 per share, is traded on NASDAQ under the symbol “SYM”. Our Class V-1 Common Stock, par value $0.0001 per share, and Class V-3 Common Stock, par value $0.0001 per share, that are convertible into our Class A common stock are not traded on any established public trading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Holders of our Common Stock</w:t>
      </w:r>
    </w:p>
    <w:p>
      <w:pPr>
        <w:spacing w:after="0" w:line="43"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3"/>
          <w:szCs w:val="13"/>
          <w:color w:val="auto"/>
        </w:rPr>
        <w:t>As of December 2, 2024, there were approximately 14 holders of record of our Class A Common Stock, approximately 39 holders of our Class V-1 Common Stock and approximately 15 holders of record of our Class V-3 Common Stock. Certain shares of our Class A Common Stock are held in “street” name and, accordingly, the number of beneficial owners of such shares is not known or included in the foregoing number. The number of holders of record also does not include beneficial owners of shares that are be held in trust by other entities.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Dividends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never paid or declared any cash dividends on our common stock, and we do not anticipate paying any cash dividends in the foreseeable future.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Issuer Purchases of Equity Securities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There were no purchases of equity securities by the issuer or affiliated purchasers, as defined in Rule 10b-18(a)(3) the Securities Exchange Act of 1934, during the quarter ended September 28,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Performance Graph</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graph shows a 43-month comparison of cumulative total returns for our Class A common stock, the Standard &amp; Poor’s (“S&amp;P”) 500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40640</wp:posOffset>
            </wp:positionV>
            <wp:extent cx="3001645" cy="24993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1645" cy="249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 Sales of Unregistered Securities</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 other than as set forth in our Current Report on Form 8-K filed on July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51" w:name="page52"/>
    <w:bookmarkEnd w:id="5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Securities Authorized for Issuance Under Equity Compensation Plans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information required by Item 5 of Form 10-K regarding equity compensation plans is incorporated herein by reference to Item 12 of Part III of this Annual Report.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[Reserved]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w:t>
      </w:r>
    </w:p>
    <w:p>
      <w:pPr>
        <w:spacing w:after="0" w:line="53" w:lineRule="exact"/>
        <w:rPr>
          <w:sz w:val="20"/>
          <w:szCs w:val="20"/>
          <w:color w:val="auto"/>
        </w:rPr>
      </w:pPr>
    </w:p>
    <w:p>
      <w:pPr>
        <w:ind w:firstLine="327"/>
        <w:spacing w:after="0" w:line="262" w:lineRule="auto"/>
        <w:rPr>
          <w:sz w:val="20"/>
          <w:szCs w:val="20"/>
          <w:color w:val="auto"/>
        </w:rPr>
      </w:pPr>
      <w:r>
        <w:rPr>
          <w:rFonts w:ascii="Times New Roman" w:cs="Times New Roman" w:eastAsia="Times New Roman" w:hAnsi="Times New Roman"/>
          <w:sz w:val="13"/>
          <w:szCs w:val="13"/>
          <w:i w:val="1"/>
          <w:iCs w:val="1"/>
          <w:color w:val="auto"/>
        </w:rPr>
        <w:t>The following discussion and analysis should be read in conjunction with our consolidated financial statements and notes thereto that appear elsewhere in this Annual Report on Form 10-K. See “Risk Factors” elsewhere in this Annual Report on Form 10-K for a discussion of certain risks associated with our business. The following discussion contains forward-looking statements. Forward-looking statements give our current expectations or forecasts of future events. You can identify these statements by the fact that they do not relate strictly to historical or current facts. The use of words such as “anticipate,” “estimate,” “expect,” “project,” “intend,” “plan,” “believe,” and other words and terms of similar meaning in connection with any discussion of future operating or financial performance. From time to time, we also may provide forward-looking statements in other materials we release to the public. Unless the context otherwise requires, references in this Item 7 “Management’s Discussion and Analysis of Financial Condition and Results of Operations” to “Symbotic,” “we,” “us,” “our” and the “Company” are intended to mean the business and operations of Symbotic Inc. This section provides an analysis of our financial results for the year ended September 28, 2024 as compared to the year ended September 30, 2023. For the discussion and analysis covering the year ended September 30, 2023 compared to the year ended September 24, 2022, please refer to the “Management’s Discussion and Analysis of Financial Condition and Results of Operations” in Part II, Item 7 of our Annual Report on Form 10-K for the year ended September 30, 2023, as filed with the SEC on December 11, 2023.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45" w:lineRule="exact"/>
        <w:rPr>
          <w:sz w:val="20"/>
          <w:szCs w:val="20"/>
          <w:color w:val="auto"/>
        </w:rPr>
      </w:pPr>
    </w:p>
    <w:p>
      <w:pPr>
        <w:ind w:right="360" w:firstLine="240"/>
        <w:spacing w:after="0" w:line="276" w:lineRule="auto"/>
        <w:rPr>
          <w:sz w:val="20"/>
          <w:szCs w:val="20"/>
          <w:color w:val="auto"/>
        </w:rPr>
      </w:pPr>
      <w:r>
        <w:rPr>
          <w:rFonts w:ascii="Times New Roman" w:cs="Times New Roman" w:eastAsia="Times New Roman" w:hAnsi="Times New Roman"/>
          <w:sz w:val="13"/>
          <w:szCs w:val="13"/>
          <w:color w:val="auto"/>
        </w:rPr>
        <w:t>Our vision is to make the supply chain work better for everyone. We do this by developing, commercializing, and deploying innovative, comprehensive technology solutions that dramatically improve supply chain operations. We currently automate the processing of pallets and cases in large warehouses or distribution centers for some of the largest retail companies in the world. Our System enhances operations at the front end of the supply chain, and therefore benefit all supply partners further down the chain, irrespective of fulfillment strategy.</w:t>
      </w:r>
    </w:p>
    <w:p>
      <w:pPr>
        <w:spacing w:after="0" w:line="5" w:lineRule="exact"/>
        <w:rPr>
          <w:sz w:val="20"/>
          <w:szCs w:val="20"/>
          <w:color w:val="auto"/>
        </w:rPr>
      </w:pPr>
    </w:p>
    <w:p>
      <w:pPr>
        <w:ind w:right="100" w:firstLine="240"/>
        <w:spacing w:after="0" w:line="273" w:lineRule="auto"/>
        <w:rPr>
          <w:sz w:val="20"/>
          <w:szCs w:val="20"/>
          <w:color w:val="auto"/>
        </w:rPr>
      </w:pPr>
      <w:r>
        <w:rPr>
          <w:rFonts w:ascii="Times New Roman" w:cs="Times New Roman" w:eastAsia="Times New Roman" w:hAnsi="Times New Roman"/>
          <w:sz w:val="13"/>
          <w:szCs w:val="13"/>
          <w:color w:val="auto"/>
        </w:rPr>
        <w:t>Our System is based on a unique approach to connecting producers of goods to end users, in a way that resolves the mismatches of quantity, timing and location that arise between the two, while reducing costs. The underlying architecture of our System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w:t>
      </w:r>
    </w:p>
    <w:p>
      <w:pPr>
        <w:spacing w:after="0" w:line="171" w:lineRule="exact"/>
        <w:rPr>
          <w:sz w:val="20"/>
          <w:szCs w:val="20"/>
          <w:color w:val="auto"/>
        </w:rPr>
      </w:pPr>
    </w:p>
    <w:p>
      <w:pPr>
        <w:ind w:right="120" w:firstLine="240"/>
        <w:spacing w:after="0" w:line="266" w:lineRule="auto"/>
        <w:rPr>
          <w:sz w:val="20"/>
          <w:szCs w:val="20"/>
          <w:color w:val="auto"/>
        </w:rPr>
      </w:pPr>
      <w:r>
        <w:rPr>
          <w:rFonts w:ascii="Times New Roman" w:cs="Times New Roman" w:eastAsia="Times New Roman" w:hAnsi="Times New Roman"/>
          <w:sz w:val="13"/>
          <w:szCs w:val="13"/>
          <w:color w:val="auto"/>
        </w:rPr>
        <w:t>On July 23, 2023, we, along with New Symbotic Holdings, and Symbotic US (collectively, the “Symbotic Group”), entered into a Framework Agreement (the “Framework Agreement”) with Sunlight Investment Corp. (“Sunlight”), SVF II Strategic Investments AIV LLC (“SVF” and, together with Sunlight, “SoftBank”), and GreenBox Systems LLC (“GreenBox”), related to the formation of GreenBox as a strategic joint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 GreenBox was established on July 21, 2023, and will build and automate supply chain networks globally by operating and financing our advanced A.I. and automation technology for the warehouse. We own 35% of GreenBox and SoftBank Group owns 65% of GreenBox.</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Business Combination</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Refer to Note 1, </w:t>
      </w:r>
      <w:r>
        <w:rPr>
          <w:rFonts w:ascii="Times New Roman" w:cs="Times New Roman" w:eastAsia="Times New Roman" w:hAnsi="Times New Roman"/>
          <w:sz w:val="13"/>
          <w:szCs w:val="13"/>
          <w:i w:val="1"/>
          <w:iCs w:val="1"/>
          <w:color w:val="auto"/>
        </w:rPr>
        <w:t>Organization and Operations</w:t>
      </w:r>
      <w:r>
        <w:rPr>
          <w:rFonts w:ascii="Times New Roman" w:cs="Times New Roman" w:eastAsia="Times New Roman" w:hAnsi="Times New Roman"/>
          <w:sz w:val="13"/>
          <w:szCs w:val="13"/>
          <w:color w:val="auto"/>
        </w:rPr>
        <w:t xml:space="preserve"> to our consolidated financial statements for further details on the historical business organization and formation of Symbotic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Components of Consolidated Statements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Revenue</w:t>
      </w:r>
    </w:p>
    <w:p>
      <w:pPr>
        <w:spacing w:after="0" w:line="43"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3"/>
          <w:szCs w:val="13"/>
          <w:color w:val="auto"/>
        </w:rPr>
        <w:t>We generate revenue through our design and installation of supply chain automation systems to automate customers’ depalletizing, storage, selection, and palletization warehousing processes.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52" w:name="page53"/>
    <w:bookmarkEnd w:id="5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3"/>
          <w:szCs w:val="13"/>
          <w:color w:val="auto"/>
        </w:rPr>
        <w:t>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promises in the contract.</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identified the following distinct performance obligations in our contracts with customers:</w:t>
      </w:r>
    </w:p>
    <w:p>
      <w:pPr>
        <w:spacing w:after="0" w:line="51"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u w:val="single" w:color="auto"/>
          <w:color w:val="auto"/>
        </w:rPr>
        <w:t>Systems</w:t>
      </w:r>
      <w:r>
        <w:rPr>
          <w:rFonts w:ascii="Times New Roman" w:cs="Times New Roman" w:eastAsia="Times New Roman" w:hAnsi="Times New Roman"/>
          <w:sz w:val="13"/>
          <w:szCs w:val="13"/>
          <w:color w:val="auto"/>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spacing w:after="0" w:line="13"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reaches acceptance, software maintenance and support begins.</w:t>
      </w:r>
    </w:p>
    <w:p>
      <w:pPr>
        <w:spacing w:after="0" w:line="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u w:val="single" w:color="auto"/>
          <w:color w:val="auto"/>
        </w:rPr>
        <w:t>Software Maintenance and Support</w:t>
      </w:r>
      <w:r>
        <w:rPr>
          <w:rFonts w:ascii="Times New Roman" w:cs="Times New Roman" w:eastAsia="Times New Roman" w:hAnsi="Times New Roman"/>
          <w:sz w:val="13"/>
          <w:szCs w:val="13"/>
          <w:color w:val="auto"/>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spacing w:after="0" w:line="5"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3"/>
          <w:szCs w:val="13"/>
          <w:u w:val="single" w:color="auto"/>
          <w:color w:val="auto"/>
        </w:rPr>
        <w:t>Operation Services</w:t>
      </w:r>
      <w:r>
        <w:rPr>
          <w:rFonts w:ascii="Times New Roman" w:cs="Times New Roman" w:eastAsia="Times New Roman" w:hAnsi="Times New Roman"/>
          <w:sz w:val="13"/>
          <w:szCs w:val="13"/>
          <w:color w:val="auto"/>
        </w:rPr>
        <w:t>: “Operation Services” is defined as assistance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Cost of Revenue</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cost of revenue is composed of the following for each of our distinct performance obligations:</w:t>
      </w:r>
    </w:p>
    <w:p>
      <w:pPr>
        <w:spacing w:after="0" w:line="51"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u w:val="single" w:color="auto"/>
          <w:color w:val="auto"/>
        </w:rPr>
        <w:t>Systems</w:t>
      </w:r>
      <w:r>
        <w:rPr>
          <w:rFonts w:ascii="Times New Roman" w:cs="Times New Roman" w:eastAsia="Times New Roman" w:hAnsi="Times New Roman"/>
          <w:sz w:val="13"/>
          <w:szCs w:val="13"/>
          <w:color w:val="auto"/>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spacing w:after="0" w:line="11" w:lineRule="exact"/>
        <w:rPr>
          <w:sz w:val="20"/>
          <w:szCs w:val="20"/>
          <w:color w:val="auto"/>
        </w:rPr>
      </w:pPr>
    </w:p>
    <w:p>
      <w:pPr>
        <w:ind w:right="360" w:firstLine="240"/>
        <w:spacing w:after="0" w:line="289" w:lineRule="auto"/>
        <w:rPr>
          <w:sz w:val="20"/>
          <w:szCs w:val="20"/>
          <w:color w:val="auto"/>
        </w:rPr>
      </w:pPr>
      <w:r>
        <w:rPr>
          <w:rFonts w:ascii="Times New Roman" w:cs="Times New Roman" w:eastAsia="Times New Roman" w:hAnsi="Times New Roman"/>
          <w:sz w:val="13"/>
          <w:szCs w:val="13"/>
          <w:u w:val="single" w:color="auto"/>
          <w:color w:val="auto"/>
        </w:rPr>
        <w:t>Software Maintenance and Support</w:t>
      </w:r>
      <w:r>
        <w:rPr>
          <w:rFonts w:ascii="Times New Roman" w:cs="Times New Roman" w:eastAsia="Times New Roman" w:hAnsi="Times New Roman"/>
          <w:sz w:val="13"/>
          <w:szCs w:val="13"/>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u w:val="single" w:color="auto"/>
          <w:color w:val="auto"/>
        </w:rPr>
        <w:t>Operation Services</w:t>
      </w:r>
      <w:r>
        <w:rPr>
          <w:rFonts w:ascii="Times New Roman" w:cs="Times New Roman" w:eastAsia="Times New Roman" w:hAnsi="Times New Roman"/>
          <w:sz w:val="13"/>
          <w:szCs w:val="13"/>
          <w:color w:val="auto"/>
        </w:rPr>
        <w:t>: Operation Services cost of revenue consists primarily of labor cost for our operations team who is providing services to our customers to run their System within their warehouse.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Operation Services cost of revenue also includes the cost of spare parts sold to our customers as needed to service their System. Operation Services cost of revenue is expensed as incurred.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43" w:lineRule="exact"/>
        <w:rPr>
          <w:sz w:val="20"/>
          <w:szCs w:val="20"/>
          <w:color w:val="auto"/>
        </w:rPr>
      </w:pPr>
    </w:p>
    <w:p>
      <w:pPr>
        <w:ind w:right="40" w:firstLine="240"/>
        <w:spacing w:after="0" w:line="294" w:lineRule="auto"/>
        <w:rPr>
          <w:sz w:val="20"/>
          <w:szCs w:val="20"/>
          <w:color w:val="auto"/>
        </w:rPr>
      </w:pPr>
      <w:r>
        <w:rPr>
          <w:rFonts w:ascii="Times New Roman" w:cs="Times New Roman" w:eastAsia="Times New Roman" w:hAnsi="Times New Roman"/>
          <w:sz w:val="13"/>
          <w:szCs w:val="13"/>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Selling, General, and Administrative</w:t>
      </w:r>
    </w:p>
    <w:p>
      <w:pPr>
        <w:spacing w:after="0" w:line="33" w:lineRule="exact"/>
        <w:rPr>
          <w:sz w:val="20"/>
          <w:szCs w:val="20"/>
          <w:color w:val="auto"/>
        </w:rPr>
      </w:pPr>
    </w:p>
    <w:p>
      <w:pPr>
        <w:ind w:right="260" w:firstLine="240"/>
        <w:spacing w:after="0" w:line="294" w:lineRule="auto"/>
        <w:rPr>
          <w:sz w:val="20"/>
          <w:szCs w:val="20"/>
          <w:color w:val="auto"/>
        </w:rPr>
      </w:pPr>
      <w:r>
        <w:rPr>
          <w:rFonts w:ascii="Times New Roman" w:cs="Times New Roman" w:eastAsia="Times New Roman" w:hAnsi="Times New Roman"/>
          <w:sz w:val="13"/>
          <w:szCs w:val="13"/>
          <w:color w:val="auto"/>
        </w:rPr>
        <w:t>Selling, general, and administrative expenses include all costs that are not directly related to satisfaction of customer contracts or research and development. Selling, general, and administrative expenses include items for our selling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3" w:name="page54"/>
    <w:bookmarkEnd w:id="5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3"/>
          <w:szCs w:val="13"/>
          <w:color w:val="auto"/>
        </w:rPr>
        <w:t>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Income (Expense), Net</w:t>
      </w:r>
    </w:p>
    <w:p>
      <w:pPr>
        <w:spacing w:after="0" w:line="33" w:lineRule="exact"/>
        <w:rPr>
          <w:sz w:val="20"/>
          <w:szCs w:val="20"/>
          <w:color w:val="auto"/>
        </w:rPr>
      </w:pPr>
    </w:p>
    <w:p>
      <w:pPr>
        <w:ind w:right="500" w:firstLine="240"/>
        <w:spacing w:after="0" w:line="294" w:lineRule="auto"/>
        <w:rPr>
          <w:sz w:val="20"/>
          <w:szCs w:val="20"/>
          <w:color w:val="auto"/>
        </w:rPr>
      </w:pPr>
      <w:r>
        <w:rPr>
          <w:rFonts w:ascii="Times New Roman" w:cs="Times New Roman" w:eastAsia="Times New Roman" w:hAnsi="Times New Roman"/>
          <w:sz w:val="13"/>
          <w:szCs w:val="13"/>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Income Taxes</w:t>
      </w:r>
    </w:p>
    <w:p>
      <w:pPr>
        <w:spacing w:after="0" w:line="3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As a result of the Business Combination, we were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us, on a pro rata basis, subject to applicable tax regulations. We are subject to U.S. federal income taxes, in addition to state and local income taxes, with respect to our allocable share of any taxable income or loss of Symbotic Holdings. We also have foreign subsidiaries which are subject to income tax in their local jurisdictions. Prior to the close of the Business Combination, our financial reporting predecessor, Legacy Warehouse was treated as a pass-through entity for tax purposes and no provision, except for certain foreign subsidiaries which are taxed in their respective foreign jurisdictions, was made in the consolidated financial statements for income taxes. Any income tax items for the periods prior to the close of the Business Combination are related to the applicable subsidiary companies that are subject to foreign income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 for the Years Ended September 28, 2024 and September 30, 2023</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tables set forth certain consolidated financial data in U.S. dollar amounts and as a percentage of total revenue.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180" w:type="dxa"/>
            <w:vAlign w:val="bottom"/>
            <w:tcBorders>
              <w:bottom w:val="single" w:sz="8" w:color="auto"/>
            </w:tcBorders>
          </w:tcPr>
          <w:p>
            <w:pPr>
              <w:spacing w:after="0"/>
              <w:rPr>
                <w:sz w:val="13"/>
                <w:szCs w:val="13"/>
                <w:color w:val="auto"/>
              </w:rPr>
            </w:pPr>
          </w:p>
        </w:tc>
      </w:tr>
      <w:tr>
        <w:trPr>
          <w:trHeight w:val="160"/>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w w:val="95"/>
              </w:rPr>
              <w:t>September 30, 2023</w:t>
            </w:r>
          </w:p>
        </w:tc>
      </w:tr>
      <w:tr>
        <w:trPr>
          <w:trHeight w:val="160"/>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1180" w:type="dxa"/>
            <w:vAlign w:val="bottom"/>
          </w:tcPr>
          <w:p>
            <w:pPr>
              <w:spacing w:after="0"/>
              <w:rPr>
                <w:sz w:val="13"/>
                <w:szCs w:val="13"/>
                <w:color w:val="auto"/>
              </w:rPr>
            </w:pPr>
          </w:p>
        </w:tc>
      </w:tr>
      <w:tr>
        <w:trPr>
          <w:trHeight w:val="19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Revenue:</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1,705,440</w:t>
            </w:r>
          </w:p>
        </w:tc>
        <w:tc>
          <w:tcPr>
            <w:tcW w:w="8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1,138,059</w:t>
            </w: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w:t>
            </w: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68,566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32,231</w:t>
            </w: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0"/>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1,788,179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1,176,891</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Cost of revenue:</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1,466,841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940,076</w:t>
            </w: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w:t>
            </w: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66,723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37,854</w:t>
            </w:r>
          </w:p>
        </w:tc>
      </w:tr>
      <w:tr>
        <w:trPr>
          <w:trHeight w:val="170"/>
        </w:trPr>
        <w:tc>
          <w:tcPr>
            <w:tcW w:w="82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cost of revenue</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1,542,513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987,152</w:t>
            </w: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245,666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189,739</w:t>
            </w:r>
          </w:p>
        </w:tc>
      </w:tr>
      <w:tr>
        <w:trPr>
          <w:trHeight w:val="17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Operating expenses: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173,457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195,042</w:t>
            </w: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188,934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217,927</w:t>
            </w: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8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362,391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412,969</w:t>
            </w:r>
          </w:p>
        </w:tc>
      </w:tr>
      <w:tr>
        <w:trPr>
          <w:trHeight w:val="17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Operating loss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(116,725)</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(223,230)</w:t>
            </w: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37,042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10,716</w:t>
            </w:r>
          </w:p>
        </w:tc>
      </w:tr>
      <w:tr>
        <w:trPr>
          <w:trHeight w:val="17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before income tax and equity method investment</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(79,683)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(212,514)</w:t>
            </w: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from equity method investment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(207,894)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4" w:name="page55"/>
    <w:bookmarkEnd w:id="5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w w:val="99"/>
              </w:rPr>
              <w:t>September 30, 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Revenue:</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Cost of revenue:</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80"/>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51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cost of revenue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0"/>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Operating expenses: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0"/>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0"/>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Operating loss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before income tax and equity method investment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from equity method investment</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8"/>
              </w:rPr>
              <w:t>(18)%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i w:val="1"/>
                <w:iCs w:val="1"/>
                <w:color w:val="auto"/>
              </w:rPr>
              <w:t>*  Percentages are based on actual values. Totals may not sum due to rounding.</w:t>
            </w: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September 28, 2024 Compared to the Year Ended September 30, 2023</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Revenue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00" w:type="dxa"/>
            <w:vAlign w:val="bottom"/>
            <w:gridSpan w:val="7"/>
          </w:tcPr>
          <w:p>
            <w:pPr>
              <w:ind w:left="840"/>
              <w:spacing w:after="0"/>
              <w:rPr>
                <w:sz w:val="20"/>
                <w:szCs w:val="20"/>
                <w:color w:val="auto"/>
              </w:rPr>
            </w:pPr>
            <w:r>
              <w:rPr>
                <w:rFonts w:ascii="Times New Roman" w:cs="Times New Roman" w:eastAsia="Times New Roman" w:hAnsi="Times New Roman"/>
                <w:sz w:val="11"/>
                <w:szCs w:val="11"/>
                <w:color w:val="auto"/>
              </w:rPr>
              <w:t>(dollars in thousands)</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1,705,440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1,138,059</w:t>
            </w:r>
          </w:p>
        </w:tc>
        <w:tc>
          <w:tcPr>
            <w:tcW w:w="260" w:type="dxa"/>
            <w:vAlign w:val="bottom"/>
            <w:tcBorders>
              <w:bottom w:val="single" w:sz="8" w:color="CCEEFF"/>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567,381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68,566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95"/>
        </w:trPr>
        <w:tc>
          <w:tcPr>
            <w:tcW w:w="5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1,788,179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1,176,891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611,288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Systems revenue increased for the year ended September 28, 2024, as compared to the year ended September 30, 2023, due to 44 Systems in Deployment for the fiscal year ended September 28, 2024, as compared to 35 Systems in Deployment for the fiscal year ended September 30, 2023. The increase in Deployments is primarily due to the continued build out of our Systems included in the Walmart Master Automation Agreement. Pursuant to the Master Automation Agreement, we are installing and implementing our System within all of Walmart’s 42 regional distribution centers. We expect the Master Automation Agreement to continue to generate Systems revenue as we install and implement the Systems at the remaining regional distribution centers through fiscal year 2029.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5" w:name="page56"/>
    <w:bookmarkEnd w:id="5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firstLine="240"/>
        <w:spacing w:after="0" w:line="289" w:lineRule="auto"/>
        <w:rPr>
          <w:sz w:val="20"/>
          <w:szCs w:val="20"/>
          <w:color w:val="auto"/>
        </w:rPr>
      </w:pPr>
      <w:r>
        <w:rPr>
          <w:rFonts w:ascii="Times New Roman" w:cs="Times New Roman" w:eastAsia="Times New Roman" w:hAnsi="Times New Roman"/>
          <w:sz w:val="13"/>
          <w:szCs w:val="13"/>
          <w:color w:val="auto"/>
        </w:rPr>
        <w:t>The increase in Software Maintenance and Support revenue is due to 25 Operational Systems which are under Software Maintenance and Support contracts for the year ended September 28, 2024, as compared to 12 Operational Systems which are under Software Maintenance and Support contracts for the year ended September 30, 2023.</w:t>
      </w:r>
    </w:p>
    <w:p>
      <w:pPr>
        <w:spacing w:after="0" w:line="1" w:lineRule="exact"/>
        <w:rPr>
          <w:sz w:val="20"/>
          <w:szCs w:val="20"/>
          <w:color w:val="auto"/>
        </w:rPr>
      </w:pPr>
    </w:p>
    <w:p>
      <w:pPr>
        <w:ind w:right="40" w:firstLine="240"/>
        <w:spacing w:after="0" w:line="276" w:lineRule="auto"/>
        <w:rPr>
          <w:sz w:val="20"/>
          <w:szCs w:val="20"/>
          <w:color w:val="auto"/>
        </w:rPr>
      </w:pPr>
      <w:r>
        <w:rPr>
          <w:rFonts w:ascii="Times New Roman" w:cs="Times New Roman" w:eastAsia="Times New Roman" w:hAnsi="Times New Roman"/>
          <w:sz w:val="13"/>
          <w:szCs w:val="13"/>
          <w:color w:val="auto"/>
        </w:rPr>
        <w:t>The increase in Operation Services revenue is attributable to an increase in Operational Systems where we are performing Operation Services for the year ended September 28, 2024, as compared to the year ended September 30, 2023. The increase results from the number of Operational Systems we have as well as spare parts sales to our customers for the year ended September 28, 2024, as compared to the year ended September 30, 2023. As we continue to increase the number of Operational Systems, an increase in the number of Operation Services contracts is expected.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Gross Profit</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forth our gross profit for the years ended September 28, 2024 and September 30,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5"/>
              </w:rPr>
              <w:t>(in thousands)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197,983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40,616</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7,845</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w:t>
            </w:r>
          </w:p>
        </w:tc>
      </w:tr>
      <w:tr>
        <w:trPr>
          <w:trHeight w:val="195"/>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gross profit</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245,666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189,739</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55,927</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right="260" w:firstLine="240"/>
        <w:spacing w:after="0" w:line="289" w:lineRule="auto"/>
        <w:rPr>
          <w:sz w:val="20"/>
          <w:szCs w:val="20"/>
          <w:color w:val="auto"/>
        </w:rPr>
      </w:pPr>
      <w:r>
        <w:rPr>
          <w:rFonts w:ascii="Times New Roman" w:cs="Times New Roman" w:eastAsia="Times New Roman" w:hAnsi="Times New Roman"/>
          <w:sz w:val="13"/>
          <w:szCs w:val="13"/>
          <w:color w:val="auto"/>
        </w:rPr>
        <w:t>Systems gross profit increased $40.6 million for the year ended September 28, 2024, as compared to the year ended September 30, 2023. The increase in gross profit is primarily driven by 44 Systems in Deployment during the fiscal year ended September 28, 2024, as compared to 35 Systems in Deployment during the fiscal year ended September 30, 2023.</w:t>
      </w:r>
    </w:p>
    <w:p>
      <w:pPr>
        <w:spacing w:after="0" w:line="1" w:lineRule="exact"/>
        <w:rPr>
          <w:sz w:val="20"/>
          <w:szCs w:val="20"/>
          <w:color w:val="auto"/>
        </w:rPr>
      </w:pPr>
    </w:p>
    <w:p>
      <w:pPr>
        <w:ind w:right="160" w:firstLine="240"/>
        <w:spacing w:after="0" w:line="289" w:lineRule="auto"/>
        <w:rPr>
          <w:sz w:val="20"/>
          <w:szCs w:val="20"/>
          <w:color w:val="auto"/>
        </w:rPr>
      </w:pPr>
      <w:r>
        <w:rPr>
          <w:rFonts w:ascii="Times New Roman" w:cs="Times New Roman" w:eastAsia="Times New Roman" w:hAnsi="Times New Roman"/>
          <w:sz w:val="13"/>
          <w:szCs w:val="13"/>
          <w:color w:val="auto"/>
        </w:rPr>
        <w:t>The increase in Software Maintenance and Support gross profit is driven by the revenue from the additional Operational Systems which are under Software Maintenance and Support contracts for the year ended September 28, 2024, as compared to the year ended September 30, 2023, while costs to perform our Software Maintenance and Support services remained relatively flat.</w:t>
      </w:r>
    </w:p>
    <w:p>
      <w:pPr>
        <w:spacing w:after="0" w:line="1" w:lineRule="exact"/>
        <w:rPr>
          <w:sz w:val="20"/>
          <w:szCs w:val="20"/>
          <w:color w:val="auto"/>
        </w:rPr>
      </w:pPr>
    </w:p>
    <w:p>
      <w:pPr>
        <w:ind w:right="240" w:firstLine="240"/>
        <w:spacing w:after="0" w:line="294" w:lineRule="auto"/>
        <w:rPr>
          <w:sz w:val="20"/>
          <w:szCs w:val="20"/>
          <w:color w:val="auto"/>
        </w:rPr>
      </w:pPr>
      <w:r>
        <w:rPr>
          <w:rFonts w:ascii="Times New Roman" w:cs="Times New Roman" w:eastAsia="Times New Roman" w:hAnsi="Times New Roman"/>
          <w:sz w:val="13"/>
          <w:szCs w:val="13"/>
          <w:color w:val="auto"/>
        </w:rPr>
        <w:t>The increase in Operation Services gross profit for the year ended September 28, 2024, as compared to the year ended September 30, 2023, is driven by an increase in the number of Operational Systems where we are performing Operation Services, efficiency improvement on our existing Systems where we are performing Operation Services, and profit generated from the sales of spare parts.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Research and Development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Borders>
              <w:bottom w:val="single" w:sz="8" w:color="auto"/>
            </w:tcBorders>
          </w:tcPr>
          <w:p>
            <w:pPr>
              <w:spacing w:after="0"/>
              <w:rPr>
                <w:sz w:val="13"/>
                <w:szCs w:val="13"/>
                <w:color w:val="auto"/>
              </w:rPr>
            </w:pPr>
          </w:p>
        </w:tc>
      </w:tr>
      <w:tr>
        <w:trPr>
          <w:trHeight w:val="160"/>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color w:val="auto"/>
              </w:rPr>
              <w:t>(dollars in thousands)</w:t>
            </w:r>
          </w:p>
        </w:tc>
        <w:tc>
          <w:tcPr>
            <w:tcW w:w="15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173,457</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195,042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3"/>
                <w:szCs w:val="13"/>
                <w:color w:val="auto"/>
              </w:rPr>
              <w:t>(21,585)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total revenue</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decrease in research and development expenses for the year ended September 28, 2024, as compared to the year ended September 30, 2023, is due to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60"/>
        </w:trPr>
        <w:tc>
          <w:tcPr>
            <w:tcW w:w="9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1"/>
                <w:szCs w:val="11"/>
                <w:color w:val="auto"/>
              </w:rPr>
              <w:t>(in thousands)</w:t>
            </w:r>
          </w:p>
        </w:tc>
      </w:tr>
      <w:tr>
        <w:trPr>
          <w:trHeight w:val="199"/>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Employee-related costs</w:t>
            </w: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(27,103)</w:t>
            </w:r>
          </w:p>
        </w:tc>
      </w:tr>
      <w:tr>
        <w:trPr>
          <w:trHeight w:val="180"/>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Prototype-related costs, allocated overhead expenses, and other</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5,518</w:t>
            </w:r>
          </w:p>
        </w:tc>
      </w:tr>
      <w:tr>
        <w:trPr>
          <w:trHeight w:val="30"/>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0"/>
        </w:trPr>
        <w:tc>
          <w:tcPr>
            <w:tcW w:w="98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(21,585)</w:t>
            </w:r>
          </w:p>
        </w:tc>
      </w:tr>
      <w:tr>
        <w:trPr>
          <w:trHeight w:val="30"/>
        </w:trPr>
        <w:tc>
          <w:tcPr>
            <w:tcW w:w="9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87" w:lineRule="exact"/>
        <w:rPr>
          <w:sz w:val="20"/>
          <w:szCs w:val="20"/>
          <w:color w:val="auto"/>
        </w:rPr>
      </w:pPr>
    </w:p>
    <w:p>
      <w:pPr>
        <w:ind w:right="580" w:firstLine="240"/>
        <w:spacing w:after="0" w:line="294" w:lineRule="auto"/>
        <w:rPr>
          <w:sz w:val="20"/>
          <w:szCs w:val="20"/>
          <w:color w:val="auto"/>
        </w:rPr>
      </w:pPr>
      <w:r>
        <w:rPr>
          <w:rFonts w:ascii="Times New Roman" w:cs="Times New Roman" w:eastAsia="Times New Roman" w:hAnsi="Times New Roman"/>
          <w:sz w:val="13"/>
          <w:szCs w:val="13"/>
          <w:color w:val="auto"/>
        </w:rPr>
        <w:t>Employee-related costs decreased primarily as a result of a decrease in stock-based compensation expense and expense incurred for contractors. As we apply the graded-vesting method of expense recognition to all stock-based compensation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6" w:name="page57"/>
    <w:bookmarkEnd w:id="5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awards with service-only conditions, lower expense was incurred during the year ended September 28, 2024, as compared to the year ended September 30, 2023, due to the expense recognized during the year ended September 30,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in payroll related costs as we continue to grow our software and hardware engineering organizations to support the development of key projects and to support the continued expansion of our A.I. and analytics capabilities.</w:t>
      </w:r>
    </w:p>
    <w:p>
      <w:pPr>
        <w:spacing w:after="0" w:line="11"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The increase in prototyping-related costs, allocated overhead expenses, and other during the year ended September 28, 2024, as compared to the year ended September 30, 2023, is primarily attributable to an increase in allocated overhead expenses from selling, general, and administrative expenses to research and development expenses resulting from an increase to general overhead expenses such as rent and other occupancy expenses for the year ended September 28,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Borders>
              <w:bottom w:val="single" w:sz="8" w:color="auto"/>
            </w:tcBorders>
          </w:tcPr>
          <w:p>
            <w:pPr>
              <w:spacing w:after="0"/>
              <w:rPr>
                <w:sz w:val="13"/>
                <w:szCs w:val="13"/>
                <w:color w:val="auto"/>
              </w:rPr>
            </w:pPr>
          </w:p>
        </w:tc>
      </w:tr>
      <w:tr>
        <w:trPr>
          <w:trHeight w:val="160"/>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color w:val="auto"/>
              </w:rPr>
              <w:t>(dollars in thousands)</w:t>
            </w:r>
          </w:p>
        </w:tc>
        <w:tc>
          <w:tcPr>
            <w:tcW w:w="15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188,934</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217,927</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3"/>
                <w:szCs w:val="13"/>
                <w:color w:val="auto"/>
              </w:rPr>
              <w:t>(28,993)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total revenue</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decrease in selling, general, and administrative expenses for the year ended September 28, 2024, as compared to the year ended September 30, 2023, is due to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60"/>
        </w:trPr>
        <w:tc>
          <w:tcPr>
            <w:tcW w:w="9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1"/>
                <w:szCs w:val="11"/>
                <w:color w:val="auto"/>
              </w:rPr>
              <w:t>(in thousands)</w:t>
            </w:r>
          </w:p>
        </w:tc>
      </w:tr>
      <w:tr>
        <w:trPr>
          <w:trHeight w:val="199"/>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Employee-related costs</w:t>
            </w: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(34,926)</w:t>
            </w:r>
          </w:p>
        </w:tc>
      </w:tr>
      <w:tr>
        <w:trPr>
          <w:trHeight w:val="180"/>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Allocated overhead expenses and other</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5,933</w:t>
            </w:r>
          </w:p>
        </w:tc>
      </w:tr>
      <w:tr>
        <w:trPr>
          <w:trHeight w:val="30"/>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9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right="60" w:firstLine="240"/>
        <w:spacing w:after="0" w:line="266" w:lineRule="auto"/>
        <w:rPr>
          <w:sz w:val="20"/>
          <w:szCs w:val="20"/>
          <w:color w:val="auto"/>
        </w:rPr>
      </w:pPr>
      <w:r>
        <w:rPr>
          <w:rFonts w:ascii="Times New Roman" w:cs="Times New Roman" w:eastAsia="Times New Roman" w:hAnsi="Times New Roman"/>
          <w:sz w:val="13"/>
          <w:szCs w:val="13"/>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lower expense was incurred during the year ended September 28, 2024, as compared to the year ended September 30, 2023, due to the expense recognized during the year ended September 30,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payroll-related expenses incurred as our business continues to grow.</w:t>
      </w:r>
    </w:p>
    <w:p>
      <w:pPr>
        <w:spacing w:after="0" w:line="13" w:lineRule="exact"/>
        <w:rPr>
          <w:sz w:val="20"/>
          <w:szCs w:val="20"/>
          <w:color w:val="auto"/>
        </w:rPr>
      </w:pPr>
    </w:p>
    <w:p>
      <w:pPr>
        <w:ind w:right="200" w:firstLine="240"/>
        <w:spacing w:after="0" w:line="294" w:lineRule="auto"/>
        <w:rPr>
          <w:sz w:val="20"/>
          <w:szCs w:val="20"/>
          <w:color w:val="auto"/>
        </w:rPr>
      </w:pPr>
      <w:r>
        <w:rPr>
          <w:rFonts w:ascii="Times New Roman" w:cs="Times New Roman" w:eastAsia="Times New Roman" w:hAnsi="Times New Roman"/>
          <w:sz w:val="13"/>
          <w:szCs w:val="13"/>
          <w:color w:val="auto"/>
        </w:rPr>
        <w:t>Allocated overhead and other expenses increased primarily due to an increase in information technology related costs as well as audit and tax expenses as compared to the prior year as our employee base and infrastructure continue to grow.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income,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60"/>
        </w:trPr>
        <w:tc>
          <w:tcPr>
            <w:tcW w:w="5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color w:val="auto"/>
              </w:rPr>
              <w:t>(dollars in thousands)</w:t>
            </w: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37,042</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10,716</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CCEEFF"/>
            </w:tcBorders>
            <w:shd w:val="clear" w:color="auto" w:fill="CCEEFF"/>
          </w:tcPr>
          <w:p>
            <w:pPr>
              <w:jc w:val="right"/>
              <w:ind w:right="522"/>
              <w:spacing w:after="0"/>
              <w:rPr>
                <w:sz w:val="20"/>
                <w:szCs w:val="20"/>
                <w:color w:val="auto"/>
              </w:rPr>
            </w:pPr>
            <w:r>
              <w:rPr>
                <w:rFonts w:ascii="Times New Roman" w:cs="Times New Roman" w:eastAsia="Times New Roman" w:hAnsi="Times New Roman"/>
                <w:sz w:val="13"/>
                <w:szCs w:val="13"/>
                <w:color w:val="auto"/>
              </w:rPr>
              <w:t>26,326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246 %</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total revenue</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28" w:lineRule="exact"/>
        <w:rPr>
          <w:sz w:val="20"/>
          <w:szCs w:val="20"/>
          <w:color w:val="auto"/>
        </w:rPr>
      </w:pPr>
    </w:p>
    <w:p>
      <w:pPr>
        <w:ind w:right="400" w:firstLine="240"/>
        <w:spacing w:after="0" w:line="294" w:lineRule="auto"/>
        <w:rPr>
          <w:sz w:val="20"/>
          <w:szCs w:val="20"/>
          <w:color w:val="auto"/>
        </w:rPr>
      </w:pPr>
      <w:r>
        <w:rPr>
          <w:rFonts w:ascii="Times New Roman" w:cs="Times New Roman" w:eastAsia="Times New Roman" w:hAnsi="Times New Roman"/>
          <w:sz w:val="13"/>
          <w:szCs w:val="13"/>
          <w:color w:val="auto"/>
        </w:rPr>
        <w:t>The increase in other income, net for the year ended September 28, 2024, as compared to the year ended September 30, 2023, is due to higher interest earned on invested cash balances and marketable securities as a result of increased interest rates and higher cash balance.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7" w:name="page58"/>
    <w:bookmarkEnd w:id="5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Income Taxes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3"/>
                <w:szCs w:val="13"/>
                <w:color w:val="auto"/>
              </w:rPr>
            </w:pPr>
          </w:p>
        </w:tc>
      </w:tr>
      <w:tr>
        <w:trPr>
          <w:trHeight w:val="160"/>
        </w:trPr>
        <w:tc>
          <w:tcPr>
            <w:tcW w:w="49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4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ind w:left="800"/>
              <w:spacing w:after="0"/>
              <w:rPr>
                <w:sz w:val="20"/>
                <w:szCs w:val="20"/>
                <w:color w:val="auto"/>
              </w:rPr>
            </w:pPr>
            <w:r>
              <w:rPr>
                <w:rFonts w:ascii="Times New Roman" w:cs="Times New Roman" w:eastAsia="Times New Roman" w:hAnsi="Times New Roman"/>
                <w:sz w:val="11"/>
                <w:szCs w:val="11"/>
                <w:color w:val="auto"/>
              </w:rPr>
              <w:t>(dollars in thousands)</w:t>
            </w: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(4,212)</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4,620</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ind w:right="502"/>
              <w:spacing w:after="0"/>
              <w:rPr>
                <w:sz w:val="20"/>
                <w:szCs w:val="20"/>
                <w:color w:val="auto"/>
              </w:rPr>
            </w:pPr>
            <w:r>
              <w:rPr>
                <w:rFonts w:ascii="Times New Roman" w:cs="Times New Roman" w:eastAsia="Times New Roman" w:hAnsi="Times New Roman"/>
                <w:sz w:val="13"/>
                <w:szCs w:val="13"/>
                <w:color w:val="auto"/>
              </w:rPr>
              <w:t>(8,832)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(191 %)</w:t>
            </w: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total revenue</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15"/>
                <w:szCs w:val="15"/>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28" w:lineRule="exact"/>
        <w:rPr>
          <w:sz w:val="20"/>
          <w:szCs w:val="20"/>
          <w:color w:val="auto"/>
        </w:rPr>
      </w:pPr>
    </w:p>
    <w:p>
      <w:pPr>
        <w:jc w:val="both"/>
        <w:ind w:right="120" w:firstLine="240"/>
        <w:spacing w:after="0" w:line="276" w:lineRule="auto"/>
        <w:rPr>
          <w:sz w:val="20"/>
          <w:szCs w:val="20"/>
          <w:color w:val="auto"/>
        </w:rPr>
      </w:pPr>
      <w:r>
        <w:rPr>
          <w:rFonts w:ascii="Times New Roman" w:cs="Times New Roman" w:eastAsia="Times New Roman" w:hAnsi="Times New Roman"/>
          <w:sz w:val="13"/>
          <w:szCs w:val="13"/>
          <w:color w:val="auto"/>
        </w:rPr>
        <w:t xml:space="preserve">We recorded an income tax expense for the year ended September 28, 2024, primarily related to the establishment of $3.9 million of a valuation allowance related to foreign deferred tax asset, as compared to a benefit for the year ended September 30, 2023, which was primarily related to the release of $6.1 million of previously established valuation allowances related to foreign deferred tax assets. Refer to Note 12,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for further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35" w:lineRule="exact"/>
        <w:rPr>
          <w:sz w:val="20"/>
          <w:szCs w:val="20"/>
          <w:color w:val="auto"/>
        </w:rPr>
      </w:pPr>
    </w:p>
    <w:p>
      <w:pPr>
        <w:jc w:val="both"/>
        <w:ind w:right="40" w:firstLine="240"/>
        <w:spacing w:after="0" w:line="269" w:lineRule="auto"/>
        <w:rPr>
          <w:sz w:val="20"/>
          <w:szCs w:val="20"/>
          <w:color w:val="auto"/>
        </w:rPr>
      </w:pPr>
      <w:r>
        <w:rPr>
          <w:rFonts w:ascii="Times New Roman" w:cs="Times New Roman" w:eastAsia="Times New Roman" w:hAnsi="Times New Roman"/>
          <w:sz w:val="13"/>
          <w:szCs w:val="13"/>
          <w:color w:val="auto"/>
        </w:rPr>
        <w:t>In addition to providing financial measurements based on generally accepted accounting principles in the United States of America, (“GAAP” or “U.S.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and Free cash flow, as discussed below.</w:t>
      </w:r>
    </w:p>
    <w:p>
      <w:pPr>
        <w:spacing w:after="0" w:line="11" w:lineRule="exact"/>
        <w:rPr>
          <w:sz w:val="20"/>
          <w:szCs w:val="20"/>
          <w:color w:val="auto"/>
        </w:rPr>
      </w:pPr>
    </w:p>
    <w:p>
      <w:pPr>
        <w:ind w:right="120" w:firstLine="240"/>
        <w:spacing w:after="0" w:line="276" w:lineRule="auto"/>
        <w:rPr>
          <w:sz w:val="20"/>
          <w:szCs w:val="20"/>
          <w:color w:val="auto"/>
        </w:rPr>
      </w:pPr>
      <w:r>
        <w:rPr>
          <w:rFonts w:ascii="Times New Roman" w:cs="Times New Roman" w:eastAsia="Times New Roman" w:hAnsi="Times New Roman"/>
          <w:sz w:val="13"/>
          <w:szCs w:val="13"/>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5" w:lineRule="exact"/>
        <w:rPr>
          <w:sz w:val="20"/>
          <w:szCs w:val="20"/>
          <w:color w:val="auto"/>
        </w:rPr>
      </w:pPr>
    </w:p>
    <w:p>
      <w:pPr>
        <w:ind w:right="340" w:firstLine="240"/>
        <w:spacing w:after="0" w:line="289" w:lineRule="auto"/>
        <w:rPr>
          <w:sz w:val="20"/>
          <w:szCs w:val="20"/>
          <w:color w:val="auto"/>
        </w:rPr>
      </w:pPr>
      <w:r>
        <w:rPr>
          <w:rFonts w:ascii="Times New Roman" w:cs="Times New Roman" w:eastAsia="Times New Roman" w:hAnsi="Times New Roman"/>
          <w:sz w:val="13"/>
          <w:szCs w:val="13"/>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CEO transition charges; joint venture formation fees; restructuring charges; equity financing transaction costs; equity method investment; and other infrequent items that may arise from time to time.</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non-GAAP adjustments, and our basis for excluding them from our non-GAAP financial measure, are outlined below:</w:t>
      </w:r>
    </w:p>
    <w:p>
      <w:pPr>
        <w:spacing w:after="0" w:line="47" w:lineRule="exact"/>
        <w:rPr>
          <w:sz w:val="20"/>
          <w:szCs w:val="20"/>
          <w:color w:val="auto"/>
        </w:rPr>
      </w:pPr>
    </w:p>
    <w:p>
      <w:pPr>
        <w:ind w:left="720" w:hanging="239"/>
        <w:spacing w:after="0" w:line="268" w:lineRule="auto"/>
        <w:tabs>
          <w:tab w:leader="none" w:pos="717"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Stock-based compensation </w:t>
      </w:r>
      <w:r>
        <w:rPr>
          <w:rFonts w:ascii="Times New Roman" w:cs="Times New Roman" w:eastAsia="Times New Roman" w:hAnsi="Times New Roman"/>
          <w:sz w:val="13"/>
          <w:szCs w:val="13"/>
          <w:color w:val="auto"/>
        </w:rPr>
        <w:t>– Although stock-based compensation is an important aspect of the compensation paid to our employees, the grant date fair value varies based on the derived stock price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w:t>
      </w:r>
    </w:p>
    <w:p>
      <w:pPr>
        <w:spacing w:after="0" w:line="6" w:lineRule="exact"/>
        <w:rPr>
          <w:rFonts w:ascii="Times New Roman" w:cs="Times New Roman" w:eastAsia="Times New Roman" w:hAnsi="Times New Roman"/>
          <w:sz w:val="13"/>
          <w:szCs w:val="13"/>
          <w:b w:val="1"/>
          <w:bCs w:val="1"/>
          <w:color w:val="auto"/>
        </w:rPr>
      </w:pPr>
    </w:p>
    <w:p>
      <w:pPr>
        <w:ind w:left="720" w:right="80" w:hanging="239"/>
        <w:spacing w:after="0" w:line="271" w:lineRule="auto"/>
        <w:tabs>
          <w:tab w:leader="none" w:pos="717"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Business combination transaction expenses </w:t>
      </w:r>
      <w:r>
        <w:rPr>
          <w:rFonts w:ascii="Times New Roman" w:cs="Times New Roman" w:eastAsia="Times New Roman" w:hAnsi="Times New Roman"/>
          <w:sz w:val="13"/>
          <w:szCs w:val="13"/>
          <w:color w:val="auto"/>
        </w:rPr>
        <w:t>– Business combination transaction expenses represent the expenses incurred related to the Business Combination, which we completed on June 7,</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2022 as well as other strategic acquisition opportunities.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Business Combination or other strategic acquisition opportunities which we may pursue. We exclude Business combination transaction expenses from our non-GAAP financial measures to provide a useful comparison 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8" w:name="page59"/>
    <w:bookmarkEnd w:id="5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20" w:right="240"/>
        <w:spacing w:after="0" w:line="286" w:lineRule="auto"/>
        <w:rPr>
          <w:sz w:val="20"/>
          <w:szCs w:val="20"/>
          <w:color w:val="auto"/>
        </w:rPr>
      </w:pPr>
      <w:r>
        <w:rPr>
          <w:rFonts w:ascii="Times New Roman" w:cs="Times New Roman" w:eastAsia="Times New Roman" w:hAnsi="Times New Roman"/>
          <w:sz w:val="13"/>
          <w:szCs w:val="13"/>
          <w:color w:val="auto"/>
        </w:rPr>
        <w:t>our operating results to prior periods and to peer companies because such amounts vary significantly based on the magnitude of the Business Combination transaction and do not reflect our core operations.</w:t>
      </w:r>
    </w:p>
    <w:p>
      <w:pPr>
        <w:ind w:left="720" w:right="120" w:hanging="239"/>
        <w:spacing w:after="0" w:line="271" w:lineRule="auto"/>
        <w:tabs>
          <w:tab w:leader="none" w:pos="717"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Joint venture formation fees </w:t>
      </w:r>
      <w:r>
        <w:rPr>
          <w:rFonts w:ascii="Times New Roman" w:cs="Times New Roman" w:eastAsia="Times New Roman" w:hAnsi="Times New Roman"/>
          <w:sz w:val="13"/>
          <w:szCs w:val="13"/>
          <w:color w:val="auto"/>
        </w:rPr>
        <w:t>– Joint venture formation fees represent the charges incurred associated with the formation of GreenBox, which was formed on July 21, 2023. It primarily includes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5" w:lineRule="exact"/>
        <w:rPr>
          <w:rFonts w:ascii="Times New Roman" w:cs="Times New Roman" w:eastAsia="Times New Roman" w:hAnsi="Times New Roman"/>
          <w:sz w:val="13"/>
          <w:szCs w:val="13"/>
          <w:b w:val="1"/>
          <w:bCs w:val="1"/>
          <w:color w:val="auto"/>
        </w:rPr>
      </w:pPr>
    </w:p>
    <w:p>
      <w:pPr>
        <w:jc w:val="both"/>
        <w:ind w:left="720" w:right="160" w:hanging="239"/>
        <w:spacing w:after="0" w:line="278" w:lineRule="auto"/>
        <w:tabs>
          <w:tab w:leader="none" w:pos="717"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CEO transition charges </w:t>
      </w:r>
      <w:r>
        <w:rPr>
          <w:rFonts w:ascii="Times New Roman" w:cs="Times New Roman" w:eastAsia="Times New Roman" w:hAnsi="Times New Roman"/>
          <w:sz w:val="13"/>
          <w:szCs w:val="13"/>
          <w:color w:val="auto"/>
        </w:rPr>
        <w:t>– CEO transition charges represent the charges incurred associated with the separation agreement we entered into with Michael Loparco in November 2022. We exclude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these CEO transition charges from our non-GAAP financial measures to provide a useful comparison of our operating results to prior periods and to our peer companies because such amounts are not representative of our normal operating activities.</w:t>
      </w:r>
    </w:p>
    <w:p>
      <w:pPr>
        <w:spacing w:after="0" w:line="1" w:lineRule="exact"/>
        <w:rPr>
          <w:rFonts w:ascii="Times New Roman" w:cs="Times New Roman" w:eastAsia="Times New Roman" w:hAnsi="Times New Roman"/>
          <w:sz w:val="13"/>
          <w:szCs w:val="13"/>
          <w:b w:val="1"/>
          <w:bCs w:val="1"/>
          <w:color w:val="auto"/>
        </w:rPr>
      </w:pPr>
    </w:p>
    <w:p>
      <w:pPr>
        <w:ind w:left="720" w:hanging="239"/>
        <w:spacing w:after="0" w:line="259" w:lineRule="auto"/>
        <w:tabs>
          <w:tab w:leader="none" w:pos="717"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Restructuring charges </w:t>
      </w:r>
      <w:r>
        <w:rPr>
          <w:rFonts w:ascii="Times New Roman" w:cs="Times New Roman" w:eastAsia="Times New Roman" w:hAnsi="Times New Roman"/>
          <w:sz w:val="13"/>
          <w:szCs w:val="13"/>
          <w:color w:val="auto"/>
        </w:rPr>
        <w:t>– Restructuring charges represent charges incurred associated with certain actions to our restructure within the U.S. and Canada. These charges include severance and related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expenses for workforce reductions, lower of cost and net realizable value adjustments to inventory and long-lived assets that will no longer be used in operations, and termination fees for any contracts cancelled as part of these actions.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2" w:lineRule="exact"/>
        <w:rPr>
          <w:rFonts w:ascii="Times New Roman" w:cs="Times New Roman" w:eastAsia="Times New Roman" w:hAnsi="Times New Roman"/>
          <w:sz w:val="13"/>
          <w:szCs w:val="13"/>
          <w:b w:val="1"/>
          <w:bCs w:val="1"/>
          <w:color w:val="auto"/>
        </w:rPr>
      </w:pPr>
    </w:p>
    <w:p>
      <w:pPr>
        <w:ind w:left="720" w:right="20" w:hanging="239"/>
        <w:spacing w:after="0" w:line="248" w:lineRule="auto"/>
        <w:tabs>
          <w:tab w:leader="none" w:pos="71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Equity financing transaction costs </w:t>
      </w:r>
      <w:r>
        <w:rPr>
          <w:rFonts w:ascii="Times New Roman" w:cs="Times New Roman" w:eastAsia="Times New Roman" w:hAnsi="Times New Roman"/>
          <w:sz w:val="13"/>
          <w:szCs w:val="13"/>
          <w:color w:val="auto"/>
        </w:rPr>
        <w:t>– Equity financing transaction costs represent the costs incurred, including for legal and accountant fees, transaction fees, advisory fees, due diligence costs,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certain other professional fees that are directly related to our equity financing transaction which occurred in February 2024. We exclude these costs from our non-GAAP financial measures to provide a useful comparison of our operating results to prior periods and to our peer companies because such amounts are not representative of our normal operating activities.</w:t>
      </w:r>
    </w:p>
    <w:p>
      <w:pPr>
        <w:spacing w:after="0" w:line="19" w:lineRule="exact"/>
        <w:rPr>
          <w:rFonts w:ascii="Times New Roman" w:cs="Times New Roman" w:eastAsia="Times New Roman" w:hAnsi="Times New Roman"/>
          <w:sz w:val="13"/>
          <w:szCs w:val="13"/>
          <w:color w:val="auto"/>
        </w:rPr>
      </w:pPr>
    </w:p>
    <w:p>
      <w:pPr>
        <w:ind w:left="720" w:right="40" w:hanging="239"/>
        <w:spacing w:after="0" w:line="292" w:lineRule="auto"/>
        <w:tabs>
          <w:tab w:leader="none" w:pos="717"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Equity method investment </w:t>
      </w:r>
      <w:r>
        <w:rPr>
          <w:rFonts w:ascii="Times New Roman" w:cs="Times New Roman" w:eastAsia="Times New Roman" w:hAnsi="Times New Roman"/>
          <w:sz w:val="13"/>
          <w:szCs w:val="13"/>
          <w:color w:val="auto"/>
        </w:rPr>
        <w:t>– Equity method investment represents our proportionate share of income or loss of unconsolidated variable interest entities. We exclude this from our non-GAAP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financial measures to provide a useful comparison of our operating results to prior periods and to our peer companies because such amounts are not representative of our normal operating activities.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reconciles GAAP net loss to Adjusted EBITDA during the periods presented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(139,089)</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120,608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40,556</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Business combination transaction expenses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Joint venture formation fees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CEO transition charges</w:t>
            </w:r>
          </w:p>
        </w:tc>
        <w:tc>
          <w:tcPr>
            <w:tcW w:w="18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Restructuring charges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22,899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Equity financing transaction costs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Equity method investment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61,692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(17,581)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(89,762)</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200" w:firstLine="240"/>
        <w:spacing w:after="0" w:line="294" w:lineRule="auto"/>
        <w:rPr>
          <w:sz w:val="20"/>
          <w:szCs w:val="20"/>
          <w:color w:val="auto"/>
        </w:rPr>
      </w:pPr>
      <w:r>
        <w:rPr>
          <w:rFonts w:ascii="Times New Roman" w:cs="Times New Roman" w:eastAsia="Times New Roman" w:hAnsi="Times New Roman"/>
          <w:sz w:val="13"/>
          <w:szCs w:val="13"/>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59" w:name="page60"/>
    <w:bookmarkEnd w:id="5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3"/>
          <w:szCs w:val="13"/>
          <w:color w:val="auto"/>
        </w:rPr>
        <w:t>stock-based compensation expense,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99,647</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Restructuring charges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gross profit</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 margin</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16.1 %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16.8 %</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180" w:type="dxa"/>
            <w:vAlign w:val="bottom"/>
          </w:tcPr>
          <w:p>
            <w:pPr>
              <w:spacing w:after="0"/>
              <w:rPr>
                <w:sz w:val="15"/>
                <w:szCs w:val="15"/>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16.9 %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16.9 %</w:t>
            </w:r>
          </w:p>
        </w:tc>
      </w:tr>
    </w:tbl>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consider Free cash flow to be an important indicator of financial liquidity, which we use in our financial and operational decision-making and evaluation of our overall operating performance. We define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Free cash flow as net cash provided by or used in operating activities less purchases of property and equipment and capitalization of internal use software development costs. The following table reconciles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GAAP net cash provided by (used in) operating activities to Free cash flow during the periods presented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(148,247)</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(17,950)</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Capitalization of internal use software development costs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Free cash flow</w:t>
            </w: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(102,451)</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209,468</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(166,197)</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35" w:lineRule="exact"/>
        <w:rPr>
          <w:sz w:val="20"/>
          <w:szCs w:val="20"/>
          <w:color w:val="auto"/>
        </w:rPr>
      </w:pPr>
    </w:p>
    <w:p>
      <w:pPr>
        <w:ind w:right="140" w:firstLine="240"/>
        <w:spacing w:after="0" w:line="289" w:lineRule="auto"/>
        <w:rPr>
          <w:sz w:val="20"/>
          <w:szCs w:val="20"/>
          <w:color w:val="auto"/>
        </w:rPr>
      </w:pPr>
      <w:r>
        <w:rPr>
          <w:rFonts w:ascii="Times New Roman" w:cs="Times New Roman" w:eastAsia="Times New Roman" w:hAnsi="Times New Roman"/>
          <w:sz w:val="13"/>
          <w:szCs w:val="13"/>
          <w:color w:val="auto"/>
        </w:rPr>
        <w:t>As of September 28, 2024, our principal sources of liquidity were cash received upon exercise of warrants and equity financing transactions, proceeds received from the maturities of marketable securities, and cash received from customers upon the inception and continuation of contracts to install Systems.</w:t>
      </w:r>
    </w:p>
    <w:p>
      <w:pPr>
        <w:spacing w:after="0" w:line="1" w:lineRule="exact"/>
        <w:rPr>
          <w:sz w:val="20"/>
          <w:szCs w:val="20"/>
          <w:color w:val="auto"/>
        </w:rPr>
      </w:pPr>
    </w:p>
    <w:p>
      <w:pPr>
        <w:ind w:right="60"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shows net cash and cash equivalents provided by (used in) operating activities, net cash and cash equivalents provided by (used in) investing activities, and net cash and cash equivalents provided by (used in) financing activities during the periods presented:</w:t>
      </w:r>
    </w:p>
    <w:p>
      <w:pPr>
        <w:spacing w:after="0" w:line="22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20955</wp:posOffset>
            </wp:positionV>
            <wp:extent cx="190817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8175" cy="6350"/>
                    </a:xfrm>
                    <a:prstGeom prst="rect">
                      <a:avLst/>
                    </a:prstGeom>
                    <a:noFill/>
                  </pic:spPr>
                </pic:pic>
              </a:graphicData>
            </a:graphic>
          </wp:anchor>
        </w:drawing>
      </w:r>
    </w:p>
    <w:p>
      <w:pPr>
        <w:spacing w:after="0" w:line="34" w:lineRule="exact"/>
        <w:rPr>
          <w:sz w:val="20"/>
          <w:szCs w:val="20"/>
          <w:color w:val="auto"/>
        </w:rPr>
      </w:pPr>
    </w:p>
    <w:p>
      <w:pPr>
        <w:ind w:left="8560"/>
        <w:spacing w:after="0"/>
        <w:tabs>
          <w:tab w:leader="none" w:pos="10100" w:val="left"/>
        </w:tabs>
        <w:rPr>
          <w:sz w:val="20"/>
          <w:szCs w:val="20"/>
          <w:color w:val="auto"/>
        </w:rPr>
      </w:pPr>
      <w:r>
        <w:rPr>
          <w:rFonts w:ascii="Times New Roman" w:cs="Times New Roman" w:eastAsia="Times New Roman" w:hAnsi="Times New Roman"/>
          <w:sz w:val="11"/>
          <w:szCs w:val="11"/>
          <w:b w:val="1"/>
          <w:bCs w:val="1"/>
          <w:color w:val="auto"/>
        </w:rPr>
        <w:t>September 28, 2024</w:t>
      </w:r>
      <w:r>
        <w:rPr>
          <w:sz w:val="20"/>
          <w:szCs w:val="20"/>
          <w:color w:val="auto"/>
        </w:rPr>
        <w:tab/>
      </w:r>
      <w:r>
        <w:rPr>
          <w:rFonts w:ascii="Times New Roman" w:cs="Times New Roman" w:eastAsia="Times New Roman" w:hAnsi="Times New Roman"/>
          <w:sz w:val="10"/>
          <w:szCs w:val="10"/>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20955</wp:posOffset>
            </wp:positionV>
            <wp:extent cx="190817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8175" cy="6350"/>
                    </a:xfrm>
                    <a:prstGeom prst="rect">
                      <a:avLst/>
                    </a:prstGeom>
                    <a:noFill/>
                  </pic:spPr>
                </pic:pic>
              </a:graphicData>
            </a:graphic>
          </wp:anchor>
        </w:drawing>
      </w:r>
    </w:p>
    <w:p>
      <w:pPr>
        <w:spacing w:after="0" w:line="36"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1"/>
          <w:szCs w:val="1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0" w:type="dxa"/>
            <w:vAlign w:val="bottom"/>
            <w:shd w:val="clear" w:color="auto" w:fill="CCEEFF"/>
          </w:tcPr>
          <w:p>
            <w:pPr>
              <w:jc w:val="center"/>
              <w:ind w:right="3213"/>
              <w:spacing w:after="0"/>
              <w:rPr>
                <w:sz w:val="20"/>
                <w:szCs w:val="20"/>
                <w:color w:val="auto"/>
              </w:rPr>
            </w:pPr>
            <w:r>
              <w:rPr>
                <w:rFonts w:ascii="Times New Roman" w:cs="Times New Roman" w:eastAsia="Times New Roman" w:hAnsi="Times New Roman"/>
                <w:sz w:val="13"/>
                <w:szCs w:val="13"/>
                <w:color w:val="auto"/>
              </w:rPr>
              <w:t>Net cash provided by (used in):</w:t>
            </w:r>
          </w:p>
        </w:tc>
        <w:tc>
          <w:tcPr>
            <w:tcW w:w="3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0"/>
        </w:trPr>
        <w:tc>
          <w:tcPr>
            <w:tcW w:w="5000" w:type="dxa"/>
            <w:vAlign w:val="bottom"/>
          </w:tcPr>
          <w:p>
            <w:pPr>
              <w:jc w:val="center"/>
              <w:ind w:right="3213"/>
              <w:spacing w:after="0"/>
              <w:rPr>
                <w:sz w:val="20"/>
                <w:szCs w:val="20"/>
                <w:color w:val="auto"/>
              </w:rPr>
            </w:pPr>
            <w:r>
              <w:rPr>
                <w:rFonts w:ascii="Times New Roman" w:cs="Times New Roman" w:eastAsia="Times New Roman" w:hAnsi="Times New Roman"/>
                <w:sz w:val="13"/>
                <w:szCs w:val="13"/>
                <w:color w:val="auto"/>
              </w:rPr>
              <w:t>Operating activities</w:t>
            </w:r>
          </w:p>
        </w:tc>
        <w:tc>
          <w:tcPr>
            <w:tcW w:w="38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(58,077)</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230,794</w:t>
            </w:r>
          </w:p>
        </w:tc>
      </w:tr>
      <w:tr>
        <w:trPr>
          <w:trHeight w:val="30"/>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5000" w:type="dxa"/>
            <w:vAlign w:val="bottom"/>
            <w:tcBorders>
              <w:bottom w:val="single" w:sz="8" w:color="CCEEFF"/>
            </w:tcBorders>
            <w:shd w:val="clear" w:color="auto" w:fill="CCEEFF"/>
          </w:tcPr>
          <w:p>
            <w:pPr>
              <w:jc w:val="center"/>
              <w:ind w:right="3253"/>
              <w:spacing w:after="0"/>
              <w:rPr>
                <w:sz w:val="20"/>
                <w:szCs w:val="20"/>
                <w:color w:val="auto"/>
              </w:rPr>
            </w:pPr>
            <w:r>
              <w:rPr>
                <w:rFonts w:ascii="Times New Roman" w:cs="Times New Roman" w:eastAsia="Times New Roman" w:hAnsi="Times New Roman"/>
                <w:sz w:val="13"/>
                <w:szCs w:val="13"/>
                <w:color w:val="auto"/>
              </w:rPr>
              <w:t>Investing activities</w:t>
            </w:r>
          </w:p>
        </w:tc>
        <w:tc>
          <w:tcPr>
            <w:tcW w:w="382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156,481</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(299,464)</w:t>
            </w:r>
          </w:p>
        </w:tc>
      </w:tr>
      <w:tr>
        <w:trPr>
          <w:trHeight w:val="180"/>
        </w:trPr>
        <w:tc>
          <w:tcPr>
            <w:tcW w:w="5000" w:type="dxa"/>
            <w:vAlign w:val="bottom"/>
          </w:tcPr>
          <w:p>
            <w:pPr>
              <w:jc w:val="center"/>
              <w:ind w:right="3213"/>
              <w:spacing w:after="0"/>
              <w:rPr>
                <w:sz w:val="20"/>
                <w:szCs w:val="20"/>
                <w:color w:val="auto"/>
              </w:rPr>
            </w:pPr>
            <w:r>
              <w:rPr>
                <w:rFonts w:ascii="Times New Roman" w:cs="Times New Roman" w:eastAsia="Times New Roman" w:hAnsi="Times New Roman"/>
                <w:sz w:val="13"/>
                <w:szCs w:val="13"/>
                <w:color w:val="auto"/>
              </w:rPr>
              <w:t>Financing activities</w:t>
            </w:r>
          </w:p>
        </w:tc>
        <w:tc>
          <w:tcPr>
            <w:tcW w:w="382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371,036</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(24,101)</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Operating Activities</w:t>
      </w:r>
    </w:p>
    <w:p>
      <w:pPr>
        <w:spacing w:after="0" w:line="33" w:lineRule="exact"/>
        <w:rPr>
          <w:sz w:val="20"/>
          <w:szCs w:val="20"/>
          <w:color w:val="auto"/>
        </w:rPr>
      </w:pPr>
    </w:p>
    <w:p>
      <w:pPr>
        <w:ind w:right="360" w:firstLine="240"/>
        <w:spacing w:after="0" w:line="294" w:lineRule="auto"/>
        <w:rPr>
          <w:sz w:val="20"/>
          <w:szCs w:val="20"/>
          <w:color w:val="auto"/>
        </w:rPr>
      </w:pPr>
      <w:r>
        <w:rPr>
          <w:rFonts w:ascii="Times New Roman" w:cs="Times New Roman" w:eastAsia="Times New Roman" w:hAnsi="Times New Roman"/>
          <w:sz w:val="13"/>
          <w:szCs w:val="13"/>
          <w:color w:val="auto"/>
        </w:rPr>
        <w:t>Our net cash and cash equivalents provided by (used in) operating activities consists of net loss adjusted for certain non-cash items, including depreciation and amortization, foreign currency gains and losses, marketable securities gains and losses, provision for excess and obsolete inventory, and stock-based compensation, as well as changes in operating assets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0" w:name="page61"/>
    <w:bookmarkEnd w:id="6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3"/>
          <w:szCs w:val="13"/>
          <w:color w:val="auto"/>
        </w:rPr>
        <w:t>liabilities. The primary changes in working capital items, such as the changes in accounts receivable and deferred revenue, result from the difference in timing of payments from our customers related to Deployments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spacing w:after="0" w:line="5"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Net cash used in operating activities was $(58.1) million for the year ended September 28, 2024. Net cash used in operating activities was driven by our net loss of $(84.7) million, which was adjusted for non-cash items of $163.2 million, primarily consisting of $112.2 million stock-based compensation expense, $23.5 million depreciation and amortization, $33.3 million provision for excess and obsolete inventory, offset by $(10.1) million gain on investments. Changes in operating assets and liabilities from the prior fiscal year resulted in use of cash for operating assets and liabilities of $(136.6) million, and was mainly due to the timing of cash payments to vendors, cash receipts from customers, and the timing of invoicing to our customers.</w:t>
      </w:r>
    </w:p>
    <w:p>
      <w:pPr>
        <w:spacing w:after="0" w:line="11" w:lineRule="exact"/>
        <w:rPr>
          <w:sz w:val="20"/>
          <w:szCs w:val="20"/>
          <w:color w:val="auto"/>
        </w:rPr>
      </w:pPr>
    </w:p>
    <w:p>
      <w:pPr>
        <w:ind w:right="160" w:firstLine="240"/>
        <w:spacing w:after="0" w:line="266" w:lineRule="auto"/>
        <w:rPr>
          <w:sz w:val="20"/>
          <w:szCs w:val="20"/>
          <w:color w:val="auto"/>
        </w:rPr>
      </w:pPr>
      <w:r>
        <w:rPr>
          <w:rFonts w:ascii="Times New Roman" w:cs="Times New Roman" w:eastAsia="Times New Roman" w:hAnsi="Times New Roman"/>
          <w:sz w:val="13"/>
          <w:szCs w:val="13"/>
          <w:color w:val="auto"/>
        </w:rPr>
        <w:t>Net cash provided by operating activities was $230.8 million for the year ended September 30, 2023. Net cash provided by operating activities was due to our net loss of $(207.9) million adjusted for non-cash items of $186.1 million, primarily consisting of $154.2 million stock-based compensation expense, $11.3 million depreciation and amortization, $22.3 million provision for excess and obsolete inventory, offset by $(4.6) million deferred tax assets, net. Additionally, sources of cash provided by operating assets and liabilities of $252.6 million was due to the timing of cash payments to vendors and cash receipts from customers. Our cash provided by operating assets and liabilities was primarily attributable to an increase in cash receipts from customers as compared to the timing of costs incurred by us to fulfill the System installation performance obligation resulting from the increase in customer contracts and System installations in process during the year ended September 30, 2023.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Investing Activities</w:t>
      </w:r>
    </w:p>
    <w:p>
      <w:pPr>
        <w:spacing w:after="0" w:line="33" w:lineRule="exact"/>
        <w:rPr>
          <w:sz w:val="20"/>
          <w:szCs w:val="20"/>
          <w:color w:val="auto"/>
        </w:rPr>
      </w:pPr>
    </w:p>
    <w:p>
      <w:pPr>
        <w:ind w:right="360" w:firstLine="240"/>
        <w:spacing w:after="0" w:line="289" w:lineRule="auto"/>
        <w:rPr>
          <w:sz w:val="20"/>
          <w:szCs w:val="20"/>
          <w:color w:val="auto"/>
        </w:rPr>
      </w:pPr>
      <w:r>
        <w:rPr>
          <w:rFonts w:ascii="Times New Roman" w:cs="Times New Roman" w:eastAsia="Times New Roman" w:hAnsi="Times New Roman"/>
          <w:sz w:val="13"/>
          <w:szCs w:val="13"/>
          <w:color w:val="auto"/>
        </w:rPr>
        <w:t>Our investing activities have consisted primarily of property and equipment purchases, capitalization of internal use software development costs, purchases of marketable securities, and proceeds from maturities of marketable securities.</w:t>
      </w:r>
    </w:p>
    <w:p>
      <w:pPr>
        <w:spacing w:after="0" w:line="1" w:lineRule="exact"/>
        <w:rPr>
          <w:sz w:val="20"/>
          <w:szCs w:val="20"/>
          <w:color w:val="auto"/>
        </w:rPr>
      </w:pPr>
    </w:p>
    <w:p>
      <w:pPr>
        <w:ind w:right="180" w:firstLine="240"/>
        <w:spacing w:after="0" w:line="276" w:lineRule="auto"/>
        <w:rPr>
          <w:sz w:val="20"/>
          <w:szCs w:val="20"/>
          <w:color w:val="auto"/>
        </w:rPr>
      </w:pPr>
      <w:r>
        <w:rPr>
          <w:rFonts w:ascii="Times New Roman" w:cs="Times New Roman" w:eastAsia="Times New Roman" w:hAnsi="Times New Roman"/>
          <w:sz w:val="13"/>
          <w:szCs w:val="13"/>
          <w:color w:val="auto"/>
        </w:rPr>
        <w:t>Net cash and cash equivalents provided by investing activities for the year ended September 28, 2024 consisted of $42.2 million of purchased property and equipment. Additionally, during the year ended September 28, 2024, we purchased U.S. Treasury securities for $48.7 million, and received proceeds of $340.0 million upon the maturity of certain U.S. Treasury securities. We also acquired strategic investments of $90.5 million, which primarily consists of the investment we have made into the GreenBox VIE.</w:t>
      </w:r>
    </w:p>
    <w:p>
      <w:pPr>
        <w:spacing w:after="0" w:line="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Net cash and cash equivalents used in investing activities during the year ended September 30, 2023 consisted of $15.7 million of purchased property and equipment. Additionally, during the year ended September 30, 2023, we purchased U.S. Treasury securities for $408.2 million, and received proceeds of $130.0 million upon the maturity of certain U.S. Treasury securities. We also capitalized $5.6 million of internal use software development costs related to internal projects which are targeted to improve the capabilities of our System software.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Financing Activities</w:t>
      </w:r>
    </w:p>
    <w:p>
      <w:pPr>
        <w:spacing w:after="0" w:line="43" w:lineRule="exact"/>
        <w:rPr>
          <w:sz w:val="20"/>
          <w:szCs w:val="20"/>
          <w:color w:val="auto"/>
        </w:rPr>
      </w:pPr>
    </w:p>
    <w:p>
      <w:pPr>
        <w:ind w:right="80" w:firstLine="240"/>
        <w:spacing w:after="0" w:line="289" w:lineRule="auto"/>
        <w:rPr>
          <w:sz w:val="20"/>
          <w:szCs w:val="20"/>
          <w:color w:val="auto"/>
        </w:rPr>
      </w:pPr>
      <w:r>
        <w:rPr>
          <w:rFonts w:ascii="Times New Roman" w:cs="Times New Roman" w:eastAsia="Times New Roman" w:hAnsi="Times New Roman"/>
          <w:sz w:val="13"/>
          <w:szCs w:val="13"/>
          <w:color w:val="auto"/>
        </w:rPr>
        <w:t>Our financing activities typically consist of payments and proceeds related to our equity incentive plans for RSUs and our ESPP, and also include proceeds from the exercise of the vested warrants issued to Walmart as well as proceeds from equity financing transactions.</w:t>
      </w:r>
    </w:p>
    <w:p>
      <w:pPr>
        <w:spacing w:after="0" w:line="1"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For the year ended September 28, 2024, the cash provided by financing activities primarily consisted of proceeds of $258.0 million related to the issuance of Class A common stock upon completion of our equity financing in March 2024. Cash of $158.7 million was also received in December 2023 related to the gross exercise by Walmart of their vested Warrant Units. To offset the receipt of cash, we incurred a payment of $48.2 million related to distributions to Symbotic Holdings LLC partners. No other significant financing activities occurred during the year ended September 28, 2024.</w:t>
      </w:r>
    </w:p>
    <w:p>
      <w:pPr>
        <w:spacing w:after="0" w:line="5" w:lineRule="exact"/>
        <w:rPr>
          <w:sz w:val="20"/>
          <w:szCs w:val="20"/>
          <w:color w:val="auto"/>
        </w:rPr>
      </w:pPr>
    </w:p>
    <w:p>
      <w:pPr>
        <w:ind w:right="320" w:firstLine="240"/>
        <w:spacing w:after="0" w:line="294" w:lineRule="auto"/>
        <w:rPr>
          <w:sz w:val="20"/>
          <w:szCs w:val="20"/>
          <w:color w:val="auto"/>
        </w:rPr>
      </w:pPr>
      <w:r>
        <w:rPr>
          <w:rFonts w:ascii="Times New Roman" w:cs="Times New Roman" w:eastAsia="Times New Roman" w:hAnsi="Times New Roman"/>
          <w:sz w:val="13"/>
          <w:szCs w:val="13"/>
          <w:color w:val="auto"/>
        </w:rPr>
        <w:t>For the year ended September 30, 2023, we incurred a payment of $26.7 million for the taxes related to the net share settlement of stock-based compensation awards. We also received proceeds of $2.6 million from the issuance of common stock under our ESPP upon the expiration of the first two offering periods at the end of December 2022 and June 2023, respectively.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Contractual Obligations and Commitments and Liquidity Outlook</w:t>
      </w:r>
    </w:p>
    <w:p>
      <w:pPr>
        <w:spacing w:after="0" w:line="33" w:lineRule="exact"/>
        <w:rPr>
          <w:sz w:val="20"/>
          <w:szCs w:val="20"/>
          <w:color w:val="auto"/>
        </w:rPr>
      </w:pPr>
    </w:p>
    <w:p>
      <w:pPr>
        <w:ind w:right="60" w:firstLine="240"/>
        <w:spacing w:after="0" w:line="294" w:lineRule="auto"/>
        <w:rPr>
          <w:sz w:val="20"/>
          <w:szCs w:val="20"/>
          <w:color w:val="auto"/>
        </w:rPr>
      </w:pPr>
      <w:r>
        <w:rPr>
          <w:rFonts w:ascii="Times New Roman" w:cs="Times New Roman" w:eastAsia="Times New Roman" w:hAnsi="Times New Roman"/>
          <w:sz w:val="13"/>
          <w:szCs w:val="13"/>
          <w:color w:val="auto"/>
        </w:rPr>
        <w:t>Our cash flows from operations along with equity infusions have historically been sufficient to fund our operating activities and other cash requirements. As of September 28, 2024, we have a cash and cash equivalents balance of $727.3 million. Our cash requirements for the year ended September 28, 2024 were primarily related to capital expenditures,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61" w:name="page62"/>
    <w:bookmarkEnd w:id="6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3"/>
          <w:szCs w:val="13"/>
          <w:color w:val="auto"/>
        </w:rPr>
        <w:t>inventory purchases in order to deliver to our customers our Systems in an orderly manner in line with our installation timelines, and purchases of marketable securities in order to diversify the composition of our cash balance.</w:t>
      </w:r>
    </w:p>
    <w:p>
      <w:pPr>
        <w:spacing w:after="0" w:line="1"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 xml:space="preserve">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funding to GreenBox which we may be required to make based on contractual commitments to them (as further disclosed within Note 18, </w:t>
      </w:r>
      <w:r>
        <w:rPr>
          <w:rFonts w:ascii="Times New Roman" w:cs="Times New Roman" w:eastAsia="Times New Roman" w:hAnsi="Times New Roman"/>
          <w:sz w:val="13"/>
          <w:szCs w:val="13"/>
          <w:i w:val="1"/>
          <w:iCs w:val="1"/>
          <w:color w:val="auto"/>
        </w:rPr>
        <w:t>Variable Interest Entities</w:t>
      </w:r>
      <w:r>
        <w:rPr>
          <w:rFonts w:ascii="Times New Roman" w:cs="Times New Roman" w:eastAsia="Times New Roman" w:hAnsi="Times New Roman"/>
          <w:sz w:val="13"/>
          <w:szCs w:val="13"/>
          <w:color w:val="auto"/>
        </w:rPr>
        <w:t xml:space="preserv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30, 2023, and are disclosed within Note 7,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included elsewhere in this Annual Report on Form 10-K.</w:t>
      </w:r>
    </w:p>
    <w:p>
      <w:pPr>
        <w:spacing w:after="0" w:line="15"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3"/>
          <w:szCs w:val="13"/>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our current and long-term material cash requirements as of September 28, 2024 for our vendor commitments: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Payments due in:</w:t>
            </w:r>
          </w:p>
        </w:tc>
        <w:tc>
          <w:tcPr>
            <w:tcW w:w="1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0"/>
        </w:trPr>
        <w:tc>
          <w:tcPr>
            <w:tcW w:w="3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62"/>
              <w:spacing w:after="0"/>
              <w:rPr>
                <w:sz w:val="20"/>
                <w:szCs w:val="20"/>
                <w:color w:val="auto"/>
              </w:rPr>
            </w:pPr>
            <w:r>
              <w:rPr>
                <w:rFonts w:ascii="Times New Roman" w:cs="Times New Roman" w:eastAsia="Times New Roman" w:hAnsi="Times New Roman"/>
                <w:sz w:val="11"/>
                <w:szCs w:val="11"/>
                <w:b w:val="1"/>
                <w:bCs w:val="1"/>
                <w:color w:val="auto"/>
                <w:w w:val="97"/>
              </w:rPr>
              <w:t>Less than</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jc w:val="center"/>
              <w:ind w:right="222"/>
              <w:spacing w:after="0"/>
              <w:rPr>
                <w:sz w:val="20"/>
                <w:szCs w:val="20"/>
                <w:color w:val="auto"/>
              </w:rPr>
            </w:pPr>
            <w:r>
              <w:rPr>
                <w:rFonts w:ascii="Times New Roman" w:cs="Times New Roman" w:eastAsia="Times New Roman" w:hAnsi="Times New Roman"/>
                <w:sz w:val="11"/>
                <w:szCs w:val="11"/>
                <w:b w:val="1"/>
                <w:bCs w:val="1"/>
                <w:color w:val="auto"/>
                <w:w w:val="96"/>
              </w:rPr>
              <w:t>More than</w:t>
            </w:r>
          </w:p>
        </w:tc>
      </w:tr>
      <w:tr>
        <w:trPr>
          <w:trHeight w:val="160"/>
        </w:trPr>
        <w:tc>
          <w:tcPr>
            <w:tcW w:w="3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1"/>
                <w:szCs w:val="11"/>
                <w:b w:val="1"/>
                <w:bCs w:val="1"/>
                <w:color w:val="auto"/>
                <w:w w:val="88"/>
              </w:rPr>
              <w:t>1 Year</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w w:val="93"/>
              </w:rPr>
              <w:t>1-3 Years</w:t>
            </w: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116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1"/>
                <w:szCs w:val="11"/>
                <w:b w:val="1"/>
                <w:bCs w:val="1"/>
                <w:color w:val="auto"/>
                <w:w w:val="94"/>
              </w:rPr>
              <w:t>5 Years</w:t>
            </w:r>
          </w:p>
        </w:tc>
      </w:tr>
      <w:tr>
        <w:trPr>
          <w:trHeight w:val="160"/>
        </w:trPr>
        <w:tc>
          <w:tcPr>
            <w:tcW w:w="3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w w:val="95"/>
              </w:rPr>
              <w:t>(in thousands)</w:t>
            </w:r>
          </w:p>
        </w:tc>
        <w:tc>
          <w:tcPr>
            <w:tcW w:w="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Vendor commitments</w:t>
            </w: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1,286,282</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1,206,331</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79,951</w:t>
            </w: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  $</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3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45" w:lineRule="exact"/>
        <w:rPr>
          <w:sz w:val="20"/>
          <w:szCs w:val="20"/>
          <w:color w:val="auto"/>
        </w:rPr>
      </w:pPr>
    </w:p>
    <w:p>
      <w:pPr>
        <w:ind w:right="80" w:firstLine="240"/>
        <w:spacing w:after="0" w:line="264" w:lineRule="auto"/>
        <w:rPr>
          <w:sz w:val="20"/>
          <w:szCs w:val="20"/>
          <w:color w:val="auto"/>
        </w:rPr>
      </w:pPr>
      <w:r>
        <w:rPr>
          <w:rFonts w:ascii="Times New Roman" w:cs="Times New Roman" w:eastAsia="Times New Roman" w:hAnsi="Times New Roman"/>
          <w:sz w:val="13"/>
          <w:szCs w:val="13"/>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15" w:lineRule="exact"/>
        <w:rPr>
          <w:sz w:val="20"/>
          <w:szCs w:val="20"/>
          <w:color w:val="auto"/>
        </w:rPr>
      </w:pPr>
    </w:p>
    <w:p>
      <w:pPr>
        <w:ind w:right="60" w:firstLine="240"/>
        <w:spacing w:after="0" w:line="294" w:lineRule="auto"/>
        <w:rPr>
          <w:sz w:val="20"/>
          <w:szCs w:val="20"/>
          <w:color w:val="auto"/>
        </w:rPr>
      </w:pPr>
      <w:r>
        <w:rPr>
          <w:rFonts w:ascii="Times New Roman" w:cs="Times New Roman" w:eastAsia="Times New Roman" w:hAnsi="Times New Roman"/>
          <w:sz w:val="13"/>
          <w:szCs w:val="13"/>
          <w:color w:val="auto"/>
        </w:rPr>
        <w:t>We believe that the assumptions and estimates associated with the following critical accounting policies involve significant judgment and thus have the most significant potential impact on our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Revenue Recognition</w:t>
      </w:r>
    </w:p>
    <w:p>
      <w:pPr>
        <w:spacing w:after="0" w:line="31" w:lineRule="exact"/>
        <w:rPr>
          <w:sz w:val="20"/>
          <w:szCs w:val="20"/>
          <w:color w:val="auto"/>
        </w:rPr>
      </w:pPr>
    </w:p>
    <w:p>
      <w:pPr>
        <w:ind w:right="400" w:firstLine="240"/>
        <w:spacing w:after="0" w:line="262" w:lineRule="auto"/>
        <w:rPr>
          <w:sz w:val="20"/>
          <w:szCs w:val="20"/>
          <w:color w:val="auto"/>
        </w:rPr>
      </w:pPr>
      <w:r>
        <w:rPr>
          <w:rFonts w:ascii="Times New Roman" w:cs="Times New Roman" w:eastAsia="Times New Roman" w:hAnsi="Times New Roman"/>
          <w:sz w:val="13"/>
          <w:szCs w:val="13"/>
          <w:color w:val="auto"/>
        </w:rPr>
        <w:t xml:space="preserve">We generate revenue from the sale of products and services. A description of our revenue recognition policies is included in the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 xml:space="preserve"> in the Notes to the Consolidated Financial Statements included elsewhere in this Annual Report on Form 10-K.</w:t>
      </w:r>
    </w:p>
    <w:p>
      <w:pPr>
        <w:ind w:right="40"/>
        <w:spacing w:after="0" w:line="245" w:lineRule="auto"/>
        <w:rPr>
          <w:sz w:val="20"/>
          <w:szCs w:val="20"/>
          <w:color w:val="auto"/>
        </w:rPr>
      </w:pPr>
      <w:r>
        <w:rPr>
          <w:rFonts w:ascii="Times New Roman" w:cs="Times New Roman" w:eastAsia="Times New Roman" w:hAnsi="Times New Roman"/>
          <w:sz w:val="13"/>
          <w:szCs w:val="13"/>
          <w:color w:val="auto"/>
        </w:rPr>
        <w:t>Although most of our sales agreements contain standard terms and conditions, certain agreements contain multiple performance obligations or non-standard terms and conditions. For customer contracts that contain more than one performance obligation, we allocate the total transaction consideration to each performance obligation based on the relative stand-alone selling price of each performance obligation within the contract. To determine stand-alone selling price, we maximize the use of observable standalone sales and observable data, where available. When there is an insufficient history of standalone sales, we use judgment to estimate the standalone selling price. These estimates leverage available information that may include other observable inputs or use the expected cost-plus margin approach to estimate the price we would charge if the products and services were sold separately. We rely on either observable standalone sales or an expected cost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2" w:name="page63"/>
    <w:bookmarkEnd w:id="6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plus a margin approach to determine the standalone selling price of offerings, depending on the nature of the performance obligation.</w:t>
      </w:r>
    </w:p>
    <w:p>
      <w:pPr>
        <w:spacing w:after="0" w:line="49" w:lineRule="exact"/>
        <w:rPr>
          <w:sz w:val="20"/>
          <w:szCs w:val="20"/>
          <w:color w:val="auto"/>
        </w:rPr>
      </w:pPr>
    </w:p>
    <w:p>
      <w:pPr>
        <w:ind w:right="20" w:firstLine="240"/>
        <w:spacing w:after="0" w:line="261" w:lineRule="auto"/>
        <w:rPr>
          <w:sz w:val="20"/>
          <w:szCs w:val="20"/>
          <w:color w:val="auto"/>
        </w:rPr>
      </w:pPr>
      <w:r>
        <w:rPr>
          <w:rFonts w:ascii="Times New Roman" w:cs="Times New Roman" w:eastAsia="Times New Roman" w:hAnsi="Times New Roman"/>
          <w:sz w:val="13"/>
          <w:szCs w:val="13"/>
          <w:color w:val="auto"/>
        </w:rPr>
        <w:t xml:space="preserve">As we further discuss in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 xml:space="preserve"> in the Notes to the Consolidated Financial Statements included elsewhere in this Annual Report on Form 10-K, for the majority of contracts with customers entered into, revenue from the sales of our Systems is recognized over time as the asset created by our performance does not have alternative use to us and an enforceable right to payment for performance completed to date is present. We recognize revenue as work progresses, using costs incurred to date relative to total estimated costs at completion. Incurred costs represent work performed, which correspond with and best depict transfer of control to the customer. Contract costs are incurred over a period of time, which can span multiple years, and the estimation of these costs requires management’s judgment. Due to the nature of the work required to be performed on the Systems and our reliance on the availability and cost of materials required to be procured from third party vendors to build our Systems, the estimation of total revenue and cost at completion is complex, subject to many variables, and requires significant judgment on a contract-by-contract basis. As part of this process, we review information including, but not limited to, any outstanding key contract matters, progress towards completion and the related program schedule, identified risks and opportunities and the related changes in estimates of revenue and costs. The risks and opportunities relate to our judgment about the installation delays or performance issues that may or may not be within our control. Risks and opportunities may also relate to supply chain trends and commodity pricing, as well as changes in foreign currencies.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of more of our performance obligations and could have a material impact on our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Stock-based Compensation</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Prior to the Business Combination, we had authorized five classes of membership interests, consisting of a class of common units known as the Class A Common Units (the “Class A Units”), a class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preferred units known as the Class B Preferred Units (the “Class B Units”), a class of preferred units known as the Class B-1 Preferred Units (the “Class B-1 Units”), a class of preferred units known as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Class B-2 Preferred Units (the “Class B-2 Units”, and together with the Class B Units and the Class B-1 Units, the “Preferred Units”) and an additional class of common units to be granted to employees, officers,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directors pursuant to an incentive plan, known as the Class C Common Units (the “Class C Units” and, together with the Class A Units, the “Common Units,” and the Common Units together with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Preferred Units, the “Units”).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Following the Business Combination, we have three classes of common stock, Class A Common Stock, Class V-1 Common Stock, and Class V-3 Common Stock.</w:t>
      </w:r>
    </w:p>
    <w:p>
      <w:pPr>
        <w:spacing w:after="0" w:line="51" w:lineRule="exact"/>
        <w:rPr>
          <w:sz w:val="20"/>
          <w:szCs w:val="20"/>
          <w:color w:val="auto"/>
        </w:rPr>
      </w:pPr>
    </w:p>
    <w:p>
      <w:pPr>
        <w:ind w:right="100" w:firstLine="240"/>
        <w:spacing w:after="0" w:line="266" w:lineRule="auto"/>
        <w:rPr>
          <w:sz w:val="20"/>
          <w:szCs w:val="20"/>
          <w:color w:val="auto"/>
        </w:rPr>
      </w:pPr>
      <w:r>
        <w:rPr>
          <w:rFonts w:ascii="Times New Roman" w:cs="Times New Roman" w:eastAsia="Times New Roman" w:hAnsi="Times New Roman"/>
          <w:sz w:val="13"/>
          <w:szCs w:val="13"/>
          <w:color w:val="auto"/>
        </w:rPr>
        <w:t>As the Business Combination is accounted for as a reverse recapitalization, all periods prior to the Business Combination have been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24,041,300.00 per share, and the Class C Units were converted into Common Stock using an exchange ratio of 58.15 per share. This is presented within the consolidated statements of changes in redeemable preferred and common units and equity (deficit).</w:t>
      </w:r>
    </w:p>
    <w:p>
      <w:pPr>
        <w:spacing w:after="0" w:line="13" w:lineRule="exact"/>
        <w:rPr>
          <w:sz w:val="20"/>
          <w:szCs w:val="20"/>
          <w:color w:val="auto"/>
        </w:rPr>
      </w:pPr>
    </w:p>
    <w:p>
      <w:pPr>
        <w:jc w:val="both"/>
        <w:ind w:right="160" w:firstLine="240"/>
        <w:spacing w:after="0" w:line="276" w:lineRule="auto"/>
        <w:rPr>
          <w:sz w:val="20"/>
          <w:szCs w:val="20"/>
          <w:color w:val="auto"/>
        </w:rPr>
      </w:pPr>
      <w:r>
        <w:rPr>
          <w:rFonts w:ascii="Times New Roman" w:cs="Times New Roman" w:eastAsia="Times New Roman" w:hAnsi="Times New Roman"/>
          <w:sz w:val="13"/>
          <w:szCs w:val="13"/>
          <w:color w:val="auto"/>
        </w:rPr>
        <w:t>We typically issue restricted stock units (“RSUs”) as stock-based compensation. For RSUs, the fair value is the closing stock price on the grant date. We recognize compensation expense over the requisite service period for awards expected to vest. We account for forfeitures as they occur, rather than applying an estimated forfeiture rate. The graded-vesting method of expense recognition is applied to all awards with service-only conditions.</w:t>
      </w:r>
    </w:p>
    <w:p>
      <w:pPr>
        <w:spacing w:after="0" w:line="5" w:lineRule="exact"/>
        <w:rPr>
          <w:sz w:val="20"/>
          <w:szCs w:val="20"/>
          <w:color w:val="auto"/>
        </w:rPr>
      </w:pPr>
    </w:p>
    <w:p>
      <w:pPr>
        <w:ind w:right="160" w:firstLine="240"/>
        <w:spacing w:after="0" w:line="266" w:lineRule="auto"/>
        <w:rPr>
          <w:sz w:val="20"/>
          <w:szCs w:val="20"/>
          <w:color w:val="auto"/>
        </w:rPr>
      </w:pPr>
      <w:r>
        <w:rPr>
          <w:rFonts w:ascii="Times New Roman" w:cs="Times New Roman" w:eastAsia="Times New Roman" w:hAnsi="Times New Roman"/>
          <w:sz w:val="13"/>
          <w:szCs w:val="13"/>
          <w:color w:val="auto"/>
        </w:rPr>
        <w:t>Certain RSUs involve stock to be issued upon the achievement of certain performance conditions. Such RSUs become available, subject to time-based vesting conditions if, and to the extent that, financial performance criteria for the applicable period are achieved. Accordingly, the number of RSUs earned will vary based on the level of achievement of financial performance objectives for the applicable period. Until such time that our financial performance can ultimately be determined, each quarter we estimate the number of RSUs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stock-based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3" w:name="page64"/>
    <w:bookmarkEnd w:id="6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 expense associated with performance-based RSUs may differ significantly from the amount recorded in the current period.</w:t>
      </w:r>
    </w:p>
    <w:p>
      <w:pPr>
        <w:spacing w:after="0" w:line="51" w:lineRule="exact"/>
        <w:rPr>
          <w:sz w:val="20"/>
          <w:szCs w:val="20"/>
          <w:color w:val="auto"/>
        </w:rPr>
      </w:pPr>
    </w:p>
    <w:p>
      <w:pPr>
        <w:ind w:right="320" w:firstLine="240"/>
        <w:spacing w:after="0" w:line="289" w:lineRule="auto"/>
        <w:rPr>
          <w:sz w:val="20"/>
          <w:szCs w:val="20"/>
          <w:color w:val="auto"/>
        </w:rPr>
      </w:pPr>
      <w:r>
        <w:rPr>
          <w:rFonts w:ascii="Times New Roman" w:cs="Times New Roman" w:eastAsia="Times New Roman" w:hAnsi="Times New Roman"/>
          <w:sz w:val="13"/>
          <w:szCs w:val="13"/>
          <w:color w:val="auto"/>
        </w:rPr>
        <w:t>The assumptions used in calculating the fair value of stock-based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As there was no public market for our common units prior to the Business Combination, the estimated fair value of our Class C Units had been determined based on enterprise valuations performed by management with the assistance of a third-party valuation firm. The third-party valuations of our common units were prepared in accordance with the American Institute of Certified Public Accountants’ Accounting and Valuation Guide, Valuation of Privately-Held-Company Equity Securities Issued as Compensation (the “Practice Guide”),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accordance with the Practice Guide, the following methods of valuation were considered:</w:t>
      </w:r>
    </w:p>
    <w:p>
      <w:pPr>
        <w:spacing w:after="0" w:line="49" w:lineRule="exact"/>
        <w:rPr>
          <w:sz w:val="20"/>
          <w:szCs w:val="20"/>
          <w:color w:val="auto"/>
        </w:rPr>
      </w:pPr>
    </w:p>
    <w:p>
      <w:pPr>
        <w:ind w:left="720" w:right="20" w:hanging="239"/>
        <w:spacing w:after="0" w:line="265" w:lineRule="auto"/>
        <w:tabs>
          <w:tab w:leader="none" w:pos="71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Option Pricing Method (“OPM”) </w:t>
      </w:r>
      <w:r>
        <w:rPr>
          <w:rFonts w:ascii="Times New Roman" w:cs="Times New Roman" w:eastAsia="Times New Roman" w:hAnsi="Times New Roman"/>
          <w:sz w:val="13"/>
          <w:szCs w:val="13"/>
          <w:color w:val="auto"/>
        </w:rPr>
        <w:t>– The OPM estimates the value of the common equity using the various inputs in the Black-Scholes option pricing model. The OPM treats the rights of the holders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common units as equivalent to that of call options on any value of the enterprise above certain break points of value based upon the liquidation preferences of the holders of our preferred units, as well as their rights to participation. Thus, the value of the common units can be determined by estimating the value of its portion of each of these call option rights. Under this method, the common units have value only if the funds available for distribution to the common unitholders exceed the value of the liquidation preferences of the preferred unitholders at the time of a liquidity event, such as a merger or sale. Given that the common unit represents a non-marketable equity interest in a private enterprise, an adjustment to the preliminary value estimates is made to account for the lack of liquidity that a unitholder experiences. This adjustment is commonly referred to as a discount for lack of marketability.</w:t>
      </w:r>
    </w:p>
    <w:p>
      <w:pPr>
        <w:spacing w:after="0" w:line="11" w:lineRule="exact"/>
        <w:rPr>
          <w:rFonts w:ascii="Times New Roman" w:cs="Times New Roman" w:eastAsia="Times New Roman" w:hAnsi="Times New Roman"/>
          <w:sz w:val="13"/>
          <w:szCs w:val="13"/>
          <w:color w:val="auto"/>
        </w:rPr>
      </w:pPr>
    </w:p>
    <w:p>
      <w:pPr>
        <w:ind w:left="720" w:right="480" w:hanging="239"/>
        <w:spacing w:after="0" w:line="289" w:lineRule="auto"/>
        <w:tabs>
          <w:tab w:leader="none" w:pos="71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Probability-Weighted Expected Return Method (“PWERM”) </w:t>
      </w:r>
      <w:r>
        <w:rPr>
          <w:rFonts w:ascii="Times New Roman" w:cs="Times New Roman" w:eastAsia="Times New Roman" w:hAnsi="Times New Roman"/>
          <w:sz w:val="13"/>
          <w:szCs w:val="13"/>
          <w:color w:val="auto"/>
        </w:rPr>
        <w:t>– The PWERM is a scenario-based analysis that estimates the value per unit based on the probability-weighted present value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expected future investment returns, considering each of the possible outcomes considered by us, as well as the economic and control rights of each class of units.</w:t>
      </w:r>
    </w:p>
    <w:p>
      <w:pPr>
        <w:ind w:left="720" w:right="120" w:hanging="239"/>
        <w:spacing w:after="0" w:line="291" w:lineRule="auto"/>
        <w:tabs>
          <w:tab w:leader="none" w:pos="71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Hybrid Method (“Hybrid Method”) </w:t>
      </w:r>
      <w:r>
        <w:rPr>
          <w:rFonts w:ascii="Times New Roman" w:cs="Times New Roman" w:eastAsia="Times New Roman" w:hAnsi="Times New Roman"/>
          <w:sz w:val="13"/>
          <w:szCs w:val="13"/>
          <w:color w:val="auto"/>
        </w:rPr>
        <w:t>– The Hybrid Method is a weighted-average method that combines elements of both the OPM and PWERM methods. Weighting allocations are assigned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OPM and PWERM methods factoring in possible future liquidity events.</w:t>
      </w:r>
    </w:p>
    <w:p>
      <w:pPr>
        <w:ind w:firstLine="240"/>
        <w:spacing w:after="0" w:line="264" w:lineRule="auto"/>
        <w:rPr>
          <w:sz w:val="20"/>
          <w:szCs w:val="20"/>
          <w:color w:val="auto"/>
        </w:rPr>
      </w:pPr>
      <w:r>
        <w:rPr>
          <w:rFonts w:ascii="Times New Roman" w:cs="Times New Roman" w:eastAsia="Times New Roman" w:hAnsi="Times New Roman"/>
          <w:sz w:val="13"/>
          <w:szCs w:val="13"/>
          <w:color w:val="auto"/>
        </w:rPr>
        <w:t>The OPM was utilized for the independent third-party valuation of our Class C Units as of September 26, 2020. Subsequently, because of our improved visibility into the timing of a potential initial public offering (“IPO”), the Hybrid Method was utilized for the independent third-party valuation of our Class C Units beginning in the third fiscal quarter of 2021. Equity value for each liquidity event scenario utilized under the Hybrid Method valuation was weighted based on a probability of each event’s occurrence. In our Hybrid Method, two types of future event scenarios were considered: an IPO and a non-IPO scenario accounting for all other potential future exits. Under both scenarios, the enterprise value was determined using a combination of the income approach, specifically a discounted cash flow analysis, and the market approach, specifically the similar transactions method and public company market multiple method.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w:t>
      </w:r>
    </w:p>
    <w:p>
      <w:pPr>
        <w:spacing w:after="0" w:line="15"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3"/>
          <w:szCs w:val="13"/>
          <w:color w:val="auto"/>
        </w:rPr>
        <w:t>As the Class C Units contained a redemption feature outside of our control, the Class C Units were classified outside of permanent members’ deficit and the carrying value of Class C Units was adjusted to redemption value at each reporting period through a charge to members’ deficit (until such time as the Class C Units were redeemed or forfeited). As noted above, in connection with the Business Combination, the Class C Units were converted into Common Stock using an exchange ratio of 58.15 per share.</w:t>
      </w:r>
    </w:p>
    <w:p>
      <w:pPr>
        <w:spacing w:after="0" w:line="5" w:lineRule="exact"/>
        <w:rPr>
          <w:sz w:val="20"/>
          <w:szCs w:val="20"/>
          <w:color w:val="auto"/>
        </w:rPr>
      </w:pPr>
    </w:p>
    <w:p>
      <w:pPr>
        <w:ind w:right="240" w:firstLine="240"/>
        <w:spacing w:after="0" w:line="294" w:lineRule="auto"/>
        <w:rPr>
          <w:sz w:val="20"/>
          <w:szCs w:val="20"/>
          <w:color w:val="auto"/>
        </w:rPr>
      </w:pPr>
      <w:r>
        <w:rPr>
          <w:rFonts w:ascii="Times New Roman" w:cs="Times New Roman" w:eastAsia="Times New Roman" w:hAnsi="Times New Roman"/>
          <w:sz w:val="13"/>
          <w:szCs w:val="13"/>
          <w:color w:val="auto"/>
        </w:rPr>
        <w:t>Value Appreciation Units (“VAP Units”) may be exercised for a cash payment equal to the appreciation in the fair market value of 1/100th of a Class C Unit and are subject to three exercisability triggers before any vested award may be exercised, with the achievement of each trigger allowing one third of the vested award to be exercised. Because the VAP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4" w:name="page65"/>
    <w:bookmarkEnd w:id="6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3"/>
          <w:szCs w:val="13"/>
          <w:color w:val="auto"/>
        </w:rPr>
        <w:t xml:space="preserve">Units are settleable in cash, they are treated as liability classified awards. Accordingly, the carrying value of the liability is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In the fourth quarter of fiscal year 2022, all outstanding VAP Units were converted into restricted stock units, and treated as a modification in accordance with ASC 718, </w:t>
      </w:r>
      <w:r>
        <w:rPr>
          <w:rFonts w:ascii="Times New Roman" w:cs="Times New Roman" w:eastAsia="Times New Roman" w:hAnsi="Times New Roman"/>
          <w:sz w:val="13"/>
          <w:szCs w:val="13"/>
          <w:i w:val="1"/>
          <w:iCs w:val="1"/>
          <w:color w:val="auto"/>
        </w:rPr>
        <w:t>Compensation - Stock Compensation</w:t>
      </w:r>
      <w:r>
        <w:rPr>
          <w:rFonts w:ascii="Times New Roman" w:cs="Times New Roman" w:eastAsia="Times New Roman" w:hAnsi="Times New Roman"/>
          <w:sz w:val="13"/>
          <w:szCs w:val="13"/>
          <w:color w:val="auto"/>
        </w:rPr>
        <w:t>, which resulted in a charge to additional paid-in capital of $24.4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Warrant Transactions</w:t>
      </w:r>
    </w:p>
    <w:p>
      <w:pPr>
        <w:spacing w:after="0" w:line="31" w:lineRule="exact"/>
        <w:rPr>
          <w:sz w:val="20"/>
          <w:szCs w:val="20"/>
          <w:color w:val="auto"/>
        </w:rPr>
      </w:pPr>
    </w:p>
    <w:p>
      <w:pPr>
        <w:ind w:right="120" w:firstLine="240"/>
        <w:spacing w:after="0" w:line="277" w:lineRule="auto"/>
        <w:rPr>
          <w:sz w:val="20"/>
          <w:szCs w:val="20"/>
          <w:color w:val="auto"/>
        </w:rPr>
      </w:pPr>
      <w:r>
        <w:rPr>
          <w:rFonts w:ascii="Times New Roman" w:cs="Times New Roman" w:eastAsia="Times New Roman" w:hAnsi="Times New Roman"/>
          <w:sz w:val="13"/>
          <w:szCs w:val="13"/>
          <w:color w:val="auto"/>
        </w:rPr>
        <w:t>Warrants to purchase units accounted for as equity instruments represent the warrants issued to Walmart and Sunlight as discussed in Note 21, Stock</w:t>
      </w:r>
      <w:r>
        <w:rPr>
          <w:rFonts w:ascii="Times New Roman" w:cs="Times New Roman" w:eastAsia="Times New Roman" w:hAnsi="Times New Roman"/>
          <w:sz w:val="13"/>
          <w:szCs w:val="13"/>
          <w:i w:val="1"/>
          <w:iCs w:val="1"/>
          <w:color w:val="auto"/>
        </w:rPr>
        <w:t>-Based Compensation and Warrant Units</w:t>
      </w:r>
      <w:r>
        <w:rPr>
          <w:rFonts w:ascii="Times New Roman" w:cs="Times New Roman" w:eastAsia="Times New Roman" w:hAnsi="Times New Roman"/>
          <w:sz w:val="13"/>
          <w:szCs w:val="13"/>
          <w:color w:val="auto"/>
        </w:rPr>
        <w:t>. We have previously adopted Financial Accounting Standards Board’s (“FASB”) Accounting Standards Update 2019-08, Compensation—Stock Compensation (Topic 718) and Revenue from Contracts with Customers (Topic 606) (“ASU 2019-08”), which requires entities to measure and classify share-based payment awards granted to a customer by applying the guidance under Topic 718.</w:t>
      </w:r>
    </w:p>
    <w:p>
      <w:pPr>
        <w:spacing w:after="0" w:line="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In order to calculate warrant charges, we utilized both the Monte Carlo simulation model and the Black-Scholes pricing model, which required key inputs including volatility and risk-free interest rate and certain unobservable inputs for which there is little or no market data, requiring us to develop our own assumptions. We estimated the fair value of unvested warrants, considered to be probable of vesting, at the time. Based on that estimated fair value, we determined warrant charges, which are recorded as a reduction of the transaction price.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Income Taxes</w:t>
      </w:r>
    </w:p>
    <w:p>
      <w:pPr>
        <w:spacing w:after="0" w:line="43"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Deferred tax assets are reduced by a valuation allowance when we believe that it is more-likely- than-not that some portion or all of the deferred tax assets will not be realized. Significant judgment is required in estimating valuation allowances for deferred tax assets. The realization of a deferred tax asset ultimately depends on the existence of sufficient taxable income in the applicable carryback or carryforward periods. We consider the nature, frequency, and severity of current and cumulative losses as well as the reversal of existing deferred tax liabilities, historical and forecasted taxable income (exclusive of reversing temporary differences and carryforwards) in our assessment. In evaluating such projections, we consider our history of profitability and cumulative earnings/losses, the competitive environment, and general economic conditions. In addition, we consider the timeframe over which it would take to utilize the deferred tax assets prior to their expiration. To the extent we determine that, based on the weight of available evidence, all or a portion of our valuation allowance is no longer necessary, we will recognize the change in the period such determination occurs. It is possible that such change to our valuation allowance could have a material impact on our consolidated results of operations and/or financial position.</w:t>
      </w:r>
    </w:p>
    <w:p>
      <w:pPr>
        <w:spacing w:after="0" w:line="15" w:lineRule="exact"/>
        <w:rPr>
          <w:sz w:val="20"/>
          <w:szCs w:val="20"/>
          <w:color w:val="auto"/>
        </w:rPr>
      </w:pPr>
    </w:p>
    <w:p>
      <w:pPr>
        <w:jc w:val="both"/>
        <w:ind w:right="100" w:firstLine="240"/>
        <w:spacing w:after="0" w:line="276" w:lineRule="auto"/>
        <w:rPr>
          <w:sz w:val="20"/>
          <w:szCs w:val="20"/>
          <w:color w:val="auto"/>
        </w:rPr>
      </w:pPr>
      <w:r>
        <w:rPr>
          <w:rFonts w:ascii="Times New Roman" w:cs="Times New Roman" w:eastAsia="Times New Roman" w:hAnsi="Times New Roman"/>
          <w:sz w:val="13"/>
          <w:szCs w:val="13"/>
          <w:color w:val="auto"/>
        </w:rPr>
        <w:t>Changes in existing tax laws or rates could affect our actual tax results, and future business results may affect the amount of our deferred tax liabilities or the valuation of our deferred tax assets over time. Due to uncertainties in the estimation process, particularly with respect to changes in facts and circumstances in future reporting periods, it is possible that actual results could differ from the estimates used in previous analyses. Differences between the anticipated and actual outcomes of these future results could have a material impact on our consolidated results of operations and/or financial position.</w:t>
      </w:r>
    </w:p>
    <w:p>
      <w:pPr>
        <w:spacing w:after="0" w:line="5"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ASC 740 prescribes a two-step approach for the recognition and measurement of tax benefits associated with the positions taken or expected to be taken in a tax return that affect amounts reported in the financial statements. We have reviewed and will continue to review the conclusions reached regarding uncertain tax positions, which may be subject to review and adjustment at a later date based on ongoing analyses of tax laws, regulations and interpretations thereof. To the extent that our assessment of the conclusions reached regarding uncertain tax positions changes as a result of the evaluation of new information, such change in estimate will be recorded in the period in which such determination is made. We report income tax-related interest and penalties relating to uncertain tax positions, if applicable, as a component of income tax expense.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Receivable Agreement</w:t>
      </w:r>
    </w:p>
    <w:p>
      <w:pPr>
        <w:spacing w:after="0" w:line="33"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We entered into the TRA with Legacy Warehouse Holders that provides for the payment by the Company to the Legacy Warehouse Holders of 85% of the benefits, if any, that the Company realizes, or is deemed to realize (calculated using certain assumptions),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us as a result of payments under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00"/>
          </w:cols>
          <w:pgMar w:left="300" w:top="177" w:right="399" w:bottom="1440" w:gutter="0" w:footer="0" w:header="0"/>
        </w:sectPr>
      </w:pPr>
    </w:p>
    <w:bookmarkStart w:id="65" w:name="page66"/>
    <w:bookmarkEnd w:id="6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Tax Receivable Agreement. We record liabilities for amounts payable under the TRA in the period in which the payment is deemed to be probable.</w:t>
      </w:r>
    </w:p>
    <w:p>
      <w:pPr>
        <w:spacing w:after="0" w:line="51"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Payments made under the TRA represent payments that otherwise would have been made to taxing authorities in the absence of attributes obtained by us as a result of exchanges by the Legacy Warehouse Holders. Such amounts will be paid only when a cash tax savings is realized as a result of attributes subject to the TRA. That is, payments under the TRA are only expected to be made in periods following the filing of a tax return in which we are able to utilize certain tax benefits to reduce our cash taxes paid to a taxing authority. Amounts payable under the TRA are contingent upon, among other things, the generation of future taxable income. The projection of future taxable income involves significant judgment. In projecting future taxable income, we consider our historical results and incorporate certain assumptions including our growth rate and the amount, character, and timing of the taxable income in the future. Actual taxable income may differ from our estimates, which could significantly impact the liability under the TRA. The impact of any changes in the projected obligations under the TRA as a result of changes in the geographic mix of our earnings, changes in tax legislation and tax rates or other factors that may impact our tax savings will be reflected in income before taxes on the Consolidated Statements of Operations in the period in which the change occurs.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September 28, 2024, we had no off-balance sheet arrangements as defined in Instruction 8 to Item 303(b) of Regulation 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Recently Adopted Accounting Pronouncements</w:t>
      </w:r>
    </w:p>
    <w:p>
      <w:pPr>
        <w:spacing w:after="0" w:line="45" w:lineRule="exact"/>
        <w:rPr>
          <w:sz w:val="20"/>
          <w:szCs w:val="20"/>
          <w:color w:val="auto"/>
        </w:rPr>
      </w:pPr>
    </w:p>
    <w:p>
      <w:pPr>
        <w:ind w:right="1300" w:firstLine="240"/>
        <w:spacing w:after="0" w:line="329" w:lineRule="auto"/>
        <w:rPr>
          <w:sz w:val="20"/>
          <w:szCs w:val="20"/>
          <w:color w:val="auto"/>
        </w:rPr>
      </w:pPr>
      <w:r>
        <w:rPr>
          <w:rFonts w:ascii="Times New Roman" w:cs="Times New Roman" w:eastAsia="Times New Roman" w:hAnsi="Times New Roman"/>
          <w:sz w:val="13"/>
          <w:szCs w:val="13"/>
          <w:color w:val="auto"/>
        </w:rPr>
        <w:t xml:space="preserve">See Note 2 to the accompanying consolidated financial statements included elsewhere in this Annual Report on Form 10-K for a description of recently adopted accounting standards. </w:t>
      </w:r>
      <w:r>
        <w:rPr>
          <w:rFonts w:ascii="Times New Roman" w:cs="Times New Roman" w:eastAsia="Times New Roman" w:hAnsi="Times New Roman"/>
          <w:sz w:val="13"/>
          <w:szCs w:val="13"/>
          <w:b w:val="1"/>
          <w:bCs w:val="1"/>
          <w:color w:val="auto"/>
        </w:rPr>
        <w:t>Recently Issued Accounting Pronouncements</w:t>
      </w:r>
    </w:p>
    <w:p>
      <w:pPr>
        <w:spacing w:after="0" w:line="1" w:lineRule="exact"/>
        <w:rPr>
          <w:sz w:val="20"/>
          <w:szCs w:val="20"/>
          <w:color w:val="auto"/>
        </w:rPr>
      </w:pPr>
    </w:p>
    <w:p>
      <w:pPr>
        <w:ind w:firstLine="240"/>
        <w:spacing w:after="0" w:line="286" w:lineRule="auto"/>
        <w:rPr>
          <w:sz w:val="20"/>
          <w:szCs w:val="20"/>
          <w:color w:val="auto"/>
        </w:rPr>
      </w:pPr>
      <w:r>
        <w:rPr>
          <w:rFonts w:ascii="Times New Roman" w:cs="Times New Roman" w:eastAsia="Times New Roman" w:hAnsi="Times New Roman"/>
          <w:sz w:val="13"/>
          <w:szCs w:val="13"/>
          <w:color w:val="auto"/>
        </w:rPr>
        <w:t>See Note 2 to the accompanying consolidated financial statements included elsewhere in this Annual Report on Form 10-K for a description of certain recently issued accounting standards which may impact our financial statements in future reporting periods.</w:t>
      </w:r>
    </w:p>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are exposed to market risk, including changes to interest rates and foreign currency exchange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Interest Rate Sensitivity</w:t>
      </w:r>
    </w:p>
    <w:p>
      <w:pPr>
        <w:spacing w:after="0" w:line="33" w:lineRule="exact"/>
        <w:rPr>
          <w:sz w:val="20"/>
          <w:szCs w:val="20"/>
          <w:color w:val="auto"/>
        </w:rPr>
      </w:pPr>
    </w:p>
    <w:p>
      <w:pPr>
        <w:ind w:right="140" w:firstLine="240"/>
        <w:spacing w:after="0" w:line="266" w:lineRule="auto"/>
        <w:rPr>
          <w:sz w:val="20"/>
          <w:szCs w:val="20"/>
          <w:color w:val="auto"/>
        </w:rPr>
      </w:pPr>
      <w:r>
        <w:rPr>
          <w:rFonts w:ascii="Times New Roman" w:cs="Times New Roman" w:eastAsia="Times New Roman" w:hAnsi="Times New Roman"/>
          <w:sz w:val="13"/>
          <w:szCs w:val="13"/>
          <w:color w:val="auto"/>
        </w:rPr>
        <w:t>We had cash and cash equivalents totaling $727.3 million and $258.8 million as of September 28, 2024, and September 30, 2023, respectively. Cash and cash equivalents include cash on hand and investments with original maturities of three months or less, are stated at cost, and approximate fair value. We had no marketable securities at September 28, 2024 and short-term available for sale marketable securities consisting of U.S. Treasury Securities of $286.7 million at September 30, 2023. Our investment policy and strategy are focused on preservation of capital, supporting our liquidity requirements, and delivering competitive returns subject to prevailing market conditions. We were not exposed to material risks due to changes in market interest rates given the liquidity of the cash and investments with original maturities of three months.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Foreign Currency Risk</w:t>
      </w:r>
    </w:p>
    <w:p>
      <w:pPr>
        <w:spacing w:after="0" w:line="43" w:lineRule="exact"/>
        <w:rPr>
          <w:sz w:val="20"/>
          <w:szCs w:val="20"/>
          <w:color w:val="auto"/>
        </w:rPr>
      </w:pPr>
    </w:p>
    <w:p>
      <w:pPr>
        <w:ind w:right="280" w:firstLine="240"/>
        <w:spacing w:after="0" w:line="276" w:lineRule="auto"/>
        <w:rPr>
          <w:sz w:val="20"/>
          <w:szCs w:val="20"/>
          <w:color w:val="auto"/>
        </w:rPr>
      </w:pPr>
      <w:r>
        <w:rPr>
          <w:rFonts w:ascii="Times New Roman" w:cs="Times New Roman" w:eastAsia="Times New Roman" w:hAnsi="Times New Roman"/>
          <w:sz w:val="13"/>
          <w:szCs w:val="13"/>
          <w:color w:val="auto"/>
        </w:rPr>
        <w:t>Although we are exposed to foreign currency risk from our international operations, we do not consider it to have a material impact. Certain of our transactions (and those of our subsidiaries) are denominated in currencies other than the functional currency. Foreign currency transaction losses were less than $0.1 million for the years ended September 28, 2024, September 30, 2023 and September 24, 2022, and were recorded within other income, net on the consolidated statements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Credit Risk</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Financial instruments that potentially expose the Company to concentrations of credit risk consist primarily of cash and cash equivalents and accounts receivable.</w:t>
      </w:r>
    </w:p>
    <w:p>
      <w:pPr>
        <w:spacing w:after="0" w:line="51" w:lineRule="exact"/>
        <w:rPr>
          <w:sz w:val="20"/>
          <w:szCs w:val="20"/>
          <w:color w:val="auto"/>
        </w:rPr>
      </w:pPr>
    </w:p>
    <w:p>
      <w:pPr>
        <w:ind w:right="100" w:firstLine="240"/>
        <w:spacing w:after="0" w:line="289" w:lineRule="auto"/>
        <w:rPr>
          <w:sz w:val="20"/>
          <w:szCs w:val="20"/>
          <w:color w:val="auto"/>
        </w:rPr>
      </w:pPr>
      <w:r>
        <w:rPr>
          <w:rFonts w:ascii="Times New Roman" w:cs="Times New Roman" w:eastAsia="Times New Roman" w:hAnsi="Times New Roman"/>
          <w:sz w:val="13"/>
          <w:szCs w:val="13"/>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28, 2024, its risk relating to deposits exceeding federally insured limits was not significant.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has no significant off-balance sheet risk such as foreign exchange contracts, options contracts, or other hedging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6" w:name="page67"/>
    <w:bookmarkEnd w:id="6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The Company believes its credit policies are prudent and reflect normal industry terms and business risk. The Company generally does not require collateral from its customers and generally requires payment 30 days from the invoice date. At September 28, 2024, one customer accounted for over 10% of the Company’s accounts receivable balance, and two customers accounted for over 10% of the Company’s accounts receivable balance at September 30,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840"/>
          </w:cols>
          <w:pgMar w:left="300" w:top="177" w:right="759" w:bottom="1440" w:gutter="0" w:footer="0" w:header="0"/>
        </w:sectPr>
      </w:pPr>
    </w:p>
    <w:bookmarkStart w:id="67" w:name="page68"/>
    <w:bookmarkEnd w:id="6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Financial Statements and Supplementary Data</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Symbotic Inc.</w:t>
      </w:r>
    </w:p>
    <w:p>
      <w:pPr>
        <w:spacing w:after="0" w:line="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Index to the Consolidated Financial Statements</w:t>
      </w:r>
    </w:p>
    <w:p>
      <w:pPr>
        <w:spacing w:after="0" w:line="265"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Report of Independent Registered Public Accounting Firm (PCAOB ID No. 248)</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Balance Sheets</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Statements of Operations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Statements of Comprehensive Loss</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Statements of Changes in Redeemable Preferred and Common Units and Equity (Deficit)</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Statements of Cash Flows</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Notes to the Consolidated Financial Statements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00"/>
          </w:cols>
          <w:pgMar w:left="300" w:top="177" w:right="499" w:bottom="1440" w:gutter="0" w:footer="0" w:header="0"/>
        </w:sectPr>
      </w:pPr>
    </w:p>
    <w:bookmarkStart w:id="68" w:name="page69"/>
    <w:bookmarkEnd w:id="6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Shareholders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Symbotic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Symbotic Inc. and subsidiaries (the “Company”) as of September 28, 2024 and September 30, 2023, the related consolidated statements of operations, comprehensive loss, changes in redeemable preferred and common units and equity (deficit), and cash flows for each of the three years in the period ended September 28, 2024, and the related notes (collectively referred to as the “financial statements”). In our opinion, the financial statements present fairly, in all material respects, the financial position of the Company as of September 28, 2024 and September 30, 2023, and the results of its operations and its cash flows for each of the three years in the period ended September 28, 2024, in conformity with accounting principles generally accepted in the United States of America.</w:t>
      </w:r>
    </w:p>
    <w:p>
      <w:pPr>
        <w:spacing w:after="0" w:line="13"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(“PCAOB”), the Company’s internal control over financial reporting as of September 28, 2024, based on criteria established in the 2013 Internal Control—Integrated Framework issued by the Committee of Sponsoring Organizations of the Treadway Commission (“COSO”), and our report dated December 4, 2024 expressed an adverse opinion.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9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was communicated or required to be communicated to the audit committee and that:</w:t>
      </w:r>
    </w:p>
    <w:p>
      <w:pPr>
        <w:spacing w:after="0" w:line="23" w:lineRule="exact"/>
        <w:rPr>
          <w:sz w:val="20"/>
          <w:szCs w:val="20"/>
          <w:color w:val="auto"/>
        </w:rPr>
      </w:pPr>
    </w:p>
    <w:p>
      <w:pPr>
        <w:jc w:val="both"/>
        <w:ind w:right="80"/>
        <w:spacing w:after="0" w:line="265" w:lineRule="auto"/>
        <w:tabs>
          <w:tab w:leader="none" w:pos="18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Systems Revenue – Estimation of Costs at Completion</w:t>
      </w:r>
    </w:p>
    <w:p>
      <w:pPr>
        <w:spacing w:after="0" w:line="9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3"/>
          <w:szCs w:val="13"/>
          <w:color w:val="auto"/>
        </w:rPr>
        <w:t>As described further in Note 2 to the financial statements, the Company recognizes Systems revenue over time using a cost-to-cost measure of progress. Under this method, revenue is recorded based on the ratio of costs incurred over total estimated costs at completion. The estimation of costs at completion is complex, requires significant judgment, and is subject to many variables such as the availability and cost of materials and services to be procured from third party vendors to build the Systems, outstanding key contract matters, progress towards completion and the related program schedule. We identified the estimation of costs at completion as a critical audit matter.</w:t>
      </w:r>
    </w:p>
    <w:p>
      <w:pPr>
        <w:spacing w:after="0" w:line="1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The principal consideration for our determination that the estimation of costs at completion is a critical audit matter is management’s use of significant judgment when determining such cost estimates. Auditing these estimates required our especially challenging, subjective, and complex auditor judgment.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audit procedures related to the estimation of costs at completion included the following,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69" w:name="page70"/>
    <w:bookmarkEnd w:id="6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hanging="239"/>
        <w:spacing w:after="0"/>
        <w:tabs>
          <w:tab w:leader="none" w:pos="4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obtained an understanding and evaluated the appropriateness and consistency of the methods and processes used by management to develop these cost estimates.</w:t>
      </w:r>
    </w:p>
    <w:p>
      <w:pPr>
        <w:spacing w:after="0" w:line="50" w:lineRule="exact"/>
        <w:rPr>
          <w:rFonts w:ascii="Times New Roman" w:cs="Times New Roman" w:eastAsia="Times New Roman" w:hAnsi="Times New Roman"/>
          <w:sz w:val="13"/>
          <w:szCs w:val="13"/>
          <w:color w:val="auto"/>
        </w:rPr>
      </w:pPr>
    </w:p>
    <w:p>
      <w:pPr>
        <w:ind w:left="480" w:right="440" w:hanging="239"/>
        <w:spacing w:after="0" w:line="289" w:lineRule="auto"/>
        <w:tabs>
          <w:tab w:leader="none" w:pos="47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inquired of project managers and others directly involved in building the Systems to evaluate management’s ability to satisfy the requirements of the contract, and to assess project status and challenges which may affect the cost estimates.</w:t>
      </w:r>
    </w:p>
    <w:p>
      <w:pPr>
        <w:ind w:left="480" w:hanging="239"/>
        <w:spacing w:after="0" w:line="289" w:lineRule="auto"/>
        <w:tabs>
          <w:tab w:leader="none" w:pos="47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the reasonableness of the significant judgments used by management to develop its cost estimates through reviewing key terms of the contracts, evaluating costs incurred to date relative to the system’s remaining tasks and timeline, and inspecting analyses and documentation used to support the cost estimates, as applicable.</w:t>
      </w:r>
    </w:p>
    <w:p>
      <w:pPr>
        <w:ind w:left="480" w:right="320" w:hanging="239"/>
        <w:spacing w:after="0" w:line="289" w:lineRule="auto"/>
        <w:tabs>
          <w:tab w:leader="none" w:pos="47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performed retrospective reviews when evaluating management’s estimation process by assessing estimates against actual outcomes, including the comparison of margin estimates of in-process contracts and actual margins generated by similar contracts that have been completed.</w:t>
      </w:r>
    </w:p>
    <w:p>
      <w:pPr>
        <w:ind w:left="480" w:hanging="239"/>
        <w:spacing w:after="0"/>
        <w:tabs>
          <w:tab w:leader="none" w:pos="4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tested the underlying data used in developing estimated costs at completion, including testing the completeness and accuracy of the actual costs incurred to-date.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70" w:name="page71"/>
    <w:bookmarkEnd w:id="7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Shareholders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Symbotic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9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We have audited the internal control over financial reporting of Symbotic Inc. and subsidiaries (the “Company”) as of September 28, 2024 based on criteria established in the 2013 Internal Control—Integrated Framework issued by the Committee of Sponsoring Organizations of the Treadway Commission (“COSO”). In our opinion, because of the effect of the material weaknesses described in the following paragraphs on the achievement of the objectives of the control criteria, the Company has not maintained effective internal control over financial reporting as of September 28, 2024, based on criteria established in the 2013 Internal Control—Integrated Framework issued by COSO.</w:t>
      </w:r>
    </w:p>
    <w:p>
      <w:pPr>
        <w:spacing w:after="0" w:line="1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3"/>
          <w:szCs w:val="13"/>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3"/>
          <w:szCs w:val="13"/>
          <w:color w:val="auto"/>
        </w:rPr>
        <w:t>The Company did not effectively design and execute controls over the timing of the recognition of revenue and cost of revenue. Additionally, the Company did not effectively design and execute controls over the recognition of revenue from cost overruns that are not billable to customers.</w:t>
      </w:r>
    </w:p>
    <w:p>
      <w:pPr>
        <w:spacing w:after="0" w:line="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(“PCAOB”), the consolidated financial statements of the Company as of and for the year ended September 28, 2024. The material weaknesses identified above were considered in determining the nature, timing, and extent of audit tests applied in our audit of the 2024 consolidated financial statements, and this report does not affect our report dated December 4, 2024 which expressed an unqualified opinion on those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9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9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1" w:name="page72"/>
    <w:bookmarkEnd w:id="7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do not express an opinion or any other form of assurance on the remediation plans or related actions described in the Management’s Report on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GRANT THORNTON LLP</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Boston, Massachusetts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00"/>
          </w:cols>
          <w:pgMar w:left="300" w:top="177" w:right="499" w:bottom="1440" w:gutter="0" w:footer="0" w:header="0"/>
        </w:sectPr>
      </w:pPr>
    </w:p>
    <w:bookmarkStart w:id="72" w:name="page73"/>
    <w:bookmarkEnd w:id="7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Symbotic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information)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2"/>
                <w:szCs w:val="12"/>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0" w:type="dxa"/>
            <w:vAlign w:val="bottom"/>
          </w:tcPr>
          <w:p>
            <w:pPr>
              <w:spacing w:after="0"/>
              <w:rPr>
                <w:sz w:val="1"/>
                <w:szCs w:val="1"/>
                <w:color w:val="auto"/>
              </w:rPr>
            </w:pPr>
          </w:p>
        </w:tc>
      </w:tr>
      <w:tr>
        <w:trPr>
          <w:trHeight w:val="170"/>
        </w:trPr>
        <w:tc>
          <w:tcPr>
            <w:tcW w:w="8280" w:type="dxa"/>
            <w:vAlign w:val="bottom"/>
          </w:tcPr>
          <w:p>
            <w:pPr>
              <w:ind w:left="54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727,310</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258,770</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Marketable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286,736</w:t>
            </w: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69,206</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Unbilled accounts receivable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218,233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121,149</w:t>
            </w: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136,121</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expenses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34,577</w:t>
            </w: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85,236</w:t>
            </w:r>
          </w:p>
        </w:tc>
        <w:tc>
          <w:tcPr>
            <w:tcW w:w="0" w:type="dxa"/>
            <w:vAlign w:val="bottom"/>
          </w:tcPr>
          <w:p>
            <w:pPr>
              <w:spacing w:after="0"/>
              <w:rPr>
                <w:sz w:val="1"/>
                <w:szCs w:val="1"/>
                <w:color w:val="auto"/>
              </w:rPr>
            </w:pP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1,355,537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991,795</w:t>
            </w:r>
          </w:p>
        </w:tc>
        <w:tc>
          <w:tcPr>
            <w:tcW w:w="0" w:type="dxa"/>
            <w:vAlign w:val="bottom"/>
          </w:tcPr>
          <w:p>
            <w:pPr>
              <w:spacing w:after="0"/>
              <w:rPr>
                <w:sz w:val="1"/>
                <w:szCs w:val="1"/>
                <w:color w:val="auto"/>
              </w:rPr>
            </w:pP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34,507</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method investment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24,191</w:t>
            </w:r>
          </w:p>
        </w:tc>
        <w:tc>
          <w:tcPr>
            <w:tcW w:w="0" w:type="dxa"/>
            <w:vAlign w:val="bottom"/>
          </w:tcPr>
          <w:p>
            <w:pPr>
              <w:spacing w:after="0"/>
              <w:rPr>
                <w:sz w:val="1"/>
                <w:szCs w:val="1"/>
                <w:color w:val="auto"/>
              </w:rPr>
            </w:pPr>
          </w:p>
        </w:tc>
      </w:tr>
      <w:tr>
        <w:trPr>
          <w:trHeight w:val="195"/>
        </w:trPr>
        <w:tc>
          <w:tcPr>
            <w:tcW w:w="8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1,578,552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1,050,710</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80" w:type="dxa"/>
            <w:vAlign w:val="bottom"/>
            <w:tcBorders>
              <w:bottom w:val="single" w:sz="8" w:color="CCEEFF"/>
            </w:tcBorders>
            <w:shd w:val="clear" w:color="auto" w:fill="CCEEFF"/>
          </w:tcPr>
          <w:p>
            <w:pPr>
              <w:ind w:left="4800"/>
              <w:spacing w:after="0" w:line="14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175,188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109,918</w:t>
            </w: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128,314</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787,227</w:t>
            </w:r>
          </w:p>
        </w:tc>
        <w:tc>
          <w:tcPr>
            <w:tcW w:w="0" w:type="dxa"/>
            <w:vAlign w:val="bottom"/>
          </w:tcPr>
          <w:p>
            <w:pPr>
              <w:spacing w:after="0"/>
              <w:rPr>
                <w:sz w:val="1"/>
                <w:szCs w:val="1"/>
                <w:color w:val="auto"/>
              </w:rPr>
            </w:pPr>
          </w:p>
        </w:tc>
      </w:tr>
      <w:tr>
        <w:trPr>
          <w:trHeight w:val="170"/>
        </w:trPr>
        <w:tc>
          <w:tcPr>
            <w:tcW w:w="8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1,017,146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1,025,459</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129,233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27,967</w:t>
            </w:r>
          </w:p>
        </w:tc>
        <w:tc>
          <w:tcPr>
            <w:tcW w:w="0" w:type="dxa"/>
            <w:vAlign w:val="bottom"/>
          </w:tcPr>
          <w:p>
            <w:pPr>
              <w:spacing w:after="0"/>
              <w:rPr>
                <w:sz w:val="1"/>
                <w:szCs w:val="1"/>
                <w:color w:val="auto"/>
              </w:rPr>
            </w:pPr>
          </w:p>
        </w:tc>
      </w:tr>
      <w:tr>
        <w:trPr>
          <w:trHeight w:val="30"/>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1,188,422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1,053,426</w:t>
            </w:r>
          </w:p>
        </w:tc>
        <w:tc>
          <w:tcPr>
            <w:tcW w:w="0" w:type="dxa"/>
            <w:vAlign w:val="bottom"/>
          </w:tcPr>
          <w:p>
            <w:pPr>
              <w:spacing w:after="0"/>
              <w:rPr>
                <w:sz w:val="1"/>
                <w:szCs w:val="1"/>
                <w:color w:val="auto"/>
              </w:rPr>
            </w:pPr>
          </w:p>
        </w:tc>
      </w:tr>
      <w:tr>
        <w:trPr>
          <w:trHeight w:val="180"/>
        </w:trPr>
        <w:tc>
          <w:tcPr>
            <w:tcW w:w="8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17)</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Class A Common Stock, 3,000,000,000 shares authorized, 104,689,377 and 82,112,881 shares issued and outstanding at September 28, 2024 and</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3"/>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September 30, 2023, respectively</w:t>
            </w: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Class V-1 Common Stock, 1,000,000,000 shares authorized, 76,965,386 and 66,931,097 shares issued and outstanding at September 28, 2024 and</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3"/>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September 30, 2023, respectively</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Class V-3 Common Stock, 450,000,000 shares authorized, 404,309,196 and 407,528,941 shares issued and outstanding at September 28, 2024 and</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3"/>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September 30, 2023, respectively</w:t>
            </w: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Additional paid-in capital - warrants</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58,126</w:t>
            </w: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1,523,692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1,254,022</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(1,323,925)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(1,310,435)</w:t>
            </w:r>
          </w:p>
        </w:tc>
        <w:tc>
          <w:tcPr>
            <w:tcW w:w="0" w:type="dxa"/>
            <w:vAlign w:val="bottom"/>
          </w:tcPr>
          <w:p>
            <w:pPr>
              <w:spacing w:after="0"/>
              <w:rPr>
                <w:sz w:val="1"/>
                <w:szCs w:val="1"/>
                <w:color w:val="auto"/>
              </w:rPr>
            </w:pPr>
          </w:p>
        </w:tc>
      </w:tr>
      <w:tr>
        <w:trPr>
          <w:trHeight w:val="30"/>
        </w:trPr>
        <w:tc>
          <w:tcPr>
            <w:tcW w:w="8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3" w:name="page74"/>
    <w:bookmarkEnd w:id="7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w:t>
            </w:r>
          </w:p>
        </w:tc>
      </w:tr>
      <w:tr>
        <w:trPr>
          <w:trHeight w:val="30"/>
        </w:trPr>
        <w:tc>
          <w:tcPr>
            <w:tcW w:w="8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0"/>
        </w:trPr>
        <w:tc>
          <w:tcPr>
            <w:tcW w:w="8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4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197,233</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192,897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w:t>
            </w:r>
          </w:p>
        </w:tc>
      </w:tr>
      <w:tr>
        <w:trPr>
          <w:trHeight w:val="30"/>
        </w:trPr>
        <w:tc>
          <w:tcPr>
            <w:tcW w:w="8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8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equity</w:t>
            </w: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390,130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1,578,552</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1,050,710</w:t>
            </w:r>
          </w:p>
        </w:tc>
      </w:tr>
      <w:tr>
        <w:trPr>
          <w:trHeight w:val="20"/>
        </w:trPr>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4" w:name="page75"/>
    <w:bookmarkEnd w:id="7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Symbotic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and per share information)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Revenue:</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1,705,440</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1,138,059</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567,993</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21,584</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6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1,788,179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1,176,891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593,312</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Cost of revenue:</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Systems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1,466,841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940,076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464,179</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Software maintenance and support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4,390</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Operation services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37,854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25,096</w:t>
            </w:r>
          </w:p>
        </w:tc>
      </w:tr>
      <w:tr>
        <w:trPr>
          <w:trHeight w:val="170"/>
        </w:trPr>
        <w:tc>
          <w:tcPr>
            <w:tcW w:w="67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cost of revenue</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1,542,513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987,152</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493,665</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245,666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189,739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99,647</w:t>
            </w: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Operating expenses: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173,457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195,042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124,141</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115,881</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0"/>
        </w:trPr>
        <w:tc>
          <w:tcPr>
            <w:tcW w:w="6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362,391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412,969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240,022</w:t>
            </w:r>
          </w:p>
        </w:tc>
      </w:tr>
      <w:tr>
        <w:trPr>
          <w:trHeight w:val="17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Operating loss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(116,725)</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(223,230)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(140,375)</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37,042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r>
      <w:tr>
        <w:trPr>
          <w:trHeight w:val="17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before income tax and equity method investment</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(79,683)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(212,514)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(139,089)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from equity method investment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(207,894)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(139,089)</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Legacy Warehouse unitholders prior to the Business Combination</w:t>
            </w:r>
          </w:p>
        </w:tc>
        <w:tc>
          <w:tcPr>
            <w:tcW w:w="18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(72,134)</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(60,092)</w:t>
            </w:r>
          </w:p>
        </w:tc>
      </w:tr>
      <w:tr>
        <w:trPr>
          <w:trHeight w:val="195"/>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loss attributable to common stockholders</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(13,490)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(23,866)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(6,863)</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55"/>
        </w:trPr>
        <w:tc>
          <w:tcPr>
            <w:tcW w:w="6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Loss per share of Class A Common Stock: </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Basic and Diluted</w:t>
            </w: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 outstanding:</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0"/>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Basic and Diluted</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95,697,368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64,338,580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54,086,381</w:t>
            </w:r>
          </w:p>
        </w:tc>
      </w:tr>
      <w:tr>
        <w:trPr>
          <w:trHeight w:val="30"/>
        </w:trPr>
        <w:tc>
          <w:tcPr>
            <w:tcW w:w="6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1" w:lineRule="exact"/>
        <w:rPr>
          <w:sz w:val="20"/>
          <w:szCs w:val="20"/>
          <w:color w:val="auto"/>
        </w:rPr>
      </w:pPr>
    </w:p>
    <w:p>
      <w:pPr>
        <w:spacing w:after="0" w:line="274" w:lineRule="auto"/>
        <w:tabs>
          <w:tab w:leader="none" w:pos="151"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Loss per share information has not been presented for periods prior to the Business Combination (as defined in Note 4, </w:t>
      </w:r>
      <w:r>
        <w:rPr>
          <w:rFonts w:ascii="Times New Roman" w:cs="Times New Roman" w:eastAsia="Times New Roman" w:hAnsi="Times New Roman"/>
          <w:sz w:val="11"/>
          <w:szCs w:val="11"/>
          <w:i w:val="1"/>
          <w:iCs w:val="1"/>
          <w:color w:val="auto"/>
        </w:rPr>
        <w:t>Mergers and Acquisitions</w:t>
      </w:r>
      <w:r>
        <w:rPr>
          <w:rFonts w:ascii="Times New Roman" w:cs="Times New Roman" w:eastAsia="Times New Roman" w:hAnsi="Times New Roman"/>
          <w:sz w:val="11"/>
          <w:szCs w:val="11"/>
          <w:color w:val="auto"/>
        </w:rPr>
        <w:t xml:space="preserve">), as it resulted in values that would not be meaningful to the users of these consolidated financial statements. Refer to Note 4, </w:t>
      </w:r>
      <w:r>
        <w:rPr>
          <w:rFonts w:ascii="Times New Roman" w:cs="Times New Roman" w:eastAsia="Times New Roman" w:hAnsi="Times New Roman"/>
          <w:sz w:val="11"/>
          <w:szCs w:val="11"/>
          <w:i w:val="1"/>
          <w:iCs w:val="1"/>
          <w:color w:val="auto"/>
        </w:rPr>
        <w:t>Mergers and Acquisitions</w:t>
      </w:r>
      <w:r>
        <w:rPr>
          <w:rFonts w:ascii="Times New Roman" w:cs="Times New Roman" w:eastAsia="Times New Roman" w:hAnsi="Times New Roman"/>
          <w:sz w:val="11"/>
          <w:szCs w:val="11"/>
          <w:color w:val="auto"/>
        </w:rPr>
        <w:t xml:space="preserve"> for further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5" w:name="page76"/>
    <w:bookmarkEnd w:id="7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Symbotic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0" w:type="dxa"/>
            <w:vAlign w:val="bottom"/>
          </w:tcPr>
          <w:p>
            <w:pPr>
              <w:spacing w:after="0"/>
              <w:rPr>
                <w:sz w:val="1"/>
                <w:szCs w:val="1"/>
                <w:color w:val="auto"/>
              </w:rPr>
            </w:pP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(139,089)</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Net loss attributable to Legacy Warehouse unitholders prior to the Business Combination</w:t>
            </w:r>
          </w:p>
        </w:tc>
        <w:tc>
          <w:tcPr>
            <w:tcW w:w="180" w:type="dxa"/>
            <w:vAlign w:val="bottom"/>
          </w:tcPr>
          <w:p>
            <w:pPr>
              <w:spacing w:after="0"/>
              <w:rPr>
                <w:sz w:val="15"/>
                <w:szCs w:val="15"/>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(72,134)</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(60,092)</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common stockholders</w:t>
            </w: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(13,490)</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(23,866)</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(6,863)</w:t>
            </w:r>
          </w:p>
        </w:tc>
        <w:tc>
          <w:tcPr>
            <w:tcW w:w="0" w:type="dxa"/>
            <w:vAlign w:val="bottom"/>
          </w:tcPr>
          <w:p>
            <w:pPr>
              <w:spacing w:after="0"/>
              <w:rPr>
                <w:sz w:val="1"/>
                <w:szCs w:val="1"/>
                <w:color w:val="auto"/>
              </w:rPr>
            </w:pP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unrealized gain on investments, net of income taxes of $— for the years ended September 28, 2024,</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September 30, 2023, and September 24, 2022</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other comprehensive income (loss) attributable to Legacy Warehouse unitholders prior to the Business Combination</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other comprehensive income (loss) attributable to noncontrolling interests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attributable to common stockholders</w:t>
            </w: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0" w:type="dxa"/>
            <w:vAlign w:val="bottom"/>
          </w:tcPr>
          <w:p>
            <w:pPr>
              <w:spacing w:after="0"/>
              <w:rPr>
                <w:sz w:val="1"/>
                <w:szCs w:val="1"/>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(90,228)</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(202,681)</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(141,427)</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Comprehensive loss attributable to Legacy Warehouse unitholders prior to the Business Combination</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(72,097)</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Comprehensive loss attributable to noncontrolling interests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(62,228)</w:t>
            </w:r>
          </w:p>
        </w:tc>
        <w:tc>
          <w:tcPr>
            <w:tcW w:w="0" w:type="dxa"/>
            <w:vAlign w:val="bottom"/>
          </w:tcPr>
          <w:p>
            <w:pPr>
              <w:spacing w:after="0"/>
              <w:rPr>
                <w:sz w:val="1"/>
                <w:szCs w:val="1"/>
                <w:color w:val="auto"/>
              </w:rPr>
            </w:pP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comprehensive loss attributable to common stockholders</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6" w:name="page77"/>
    <w:bookmarkEnd w:id="7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Symbotic Inc.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Redeemable Preferred and Common Units and Equity (Deficit)</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(in thousands, except unit and share information)</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Redeemable Preferred and Common Units</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640" w:type="dxa"/>
            <w:vAlign w:val="bottom"/>
          </w:tcPr>
          <w:p>
            <w:pPr>
              <w:spacing w:after="0"/>
              <w:rPr>
                <w:sz w:val="3"/>
                <w:szCs w:val="3"/>
                <w:color w:val="auto"/>
              </w:rPr>
            </w:pPr>
          </w:p>
        </w:tc>
        <w:tc>
          <w:tcPr>
            <w:tcW w:w="10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Common Units, Class</w:t>
            </w:r>
          </w:p>
        </w:tc>
        <w:tc>
          <w:tcPr>
            <w:tcW w:w="10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Preferred Units, Class</w:t>
            </w:r>
          </w:p>
        </w:tc>
        <w:tc>
          <w:tcPr>
            <w:tcW w:w="10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Preferred Units, Class</w:t>
            </w:r>
          </w:p>
        </w:tc>
        <w:tc>
          <w:tcPr>
            <w:tcW w:w="110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Common Voting Units,</w:t>
            </w:r>
          </w:p>
        </w:tc>
        <w:tc>
          <w:tcPr>
            <w:tcW w:w="960" w:type="dxa"/>
            <w:vAlign w:val="bottom"/>
            <w:gridSpan w:val="5"/>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Class A Common</w:t>
            </w:r>
          </w:p>
        </w:tc>
        <w:tc>
          <w:tcPr>
            <w:tcW w:w="9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Class V-1 Common</w:t>
            </w:r>
          </w:p>
        </w:tc>
        <w:tc>
          <w:tcPr>
            <w:tcW w:w="10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Class V-3 Common</w:t>
            </w:r>
          </w:p>
        </w:tc>
        <w:tc>
          <w:tcPr>
            <w:tcW w:w="5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64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Paid-In</w:t>
            </w:r>
          </w:p>
        </w:tc>
        <w:tc>
          <w:tcPr>
            <w:tcW w:w="52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60" w:type="dxa"/>
            <w:vAlign w:val="bottom"/>
          </w:tcPr>
          <w:p>
            <w:pPr>
              <w:spacing w:after="0"/>
              <w:rPr>
                <w:sz w:val="6"/>
                <w:szCs w:val="6"/>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Other</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50"/>
        </w:trPr>
        <w:tc>
          <w:tcPr>
            <w:tcW w:w="640" w:type="dxa"/>
            <w:vAlign w:val="bottom"/>
          </w:tcPr>
          <w:p>
            <w:pPr>
              <w:spacing w:after="0"/>
              <w:rPr>
                <w:sz w:val="4"/>
                <w:szCs w:val="4"/>
                <w:color w:val="auto"/>
              </w:rPr>
            </w:pPr>
          </w:p>
        </w:tc>
        <w:tc>
          <w:tcPr>
            <w:tcW w:w="580" w:type="dxa"/>
            <w:vAlign w:val="bottom"/>
            <w:gridSpan w:val="2"/>
            <w:vMerge w:val="restart"/>
          </w:tcPr>
          <w:p>
            <w:pPr>
              <w:jc w:val="center"/>
              <w:ind w:left="353"/>
              <w:spacing w:after="0"/>
              <w:rPr>
                <w:sz w:val="20"/>
                <w:szCs w:val="20"/>
                <w:color w:val="auto"/>
              </w:rPr>
            </w:pPr>
            <w:r>
              <w:rPr>
                <w:rFonts w:ascii="Times New Roman" w:cs="Times New Roman" w:eastAsia="Times New Roman" w:hAnsi="Times New Roman"/>
                <w:sz w:val="9"/>
                <w:szCs w:val="9"/>
                <w:b w:val="1"/>
                <w:bCs w:val="1"/>
                <w:color w:val="auto"/>
                <w:w w:val="91"/>
              </w:rPr>
              <w:t>C</w:t>
            </w: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restart"/>
          </w:tcPr>
          <w:p>
            <w:pPr>
              <w:jc w:val="center"/>
              <w:ind w:left="353"/>
              <w:spacing w:after="0"/>
              <w:rPr>
                <w:sz w:val="20"/>
                <w:szCs w:val="20"/>
                <w:color w:val="auto"/>
              </w:rPr>
            </w:pPr>
            <w:r>
              <w:rPr>
                <w:rFonts w:ascii="Times New Roman" w:cs="Times New Roman" w:eastAsia="Times New Roman" w:hAnsi="Times New Roman"/>
                <w:sz w:val="9"/>
                <w:szCs w:val="9"/>
                <w:b w:val="1"/>
                <w:bCs w:val="1"/>
                <w:color w:val="auto"/>
              </w:rPr>
              <w:t>B-1</w:t>
            </w: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restart"/>
          </w:tcPr>
          <w:p>
            <w:pPr>
              <w:jc w:val="center"/>
              <w:ind w:left="353"/>
              <w:spacing w:after="0"/>
              <w:rPr>
                <w:sz w:val="20"/>
                <w:szCs w:val="20"/>
                <w:color w:val="auto"/>
              </w:rPr>
            </w:pPr>
            <w:r>
              <w:rPr>
                <w:rFonts w:ascii="Times New Roman" w:cs="Times New Roman" w:eastAsia="Times New Roman" w:hAnsi="Times New Roman"/>
                <w:sz w:val="9"/>
                <w:szCs w:val="9"/>
                <w:b w:val="1"/>
                <w:bCs w:val="1"/>
                <w:color w:val="auto"/>
                <w:w w:val="99"/>
              </w:rPr>
              <w:t>B</w:t>
            </w: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3"/>
            <w:vMerge w:val="restart"/>
          </w:tcPr>
          <w:p>
            <w:pPr>
              <w:jc w:val="center"/>
              <w:ind w:left="313"/>
              <w:spacing w:after="0"/>
              <w:rPr>
                <w:sz w:val="20"/>
                <w:szCs w:val="20"/>
                <w:color w:val="auto"/>
              </w:rPr>
            </w:pPr>
            <w:r>
              <w:rPr>
                <w:rFonts w:ascii="Times New Roman" w:cs="Times New Roman" w:eastAsia="Times New Roman" w:hAnsi="Times New Roman"/>
                <w:sz w:val="9"/>
                <w:szCs w:val="9"/>
                <w:b w:val="1"/>
                <w:bCs w:val="1"/>
                <w:color w:val="auto"/>
              </w:rPr>
              <w:t>Class A</w:t>
            </w: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vMerge w:val="restart"/>
          </w:tcPr>
          <w:p>
            <w:pPr>
              <w:ind w:left="340"/>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vMerge w:val="restart"/>
          </w:tcPr>
          <w:p>
            <w:pPr>
              <w:jc w:val="center"/>
              <w:ind w:left="173"/>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restart"/>
          </w:tcPr>
          <w:p>
            <w:pPr>
              <w:jc w:val="center"/>
              <w:ind w:left="313"/>
              <w:spacing w:after="0"/>
              <w:rPr>
                <w:sz w:val="20"/>
                <w:szCs w:val="20"/>
                <w:color w:val="auto"/>
              </w:rPr>
            </w:pPr>
            <w:r>
              <w:rPr>
                <w:rFonts w:ascii="Times New Roman" w:cs="Times New Roman" w:eastAsia="Times New Roman" w:hAnsi="Times New Roman"/>
                <w:sz w:val="9"/>
                <w:szCs w:val="9"/>
                <w:b w:val="1"/>
                <w:bCs w:val="1"/>
                <w:color w:val="auto"/>
              </w:rPr>
              <w:t>Stock</w:t>
            </w: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gridSpan w:val="6"/>
            <w:vMerge w:val="restart"/>
          </w:tcPr>
          <w:p>
            <w:pPr>
              <w:jc w:val="right"/>
              <w:ind w:right="140"/>
              <w:spacing w:after="0" w:line="76" w:lineRule="exact"/>
              <w:rPr>
                <w:sz w:val="20"/>
                <w:szCs w:val="20"/>
                <w:color w:val="auto"/>
              </w:rPr>
            </w:pPr>
            <w:r>
              <w:rPr>
                <w:rFonts w:ascii="Times New Roman" w:cs="Times New Roman" w:eastAsia="Times New Roman" w:hAnsi="Times New Roman"/>
                <w:sz w:val="8"/>
                <w:szCs w:val="8"/>
                <w:b w:val="1"/>
                <w:bCs w:val="1"/>
                <w:color w:val="auto"/>
              </w:rPr>
              <w:t>Capital -Paid-In</w:t>
            </w:r>
          </w:p>
        </w:tc>
        <w:tc>
          <w:tcPr>
            <w:tcW w:w="700" w:type="dxa"/>
            <w:vAlign w:val="bottom"/>
            <w:gridSpan w:val="3"/>
            <w:vMerge w:val="restart"/>
          </w:tcPr>
          <w:p>
            <w:pPr>
              <w:jc w:val="center"/>
              <w:ind w:right="60"/>
              <w:spacing w:after="0" w:line="76"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40" w:type="dxa"/>
            <w:vAlign w:val="bottom"/>
            <w:gridSpan w:val="3"/>
            <w:vMerge w:val="restart"/>
          </w:tcPr>
          <w:p>
            <w:pPr>
              <w:ind w:left="40"/>
              <w:spacing w:after="0" w:line="76"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680" w:type="dxa"/>
            <w:vAlign w:val="bottom"/>
            <w:gridSpan w:val="3"/>
            <w:vMerge w:val="restart"/>
          </w:tcPr>
          <w:p>
            <w:pPr>
              <w:ind w:left="20"/>
              <w:spacing w:after="0" w:line="76" w:lineRule="exact"/>
              <w:rPr>
                <w:sz w:val="20"/>
                <w:szCs w:val="20"/>
                <w:color w:val="auto"/>
              </w:rPr>
            </w:pPr>
            <w:r>
              <w:rPr>
                <w:rFonts w:ascii="Times New Roman" w:cs="Times New Roman" w:eastAsia="Times New Roman" w:hAnsi="Times New Roman"/>
                <w:sz w:val="8"/>
                <w:szCs w:val="8"/>
                <w:b w:val="1"/>
                <w:bCs w:val="1"/>
                <w:color w:val="auto"/>
              </w:rPr>
              <w:t>Noncontrolling</w:t>
            </w:r>
          </w:p>
        </w:tc>
        <w:tc>
          <w:tcPr>
            <w:tcW w:w="520" w:type="dxa"/>
            <w:vAlign w:val="bottom"/>
            <w:vMerge w:val="restart"/>
          </w:tcPr>
          <w:p>
            <w:pPr>
              <w:jc w:val="center"/>
              <w:spacing w:after="0" w:line="76" w:lineRule="exact"/>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Units</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Units</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Units</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Amount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Units</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4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Shares</w:t>
            </w:r>
          </w:p>
        </w:tc>
        <w:tc>
          <w:tcPr>
            <w:tcW w:w="4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Capital</w:t>
            </w:r>
          </w:p>
        </w:tc>
        <w:tc>
          <w:tcPr>
            <w:tcW w:w="6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Loss</w:t>
            </w:r>
          </w:p>
        </w:tc>
        <w:tc>
          <w:tcPr>
            <w:tcW w:w="100" w:type="dxa"/>
            <w:vAlign w:val="bottom"/>
          </w:tcPr>
          <w:p>
            <w:pPr>
              <w:spacing w:after="0"/>
              <w:rPr>
                <w:sz w:val="11"/>
                <w:szCs w:val="11"/>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20" w:type="dxa"/>
            <w:vAlign w:val="bottom"/>
          </w:tcPr>
          <w:p>
            <w:pPr>
              <w:spacing w:after="0"/>
              <w:rPr>
                <w:sz w:val="11"/>
                <w:szCs w:val="11"/>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(Deficit)</w:t>
            </w: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at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428,571</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$144,975</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$232,278</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$459,007</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5,997,632</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16,809</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center"/>
              <w:ind w:left="273"/>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26,999</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w w:val="98"/>
              </w:rPr>
              <w:t>(2,092)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(1,154,944)</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$(1,113,228)</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September 25,</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2021</w:t>
            </w: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Retroactive</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24,493,538</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24,041,299</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47,508,299</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361,551,314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application of</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recapitalization</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9"/>
                <w:szCs w:val="9"/>
                <w:color w:val="auto"/>
              </w:rPr>
              <w:t xml:space="preserve">ratio </w:t>
            </w:r>
            <w:r>
              <w:rPr>
                <w:rFonts w:ascii="Times New Roman" w:cs="Times New Roman" w:eastAsia="Times New Roman" w:hAnsi="Times New Roman"/>
                <w:sz w:val="12"/>
                <w:szCs w:val="12"/>
                <w:color w:val="auto"/>
                <w:vertAlign w:val="superscript"/>
              </w:rPr>
              <w:t>(1)</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Adjusted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24,922,109</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$144,975</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24,041,300</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$232,278</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47,508,300</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$459,007</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367,548,946</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16,809</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center"/>
              <w:ind w:left="273"/>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26,999</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w w:val="98"/>
              </w:rPr>
              <w:t>(2,092)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(1,154,944)</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$(1,113,228)</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balance,</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beginning of</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period</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1,052,952</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32"/>
        </w:trPr>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Forfeited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(1,052,952)</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Unit-based</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6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compensation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Accretion of</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28,433</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(28,433)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(28,433)</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Class C Units to</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redemption</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value</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Preferred return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8,130</w:t>
            </w:r>
          </w:p>
        </w:tc>
        <w:tc>
          <w:tcPr>
            <w:tcW w:w="6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16,065</w:t>
            </w:r>
          </w:p>
        </w:tc>
        <w:tc>
          <w:tcPr>
            <w:tcW w:w="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(24,195)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(24,195)</w:t>
            </w:r>
          </w:p>
        </w:tc>
        <w:tc>
          <w:tcPr>
            <w:tcW w:w="0" w:type="dxa"/>
            <w:vAlign w:val="bottom"/>
          </w:tcPr>
          <w:p>
            <w:pPr>
              <w:spacing w:after="0"/>
              <w:rPr>
                <w:sz w:val="1"/>
                <w:szCs w:val="1"/>
                <w:color w:val="auto"/>
              </w:rPr>
            </w:pPr>
          </w:p>
        </w:tc>
      </w:tr>
      <w:tr>
        <w:trPr>
          <w:trHeight w:val="32"/>
        </w:trPr>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Issuance of</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1,831,505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common stock</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under stock</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plans</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Issuance of</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3,616,000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(431)</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sponsor shares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Issuance of</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20,000,000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2</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256</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earnout units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upon triggering</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event</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Exchange of</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1,607,185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(1,607,185)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Class V-1</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common stock</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2,794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24,013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26,807</w:t>
            </w:r>
          </w:p>
        </w:tc>
        <w:tc>
          <w:tcPr>
            <w:tcW w:w="0" w:type="dxa"/>
            <w:vAlign w:val="bottom"/>
          </w:tcPr>
          <w:p>
            <w:pPr>
              <w:spacing w:after="0"/>
              <w:rPr>
                <w:sz w:val="1"/>
                <w:szCs w:val="1"/>
                <w:color w:val="auto"/>
              </w:rPr>
            </w:pPr>
          </w:p>
        </w:tc>
      </w:tr>
      <w:tr>
        <w:trPr>
          <w:trHeight w:val="12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compensation</w:t>
            </w: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Additional</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21,275</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23,750</w:t>
            </w: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paid-in capital</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adjustment</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resulting from</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VAP Unit</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modification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Provision for</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74,280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74,280</w:t>
            </w:r>
          </w:p>
        </w:tc>
        <w:tc>
          <w:tcPr>
            <w:tcW w:w="0" w:type="dxa"/>
            <w:vAlign w:val="bottom"/>
          </w:tcPr>
          <w:p>
            <w:pPr>
              <w:spacing w:after="0"/>
              <w:rPr>
                <w:sz w:val="1"/>
                <w:szCs w:val="1"/>
                <w:color w:val="auto"/>
              </w:rPr>
            </w:pPr>
          </w:p>
        </w:tc>
      </w:tr>
      <w:tr>
        <w:trPr>
          <w:trHeight w:val="12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warrants</w:t>
            </w: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Exercise of</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43,756,942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5"/>
              </w:rPr>
              <w:t>320,929</w:t>
            </w:r>
          </w:p>
        </w:tc>
        <w:tc>
          <w:tcPr>
            <w:tcW w:w="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(43,153)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277,776</w:t>
            </w: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warrants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loss pre</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(72,134)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(72,134)</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business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combination</w:t>
            </w: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Other</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9"/>
                <w:szCs w:val="9"/>
                <w:color w:val="auto"/>
              </w:rPr>
              <w:t>37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w:t>
            </w: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comprehensive</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loss pre</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business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combination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Recapitalization (24,922,109)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(173,460)</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(24,041,300)</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(240,408)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(47,508,300)</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(475,072)</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(411,305,888)</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(337,738)</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60,844,573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6</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416,933,025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42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1,191,567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(301,973)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551,904</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of Preferred</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Units, Class C</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Units, Class A</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Voting Units,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and creation of</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NCI (net of</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transaction</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costs of</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$37,104)</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Recapitalization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50,664,146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6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40,425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381,276</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421,706</w:t>
            </w: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of SVF equity,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PIPE, and FPA</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of</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transaction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costs of</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Pr>
          <w:p>
            <w:pPr>
              <w:ind w:left="20"/>
              <w:spacing w:after="0"/>
              <w:rPr>
                <w:sz w:val="20"/>
                <w:szCs w:val="20"/>
                <w:color w:val="auto"/>
              </w:rPr>
            </w:pPr>
            <w:r>
              <w:rPr>
                <w:rFonts w:ascii="Times New Roman" w:cs="Times New Roman" w:eastAsia="Times New Roman" w:hAnsi="Times New Roman"/>
                <w:sz w:val="9"/>
                <w:szCs w:val="9"/>
                <w:color w:val="auto"/>
              </w:rPr>
              <w:t>$30,315)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loss post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(6,863)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(60,092)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(66,955)</w:t>
            </w:r>
          </w:p>
        </w:tc>
        <w:tc>
          <w:tcPr>
            <w:tcW w:w="0" w:type="dxa"/>
            <w:vAlign w:val="bottom"/>
          </w:tcPr>
          <w:p>
            <w:pPr>
              <w:spacing w:after="0"/>
              <w:rPr>
                <w:sz w:val="1"/>
                <w:szCs w:val="1"/>
                <w:color w:val="auto"/>
              </w:rPr>
            </w:pPr>
          </w:p>
        </w:tc>
      </w:tr>
      <w:tr>
        <w:trPr>
          <w:trHeight w:val="12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business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combination</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77" w:right="239" w:bottom="1440" w:gutter="0" w:footer="0" w:header="0"/>
        </w:sectPr>
      </w:pPr>
    </w:p>
    <w:bookmarkStart w:id="77" w:name="page78"/>
    <w:bookmarkEnd w:id="7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Other comprehensive loss</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(239)</w:t>
            </w:r>
          </w:p>
        </w:tc>
        <w:tc>
          <w:tcPr>
            <w:tcW w:w="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(2,136)</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(2,375)</w:t>
            </w:r>
          </w:p>
        </w:tc>
      </w:tr>
      <w:tr>
        <w:trPr>
          <w:trHeight w:val="121"/>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post business combination</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22"/>
        </w:trPr>
        <w:tc>
          <w:tcPr>
            <w:tcW w:w="1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0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September 24,</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57,718,836</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79,237,388</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8</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416,933,025</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42</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58,126</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1,237,865</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(2,294)</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(1,286,569)</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61,756</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68,940</w:t>
            </w:r>
          </w:p>
        </w:tc>
      </w:tr>
      <w:tr>
        <w:trPr>
          <w:trHeight w:val="125"/>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2022</w:t>
            </w: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r>
      <w:tr>
        <w:trPr>
          <w:trHeight w:val="128"/>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(23,866)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(184,028)</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(207,894)</w:t>
            </w:r>
          </w:p>
        </w:tc>
      </w:tr>
      <w:tr>
        <w:trPr>
          <w:trHeight w:val="32"/>
        </w:trPr>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2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Issuance of common stock</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2,825,576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(3,337)</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(23,161)</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(26,498)</w:t>
            </w:r>
          </w:p>
        </w:tc>
      </w:tr>
      <w:tr>
        <w:trPr>
          <w:trHeight w:val="11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under stock plans, net of</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r>
      <w:tr>
        <w:trPr>
          <w:trHeight w:val="12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shares withheld for employee</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33"/>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taxes</w:t>
            </w: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r>
      <w:tr>
        <w:trPr>
          <w:trHeight w:val="127"/>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Issuance of common stock</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225,788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704</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795</w:t>
            </w:r>
          </w:p>
        </w:tc>
      </w:tr>
      <w:tr>
        <w:trPr>
          <w:trHeight w:val="110"/>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under employee stock</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0"/>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purchase plan, net of shares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1"/>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withheld for employee taxes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32"/>
        </w:trPr>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2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Exchange of Class V-1 and</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21,342,681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(11,938,597)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(9,404,084)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(956)</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23"/>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Class V-3 common stock</w:t>
            </w: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r>
      <w:tr>
        <w:trPr>
          <w:trHeight w:val="127"/>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Cancellation of Class V-1</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(367,694)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21"/>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common stock</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22"/>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Stock-based compensation</w:t>
            </w:r>
          </w:p>
        </w:tc>
        <w:tc>
          <w:tcPr>
            <w:tcW w:w="6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18,447</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138,281</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156,728</w:t>
            </w:r>
          </w:p>
        </w:tc>
      </w:tr>
      <w:tr>
        <w:trPr>
          <w:trHeight w:val="128"/>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Other comprehensive loss</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607</w:t>
            </w:r>
          </w:p>
        </w:tc>
        <w:tc>
          <w:tcPr>
            <w:tcW w:w="60" w:type="dxa"/>
            <w:vAlign w:val="bottom"/>
          </w:tcPr>
          <w:p>
            <w:pPr>
              <w:spacing w:after="0"/>
              <w:rPr>
                <w:sz w:val="11"/>
                <w:szCs w:val="11"/>
                <w:color w:val="auto"/>
              </w:rPr>
            </w:pP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4,606</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5,213</w:t>
            </w:r>
          </w:p>
        </w:tc>
      </w:tr>
      <w:tr>
        <w:trPr>
          <w:trHeight w:val="32"/>
        </w:trPr>
        <w:tc>
          <w:tcPr>
            <w:tcW w:w="1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0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September 30,</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82,112,881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66,931,097</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7</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407,528,941</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41</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58,126</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1,254,022</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(1,687)</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(1,310,435)</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(2,798)</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(2,716)</w:t>
            </w:r>
          </w:p>
        </w:tc>
      </w:tr>
      <w:tr>
        <w:trPr>
          <w:trHeight w:val="125"/>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2023</w:t>
            </w: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r>
      <w:tr>
        <w:trPr>
          <w:trHeight w:val="128"/>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Net loss</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(13,490)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(71,182)</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(84,672)</w:t>
            </w:r>
          </w:p>
        </w:tc>
      </w:tr>
      <w:tr>
        <w:trPr>
          <w:trHeight w:val="32"/>
        </w:trPr>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2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Issuance of common stock</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6,790,081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(3,103)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(50)</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(3,152)</w:t>
            </w:r>
          </w:p>
        </w:tc>
      </w:tr>
      <w:tr>
        <w:trPr>
          <w:trHeight w:val="11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under stock plans, net of</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r>
      <w:tr>
        <w:trPr>
          <w:trHeight w:val="120"/>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shares withheld for employee</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33"/>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taxes</w:t>
            </w: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r>
      <w:tr>
        <w:trPr>
          <w:trHeight w:val="127"/>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Issuance of common stock</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230,548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5,465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5,465</w:t>
            </w:r>
          </w:p>
        </w:tc>
      </w:tr>
      <w:tr>
        <w:trPr>
          <w:trHeight w:val="110"/>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under employee stock</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0"/>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purchase plan, net of shares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1"/>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withheld for employee taxes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32"/>
        </w:trPr>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2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Exchange of Class V-1 and</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9,055,867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(5,836,122)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(3,219,745)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(9,747)</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9,747</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r>
      <w:tr>
        <w:trPr>
          <w:trHeight w:val="123"/>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Class V-3 common stock</w:t>
            </w: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r>
      <w:tr>
        <w:trPr>
          <w:trHeight w:val="127"/>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Issuance of common stock in</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6,500,000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257,985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257,986</w:t>
            </w:r>
          </w:p>
        </w:tc>
      </w:tr>
      <w:tr>
        <w:trPr>
          <w:trHeight w:val="110"/>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connection with equity</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1"/>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offering</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32"/>
        </w:trPr>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2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Distributions to Symbotic</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(48,413)</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(48,413)</w:t>
            </w:r>
          </w:p>
        </w:tc>
      </w:tr>
      <w:tr>
        <w:trPr>
          <w:trHeight w:val="123"/>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Holdings LLC partners</w:t>
            </w: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r>
      <w:tr>
        <w:trPr>
          <w:trHeight w:val="128"/>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Stock-based compensation</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19,070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93,414</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112,484</w:t>
            </w:r>
          </w:p>
        </w:tc>
      </w:tr>
      <w:tr>
        <w:trPr>
          <w:trHeight w:val="32"/>
        </w:trPr>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4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Other comprehensive loss</w:t>
            </w:r>
          </w:p>
        </w:tc>
        <w:tc>
          <w:tcPr>
            <w:tcW w:w="6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(907)</w:t>
            </w: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(4,649)</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(5,556)</w:t>
            </w:r>
          </w:p>
        </w:tc>
      </w:tr>
      <w:tr>
        <w:trPr>
          <w:trHeight w:val="128"/>
        </w:trPr>
        <w:tc>
          <w:tcPr>
            <w:tcW w:w="1140" w:type="dxa"/>
            <w:vAlign w:val="bottom"/>
          </w:tcPr>
          <w:p>
            <w:pPr>
              <w:ind w:left="20"/>
              <w:spacing w:after="0"/>
              <w:rPr>
                <w:sz w:val="20"/>
                <w:szCs w:val="20"/>
                <w:color w:val="auto"/>
              </w:rPr>
            </w:pPr>
            <w:r>
              <w:rPr>
                <w:rFonts w:ascii="Times New Roman" w:cs="Times New Roman" w:eastAsia="Times New Roman" w:hAnsi="Times New Roman"/>
                <w:sz w:val="9"/>
                <w:szCs w:val="9"/>
                <w:color w:val="auto"/>
              </w:rPr>
              <w:t>Exercise of warrants</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15,870,411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3</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(58,126)</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216,828</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158,705</w:t>
            </w:r>
          </w:p>
        </w:tc>
      </w:tr>
      <w:tr>
        <w:trPr>
          <w:trHeight w:val="32"/>
        </w:trPr>
        <w:tc>
          <w:tcPr>
            <w:tcW w:w="1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0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September 28,</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9"/>
                <w:szCs w:val="9"/>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9"/>
                <w:szCs w:val="9"/>
                <w:color w:val="auto"/>
              </w:rPr>
              <w:t>—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104,689,377</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w w:val="87"/>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76,965,386</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w w:val="87"/>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7</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404,309,196</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w w:val="87"/>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40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$ 1,523,692</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(2,594)</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(1,323,925)</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192,897</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$ 390,130</w:t>
            </w:r>
          </w:p>
        </w:tc>
      </w:tr>
      <w:tr>
        <w:trPr>
          <w:trHeight w:val="149"/>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2024</w:t>
            </w:r>
          </w:p>
        </w:tc>
        <w:tc>
          <w:tcPr>
            <w:tcW w:w="4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(1) As part of the Business Combination (as disclosed in Note 4, </w:t>
      </w:r>
      <w:r>
        <w:rPr>
          <w:rFonts w:ascii="Times New Roman" w:cs="Times New Roman" w:eastAsia="Times New Roman" w:hAnsi="Times New Roman"/>
          <w:sz w:val="11"/>
          <w:szCs w:val="11"/>
          <w:i w:val="1"/>
          <w:iCs w:val="1"/>
          <w:color w:val="auto"/>
        </w:rPr>
        <w:t>Mergers and Acquisitions</w:t>
      </w:r>
      <w:r>
        <w:rPr>
          <w:rFonts w:ascii="Times New Roman" w:cs="Times New Roman" w:eastAsia="Times New Roman" w:hAnsi="Times New Roman"/>
          <w:sz w:val="11"/>
          <w:szCs w:val="11"/>
          <w:color w:val="auto"/>
        </w:rPr>
        <w:t xml:space="preserve"> and Note 19, </w:t>
      </w:r>
      <w:r>
        <w:rPr>
          <w:rFonts w:ascii="Times New Roman" w:cs="Times New Roman" w:eastAsia="Times New Roman" w:hAnsi="Times New Roman"/>
          <w:sz w:val="11"/>
          <w:szCs w:val="11"/>
          <w:i w:val="1"/>
          <w:iCs w:val="1"/>
          <w:color w:val="auto"/>
        </w:rPr>
        <w:t>Equity</w:t>
      </w:r>
      <w:r>
        <w:rPr>
          <w:rFonts w:ascii="Times New Roman" w:cs="Times New Roman" w:eastAsia="Times New Roman" w:hAnsi="Times New Roman"/>
          <w:sz w:val="11"/>
          <w:szCs w:val="11"/>
          <w:color w:val="auto"/>
        </w:rPr>
        <w:t>), all per share information has been retroactively adjusted using the Exchange Ratio as stipulated by the Merger Agreement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20"/>
          </w:cols>
          <w:pgMar w:left="300" w:top="177" w:right="379" w:bottom="1440" w:gutter="0" w:footer="0" w:header="0"/>
        </w:sectPr>
      </w:pPr>
    </w:p>
    <w:bookmarkStart w:id="78" w:name="page79"/>
    <w:bookmarkEnd w:id="7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Symbotic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(207,894)</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(139,089)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(used in) operating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Foreign currency losses (gains)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(Gain) on investments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Loss on disposal of assets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4,098</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taxes, net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26,858</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(66,380)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(60,559)</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(121,143)</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expenses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(28,665)</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65,270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41,528</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37,898</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361,518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80,377</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(58,077)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230,794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(148,247)</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(42,237)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(17,950)</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Capitalization of internal use software development costs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(408,209)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Acquisitions of strategic investments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156,481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(299,464)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(17,950)</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Payment for taxes related to net share settlement of stock-based compensation awards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proceeds from issuance of common stock under employee stock purchase plan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Proceeds from issuance of Class A Common Stock</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257,985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277,776</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Distributions to Symbotic Holdings LLC partners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proceeds from equity infusion from the Business Combination</w:t>
            </w:r>
          </w:p>
        </w:tc>
        <w:tc>
          <w:tcPr>
            <w:tcW w:w="18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384,672</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Purchase of interest from non-controlling interest</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r>
      <w:tr>
        <w:trPr>
          <w:trHeight w:val="20"/>
        </w:trPr>
        <w:tc>
          <w:tcPr>
            <w:tcW w:w="6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79" w:name="page80"/>
    <w:bookmarkEnd w:id="7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555625</wp:posOffset>
            </wp:positionV>
            <wp:extent cx="288734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873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371,036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362,448</w:t>
            </w:r>
          </w:p>
        </w:tc>
      </w:tr>
      <w:tr>
        <w:trPr>
          <w:trHeight w:val="30"/>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469,436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(92,539)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196,823</w:t>
            </w:r>
          </w:p>
        </w:tc>
      </w:tr>
      <w:tr>
        <w:trPr>
          <w:trHeight w:val="30"/>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260,918</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353,457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156,634</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5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730,354</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260,918</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353,457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5"/>
        </w:trPr>
        <w:tc>
          <w:tcPr>
            <w:tcW w:w="67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activities:</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0"/>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right-of-use assets obtained in exchange for operating lease liabilities</w:t>
            </w:r>
          </w:p>
        </w:tc>
        <w:tc>
          <w:tcPr>
            <w:tcW w:w="52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 of equipment from deferred cost to property and equipment</w:t>
            </w: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38,454</w:t>
            </w:r>
          </w:p>
        </w:tc>
        <w:tc>
          <w:tcPr>
            <w:tcW w:w="8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associated with supplier agreement</w:t>
            </w:r>
          </w:p>
        </w:tc>
        <w:tc>
          <w:tcPr>
            <w:tcW w:w="52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Return, Class B-1</w:t>
            </w: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8,130</w:t>
            </w:r>
          </w:p>
        </w:tc>
      </w:tr>
      <w:tr>
        <w:trPr>
          <w:trHeight w:val="30"/>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Return, Class B</w:t>
            </w:r>
          </w:p>
        </w:tc>
        <w:tc>
          <w:tcPr>
            <w:tcW w:w="5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16,065</w:t>
            </w:r>
          </w:p>
        </w:tc>
      </w:tr>
      <w:tr>
        <w:trPr>
          <w:trHeight w:val="30"/>
        </w:trPr>
        <w:tc>
          <w:tcPr>
            <w:tcW w:w="6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0" w:name="page81"/>
    <w:bookmarkEnd w:id="8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Symbotic Inc.</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 and Operations</w:t>
      </w:r>
    </w:p>
    <w:p>
      <w:pPr>
        <w:spacing w:after="0" w:line="55"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(“Symbotic Canada”) were wholly-owned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1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 xml:space="preserve">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 The Business Combination is further described in Note 4, </w:t>
      </w:r>
      <w:r>
        <w:rPr>
          <w:rFonts w:ascii="Times New Roman" w:cs="Times New Roman" w:eastAsia="Times New Roman" w:hAnsi="Times New Roman"/>
          <w:sz w:val="13"/>
          <w:szCs w:val="13"/>
          <w:i w:val="1"/>
          <w:iCs w:val="1"/>
          <w:color w:val="auto"/>
        </w:rPr>
        <w:t>Mergers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comprehensive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headquarters are located in Wilmington, Massachusetts, and its Canadian headquarters are located in Montreal, Quebec.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Summary of Significant Accounting Policies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Basis of Presentation and Foreign Currency Translation</w:t>
      </w:r>
    </w:p>
    <w:p>
      <w:pPr>
        <w:spacing w:after="0" w:line="33"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The consolidated financial statements have been prepared in U.S. dollars, in accordance with accounting principles generally accepted in the United States of America (“GAAP”). The accompanying consolidated financial statements include the accounts of the Company and its wholly-owned subsidiaries and majority-owned subsidiaries. The consolidated financial statements include 100% of the accounts of wholly-owned and majority-owned subsidiaries and the ownership interest of the minority investors are recorded as a non-controlling interest in a subsidiary. All intercompany balances and transactions have been eliminated in consolidation.</w:t>
      </w:r>
    </w:p>
    <w:p>
      <w:pPr>
        <w:spacing w:after="0" w:line="11" w:lineRule="exact"/>
        <w:rPr>
          <w:sz w:val="20"/>
          <w:szCs w:val="20"/>
          <w:color w:val="auto"/>
        </w:rPr>
      </w:pPr>
    </w:p>
    <w:p>
      <w:pPr>
        <w:ind w:right="120" w:firstLine="240"/>
        <w:spacing w:after="0" w:line="269" w:lineRule="auto"/>
        <w:rPr>
          <w:sz w:val="20"/>
          <w:szCs w:val="20"/>
          <w:color w:val="auto"/>
        </w:rPr>
      </w:pPr>
      <w:r>
        <w:rPr>
          <w:rFonts w:ascii="Times New Roman" w:cs="Times New Roman" w:eastAsia="Times New Roman" w:hAnsi="Times New Roman"/>
          <w:sz w:val="13"/>
          <w:szCs w:val="13"/>
          <w:color w:val="auto"/>
        </w:rPr>
        <w:t>The functional currency for the Company’s foreign subsidiaries is based on the subsidiaries’ financial and operational environment and is the applicable local currency. For the Company’s subsidiaries that transact in a functional currency other than the U.S. dollar, assets and liabilities are translated into U.S. dollars at period-end foreign exchange rates. Revenue and expenses are translated into U.S. dollars at the average foreign exchange rates for the period. Translation adjustments are excluded from the determination of net income and are recorded in accumulated other comprehensive income (loss), a separate component of members’ deficit.</w:t>
      </w:r>
    </w:p>
    <w:p>
      <w:pPr>
        <w:spacing w:after="0" w:line="11"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Certain transactions of the Company and its subsidiaries are denominated in currencies other than the functional currency. Foreign currency transaction losses were less than $0.1 million for the year ended September 28, 2024, and less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81" w:name="page82"/>
    <w:bookmarkEnd w:id="8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than $0.1 million for the years ended September 30, 2023 and September 24, 2022, and were recorded within other income, net on the consolidated statements of operations.</w:t>
      </w:r>
    </w:p>
    <w:p>
      <w:pPr>
        <w:spacing w:after="0" w:line="51"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The Company operates and reports using a 52-53 week fiscal year ending on the last Saturday closest to September 30. Accordingly, the Company’s fiscal quarters end on the last Saturday that falls closest to the last day of the third month of each quarter. The fiscal year ended September 28, 2024 was a 52-week period, the fiscal year ended September 30, 2023 was a 53-week period, and the fiscal year ended September 24, 2022 was a 52-week period.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Restatement of Previously Issued Unaudited Condensed Consolidated Financial Statements</w:t>
      </w:r>
    </w:p>
    <w:p>
      <w:pPr>
        <w:spacing w:after="0" w:line="31"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 xml:space="preserve">As described in Note 3, </w:t>
      </w:r>
      <w:r>
        <w:rPr>
          <w:rFonts w:ascii="Times New Roman" w:cs="Times New Roman" w:eastAsia="Times New Roman" w:hAnsi="Times New Roman"/>
          <w:sz w:val="13"/>
          <w:szCs w:val="13"/>
          <w:i w:val="1"/>
          <w:iCs w:val="1"/>
          <w:color w:val="auto"/>
        </w:rPr>
        <w:t>Restatement of Previously Issued Unaudited Condensed Consolidated Financial Statements</w:t>
      </w:r>
      <w:r>
        <w:rPr>
          <w:rFonts w:ascii="Times New Roman" w:cs="Times New Roman" w:eastAsia="Times New Roman" w:hAnsi="Times New Roman"/>
          <w:sz w:val="13"/>
          <w:szCs w:val="13"/>
          <w:color w:val="auto"/>
        </w:rPr>
        <w:t xml:space="preserve">, the Company’s unaudited condensed consolidated financial statements as of and for the fiscal quarters ended December 30, 2023, March 30, 2024, and June 29, 2024 have been restated as a result of the Company’s identification, during fiscal year 2024, of 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the Company identified errors in its revenue recognition related to cost overruns on certain deployments that will not be billable, which additionally impacted System revenue. Further, the Company identified, during fiscal year 2024, a classification error within equity, which was corrected as part of the aforementioned restatement. The restated unaudited condensed consolidated financial statement line items are indicated as “Restated” in the unaudited selected quarterly financial data. See Note 3, </w:t>
      </w:r>
      <w:r>
        <w:rPr>
          <w:rFonts w:ascii="Times New Roman" w:cs="Times New Roman" w:eastAsia="Times New Roman" w:hAnsi="Times New Roman"/>
          <w:sz w:val="13"/>
          <w:szCs w:val="13"/>
          <w:i w:val="1"/>
          <w:iCs w:val="1"/>
          <w:color w:val="auto"/>
        </w:rPr>
        <w:t xml:space="preserve">Restatement of Previously Issued Unaudited Condensed Consolidated Financial Statements </w:t>
      </w:r>
      <w:r>
        <w:rPr>
          <w:rFonts w:ascii="Times New Roman" w:cs="Times New Roman" w:eastAsia="Times New Roman" w:hAnsi="Times New Roman"/>
          <w:sz w:val="13"/>
          <w:szCs w:val="13"/>
          <w:color w:val="auto"/>
        </w:rPr>
        <w:t>for further discussion.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Business Combination</w:t>
      </w:r>
    </w:p>
    <w:p>
      <w:pPr>
        <w:spacing w:after="0" w:line="41" w:lineRule="exact"/>
        <w:rPr>
          <w:sz w:val="20"/>
          <w:szCs w:val="20"/>
          <w:color w:val="auto"/>
        </w:rPr>
      </w:pPr>
    </w:p>
    <w:p>
      <w:pPr>
        <w:ind w:right="100" w:firstLine="240"/>
        <w:spacing w:after="0" w:line="264" w:lineRule="auto"/>
        <w:rPr>
          <w:sz w:val="20"/>
          <w:szCs w:val="20"/>
          <w:color w:val="auto"/>
        </w:rPr>
      </w:pPr>
      <w:r>
        <w:rPr>
          <w:rFonts w:ascii="Times New Roman" w:cs="Times New Roman" w:eastAsia="Times New Roman" w:hAnsi="Times New Roman"/>
          <w:sz w:val="13"/>
          <w:szCs w:val="13"/>
          <w:color w:val="auto"/>
        </w:rPr>
        <w:t xml:space="preserve">The Business Combination was accounted for as a reverse recapitalization as Legacy Warehouse was determined to be the accounting acquirer under FASB ASC Topic 805,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This determination was primarily based on Legacy Warehouse comprising the ongoing operations of the combined entity, Legacy Warehouse's senior management comprising the majority of the senior management of the combined company, and the prior shareholders of Legacy Warehouse owning a majority of the voting power of the combined entity. Accordingly, for accounting purposes, the financial statements of the combined entity upon consummation of the Business Combination represented a continuation of the financial statements of Legacy Warehouse with the merger being treated as the equivalent of Legacy Warehouse issuing stock for the net assets of SVF 3, accompanied by a recapitalization. Operations prior to the Business Combination are presented as those of Legacy Warehouse in future reports of the combined entity. The recapitalization had no effect on reported net loss and comprehensive loss, cash flows, total assets, or members' deficit as previously reported. See Note 4, </w:t>
      </w:r>
      <w:r>
        <w:rPr>
          <w:rFonts w:ascii="Times New Roman" w:cs="Times New Roman" w:eastAsia="Times New Roman" w:hAnsi="Times New Roman"/>
          <w:sz w:val="13"/>
          <w:szCs w:val="13"/>
          <w:i w:val="1"/>
          <w:iCs w:val="1"/>
          <w:color w:val="auto"/>
        </w:rPr>
        <w:t>Mergers and Acquisitions,</w:t>
      </w:r>
      <w:r>
        <w:rPr>
          <w:rFonts w:ascii="Times New Roman" w:cs="Times New Roman" w:eastAsia="Times New Roman" w:hAnsi="Times New Roman"/>
          <w:sz w:val="13"/>
          <w:szCs w:val="13"/>
          <w:color w:val="auto"/>
        </w:rPr>
        <w:t xml:space="preserve"> for additional information.</w:t>
      </w:r>
    </w:p>
    <w:p>
      <w:pPr>
        <w:spacing w:after="0" w:line="177"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Noncontrolling Interests</w:t>
      </w:r>
    </w:p>
    <w:p>
      <w:pPr>
        <w:spacing w:after="0" w:line="33"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Noncontrolling interests represent the portion of Symbotic Inc. that the Company controls and consolidates but does not own. The noncontrolling interest was created as a result of the Business Combination by issuing non-economic shares to the prior investors in Legacy Warehouse. The Company recognizes each noncontrolling holder’s respective share of the estimated fair value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attributable to noncontrolling interests is reflected in the Consolidated Statements of Operations. The Company does not recognize a gain or loss on transactions with a consolidated entity in which it does not own 100% of the equity, but the Company reflects the difference in cash received or paid from the noncontrolling interests and carrying amount as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82" w:name="page83"/>
    <w:bookmarkEnd w:id="8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Class V-1 and Class V-3 shares are exchangeable, along with common units of Symbotic Holdings, into an equal number of the Company’s Class A Common Stock. Class A Common Stock issued upon exchange of a holder’s noncontrolling interest is accounted for at the carrying value of the surrendered limited partnership interest and the difference between the carrying value and the fair value of the Class A Common Stock issued is recorded to additional paid-in-capital.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Variable Interest Entities</w:t>
      </w:r>
    </w:p>
    <w:p>
      <w:pPr>
        <w:spacing w:after="0" w:line="33"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The Company may enter into strategic investments or other investments or arrangements that are considered variable interest entities (“VIE”). If the Company is a primary beneficiary of a VIE, it is required to consolidate the entity. To determine if the Company is the primary beneficiary of a VIE, the Company evaluates whether it has (i) the power to direct the activities that most significantly impact the VIE’s economic performance, and (ii) the obligation to absorb losses or the right to receive benefits from the VIE that could potentially be significant to the VIE. The assessment of whether the Company is the primary beneficiary of its VIE investments requires significant assumptions and judgments. VIEs that are not consolidated are accounted for under the measurement alternative, equity method, amortized cost, or other appropriate methodology based on the nature of the interest held.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Use of Estimates</w:t>
      </w:r>
    </w:p>
    <w:p>
      <w:pPr>
        <w:spacing w:after="0" w:line="43" w:lineRule="exact"/>
        <w:rPr>
          <w:sz w:val="20"/>
          <w:szCs w:val="20"/>
          <w:color w:val="auto"/>
        </w:rPr>
      </w:pPr>
    </w:p>
    <w:p>
      <w:pPr>
        <w:ind w:right="160" w:firstLine="240"/>
        <w:spacing w:after="0" w:line="269" w:lineRule="auto"/>
        <w:rPr>
          <w:sz w:val="20"/>
          <w:szCs w:val="20"/>
          <w:color w:val="auto"/>
        </w:rPr>
      </w:pPr>
      <w:r>
        <w:rPr>
          <w:rFonts w:ascii="Times New Roman" w:cs="Times New Roman" w:eastAsia="Times New Roman" w:hAnsi="Times New Roman"/>
          <w:sz w:val="13"/>
          <w:szCs w:val="13"/>
          <w:color w:val="auto"/>
        </w:rPr>
        <w:t>The preparation of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11" w:lineRule="exact"/>
        <w:rPr>
          <w:sz w:val="20"/>
          <w:szCs w:val="20"/>
          <w:color w:val="auto"/>
        </w:rPr>
      </w:pPr>
    </w:p>
    <w:p>
      <w:pPr>
        <w:ind w:right="160" w:firstLine="240"/>
        <w:spacing w:after="0" w:line="269" w:lineRule="auto"/>
        <w:rPr>
          <w:sz w:val="20"/>
          <w:szCs w:val="20"/>
          <w:color w:val="auto"/>
        </w:rPr>
      </w:pPr>
      <w:r>
        <w:rPr>
          <w:rFonts w:ascii="Times New Roman" w:cs="Times New Roman" w:eastAsia="Times New Roman" w:hAnsi="Times New Roman"/>
          <w:sz w:val="13"/>
          <w:szCs w:val="13"/>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it to update its estimates, assumptions, and judgments or revise the carrying value of its assets or liabilities. These estimates may change as new events occur and additional information is obtained and will be recognized in the consolidated financial statements as soon as they become known. Actual results could differ from those estimates and any such differences may be material to the Company’s financial statements.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Operating Segments</w:t>
      </w:r>
    </w:p>
    <w:p>
      <w:pPr>
        <w:spacing w:after="0" w:line="33" w:lineRule="exact"/>
        <w:rPr>
          <w:sz w:val="20"/>
          <w:szCs w:val="20"/>
          <w:color w:val="auto"/>
        </w:rPr>
      </w:pPr>
    </w:p>
    <w:p>
      <w:pPr>
        <w:ind w:right="60" w:firstLine="240"/>
        <w:spacing w:after="0" w:line="266" w:lineRule="auto"/>
        <w:rPr>
          <w:sz w:val="20"/>
          <w:szCs w:val="20"/>
          <w:color w:val="auto"/>
        </w:rPr>
      </w:pPr>
      <w:r>
        <w:rPr>
          <w:rFonts w:ascii="Times New Roman" w:cs="Times New Roman" w:eastAsia="Times New Roman" w:hAnsi="Times New Roman"/>
          <w:sz w:val="13"/>
          <w:szCs w:val="13"/>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 Company is not organized by market and is managed and operated as one business. A single management team that reports to the chief executive officer comprehensively manages the entire business. Accordingly, the Company does not accumulate discrete financial information with respect to separate divisions and does not have separate operating or reportable segments. Since the Company operates in one operating segment, all required financial segment information can be found in the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Cash, Cash Equivalents, and Marketable Securities</w:t>
      </w:r>
    </w:p>
    <w:p>
      <w:pPr>
        <w:spacing w:after="0" w:line="33" w:lineRule="exact"/>
        <w:rPr>
          <w:sz w:val="20"/>
          <w:szCs w:val="20"/>
          <w:color w:val="auto"/>
        </w:rPr>
      </w:pPr>
    </w:p>
    <w:p>
      <w:pPr>
        <w:jc w:val="both"/>
        <w:ind w:right="360" w:firstLine="240"/>
        <w:spacing w:after="0" w:line="276" w:lineRule="auto"/>
        <w:rPr>
          <w:sz w:val="20"/>
          <w:szCs w:val="20"/>
          <w:color w:val="auto"/>
        </w:rPr>
      </w:pPr>
      <w:r>
        <w:rPr>
          <w:rFonts w:ascii="Times New Roman" w:cs="Times New Roman" w:eastAsia="Times New Roman" w:hAnsi="Times New Roman"/>
          <w:sz w:val="13"/>
          <w:szCs w:val="13"/>
          <w:color w:val="auto"/>
        </w:rPr>
        <w:t>Cash and cash equivalents consist of cash and highly liquid investments that are readily convertible into cash and have original maturities of three months or less at the date of purchase. The Company invests its excess cash primarily in money market funds or demand deposit accounts of major financial institutions. Accordingly, the Company’s cash and cash equivalents are subject to minimal credit and market risk. The Company’s cash and cash equivalents are carried at cost, which approximates fair value.</w:t>
      </w:r>
    </w:p>
    <w:p>
      <w:pPr>
        <w:spacing w:after="0" w:line="5" w:lineRule="exact"/>
        <w:rPr>
          <w:sz w:val="20"/>
          <w:szCs w:val="20"/>
          <w:color w:val="auto"/>
        </w:rPr>
      </w:pPr>
    </w:p>
    <w:p>
      <w:pPr>
        <w:ind w:right="60" w:firstLine="240"/>
        <w:spacing w:after="0" w:line="266" w:lineRule="auto"/>
        <w:rPr>
          <w:sz w:val="20"/>
          <w:szCs w:val="20"/>
          <w:color w:val="auto"/>
        </w:rPr>
      </w:pPr>
      <w:r>
        <w:rPr>
          <w:rFonts w:ascii="Times New Roman" w:cs="Times New Roman" w:eastAsia="Times New Roman" w:hAnsi="Times New Roman"/>
          <w:sz w:val="13"/>
          <w:szCs w:val="13"/>
          <w:color w:val="auto"/>
        </w:rPr>
        <w:t>Marketable securities consist of U.S. Treasury securities. Securities having remaining maturities of more than three months at the date of purchase and less than one year from the date of the balance sheet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83" w:name="page84"/>
    <w:bookmarkEnd w:id="8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investments in the consolidated statements of operations. Gains and losses on investments are calculated on the basis of specific identification.</w:t>
      </w:r>
    </w:p>
    <w:p>
      <w:pPr>
        <w:spacing w:after="0" w:line="51"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Presentation of Restricted Cash</w:t>
      </w:r>
    </w:p>
    <w:p>
      <w:pPr>
        <w:spacing w:after="0" w:line="33" w:lineRule="exact"/>
        <w:rPr>
          <w:sz w:val="20"/>
          <w:szCs w:val="20"/>
          <w:color w:val="auto"/>
        </w:rPr>
      </w:pPr>
    </w:p>
    <w:p>
      <w:pPr>
        <w:ind w:right="20" w:firstLine="240"/>
        <w:spacing w:after="0" w:line="273" w:lineRule="auto"/>
        <w:rPr>
          <w:sz w:val="20"/>
          <w:szCs w:val="20"/>
          <w:color w:val="auto"/>
        </w:rPr>
      </w:pPr>
      <w:r>
        <w:rPr>
          <w:rFonts w:ascii="Times New Roman" w:cs="Times New Roman" w:eastAsia="Times New Roman" w:hAnsi="Times New Roman"/>
          <w:sz w:val="13"/>
          <w:szCs w:val="13"/>
          <w:color w:val="auto"/>
        </w:rPr>
        <w:t>Restricted cash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 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42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3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r>
      <w:tr>
        <w:trPr>
          <w:trHeight w:val="160"/>
        </w:trPr>
        <w:tc>
          <w:tcPr>
            <w:tcW w:w="4420" w:type="dxa"/>
            <w:vAlign w:val="bottom"/>
          </w:tcPr>
          <w:p>
            <w:pPr>
              <w:spacing w:after="0"/>
              <w:rPr>
                <w:sz w:val="13"/>
                <w:szCs w:val="13"/>
                <w:color w:val="auto"/>
              </w:rPr>
            </w:pPr>
          </w:p>
        </w:tc>
        <w:tc>
          <w:tcPr>
            <w:tcW w:w="166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5"/>
              </w:rPr>
              <w:t>September 30, 2023</w:t>
            </w:r>
          </w:p>
        </w:tc>
        <w:tc>
          <w:tcPr>
            <w:tcW w:w="360" w:type="dxa"/>
            <w:vAlign w:val="bottom"/>
          </w:tcPr>
          <w:p>
            <w:pPr>
              <w:spacing w:after="0"/>
              <w:rPr>
                <w:sz w:val="13"/>
                <w:szCs w:val="13"/>
                <w:color w:val="auto"/>
              </w:rPr>
            </w:pPr>
          </w:p>
        </w:tc>
        <w:tc>
          <w:tcPr>
            <w:tcW w:w="1860" w:type="dxa"/>
            <w:vAlign w:val="bottom"/>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60" w:type="dxa"/>
            <w:vAlign w:val="bottom"/>
            <w:tcBorders>
              <w:top w:val="single" w:sz="8" w:color="auto"/>
              <w:bottom w:val="single" w:sz="8" w:color="CCEEFF"/>
            </w:tcBorders>
            <w:shd w:val="clear" w:color="auto" w:fill="CCEEFF"/>
          </w:tcPr>
          <w:p>
            <w:pPr>
              <w:jc w:val="right"/>
              <w:ind w:right="151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353,457</w:t>
            </w: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classified in:</w:t>
            </w: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0"/>
        </w:trPr>
        <w:tc>
          <w:tcPr>
            <w:tcW w:w="4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90"/>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44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shown in the statement of cash flows</w:t>
            </w:r>
          </w:p>
        </w:tc>
        <w:tc>
          <w:tcPr>
            <w:tcW w:w="1660" w:type="dxa"/>
            <w:vAlign w:val="bottom"/>
            <w:tcBorders>
              <w:bottom w:val="single" w:sz="8" w:color="auto"/>
            </w:tcBorders>
            <w:shd w:val="clear" w:color="auto" w:fill="CCEEFF"/>
          </w:tcPr>
          <w:p>
            <w:pPr>
              <w:jc w:val="right"/>
              <w:ind w:right="151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730,354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260,918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353,457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Accounts Receivable</w:t>
      </w:r>
    </w:p>
    <w:p>
      <w:pPr>
        <w:spacing w:after="0" w:line="33" w:lineRule="exact"/>
        <w:rPr>
          <w:sz w:val="20"/>
          <w:szCs w:val="20"/>
          <w:color w:val="auto"/>
        </w:rPr>
      </w:pPr>
    </w:p>
    <w:p>
      <w:pPr>
        <w:ind w:right="20" w:firstLine="240"/>
        <w:spacing w:after="0" w:line="276" w:lineRule="auto"/>
        <w:rPr>
          <w:sz w:val="20"/>
          <w:szCs w:val="20"/>
          <w:color w:val="auto"/>
        </w:rPr>
      </w:pPr>
      <w:r>
        <w:rPr>
          <w:rFonts w:ascii="Times New Roman" w:cs="Times New Roman" w:eastAsia="Times New Roman" w:hAnsi="Times New Roman"/>
          <w:sz w:val="13"/>
          <w:szCs w:val="13"/>
          <w:color w:val="auto"/>
        </w:rPr>
        <w:t>Accounts receivable consists primarily of trade receivables from customers. The Company estimates the current expected credit losses for accounts receivable based on the aging of the receivables, customer financial statements, historical collection experience, existing economic conditions, and other available information. The Company had no current expected credit losses at September 28, 2024, September 30, 2023, and September 24,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Concentrations of Credit Risk and Significant Customers</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Financial instruments that potentially expose the Company to concentrations of credit risk consist primarily of cash and cash equivalents and accounts receivable.</w:t>
      </w:r>
    </w:p>
    <w:p>
      <w:pPr>
        <w:spacing w:after="0" w:line="51" w:lineRule="exact"/>
        <w:rPr>
          <w:sz w:val="20"/>
          <w:szCs w:val="20"/>
          <w:color w:val="auto"/>
        </w:rPr>
      </w:pPr>
    </w:p>
    <w:p>
      <w:pPr>
        <w:ind w:right="100" w:firstLine="240"/>
        <w:spacing w:after="0" w:line="289" w:lineRule="auto"/>
        <w:rPr>
          <w:sz w:val="20"/>
          <w:szCs w:val="20"/>
          <w:color w:val="auto"/>
        </w:rPr>
      </w:pPr>
      <w:r>
        <w:rPr>
          <w:rFonts w:ascii="Times New Roman" w:cs="Times New Roman" w:eastAsia="Times New Roman" w:hAnsi="Times New Roman"/>
          <w:sz w:val="13"/>
          <w:szCs w:val="13"/>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28, 2024, its risk relating to deposits exceeding federally insured limits was not significant.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has no significant off-balance sheet risk such as foreign exchange contracts, options contracts, or other hedging arrangements.</w:t>
      </w:r>
    </w:p>
    <w:p>
      <w:pPr>
        <w:spacing w:after="0" w:line="51" w:lineRule="exact"/>
        <w:rPr>
          <w:sz w:val="20"/>
          <w:szCs w:val="20"/>
          <w:color w:val="auto"/>
        </w:rPr>
      </w:pPr>
    </w:p>
    <w:p>
      <w:pPr>
        <w:ind w:right="280" w:firstLine="240"/>
        <w:spacing w:after="0" w:line="276" w:lineRule="auto"/>
        <w:rPr>
          <w:sz w:val="20"/>
          <w:szCs w:val="20"/>
          <w:color w:val="auto"/>
        </w:rPr>
      </w:pPr>
      <w:r>
        <w:rPr>
          <w:rFonts w:ascii="Times New Roman" w:cs="Times New Roman" w:eastAsia="Times New Roman" w:hAnsi="Times New Roman"/>
          <w:sz w:val="13"/>
          <w:szCs w:val="13"/>
          <w:color w:val="auto"/>
        </w:rPr>
        <w:t>The Company believes its credit policies are prudent and reflect normal industry terms and business risk. The Company generally does not require collateral from its customers and generally requires payment 30 days from the invoice date. For the years ended September 28, 2024, September 30, 2023, and September 24, 2022, there was one customer that accounted for 10% or more of total revenue. The following table represents this customers’ aggregate percent of total revenue.</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20955</wp:posOffset>
            </wp:positionV>
            <wp:extent cx="445198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51985" cy="635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8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7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86.9 %</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88.4 %</w:t>
            </w:r>
          </w:p>
        </w:tc>
        <w:tc>
          <w:tcPr>
            <w:tcW w:w="8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94.4 %</w:t>
            </w:r>
          </w:p>
        </w:tc>
      </w:tr>
      <w:tr>
        <w:trPr>
          <w:trHeight w:val="30"/>
        </w:trPr>
        <w:tc>
          <w:tcPr>
            <w:tcW w:w="4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87" w:lineRule="exact"/>
        <w:rPr>
          <w:sz w:val="20"/>
          <w:szCs w:val="20"/>
          <w:color w:val="auto"/>
        </w:rPr>
      </w:pPr>
    </w:p>
    <w:p>
      <w:pPr>
        <w:ind w:right="180" w:firstLine="240"/>
        <w:spacing w:after="0" w:line="294" w:lineRule="auto"/>
        <w:rPr>
          <w:sz w:val="20"/>
          <w:szCs w:val="20"/>
          <w:color w:val="auto"/>
        </w:rPr>
      </w:pPr>
      <w:r>
        <w:rPr>
          <w:rFonts w:ascii="Times New Roman" w:cs="Times New Roman" w:eastAsia="Times New Roman" w:hAnsi="Times New Roman"/>
          <w:sz w:val="13"/>
          <w:szCs w:val="13"/>
          <w:color w:val="auto"/>
        </w:rPr>
        <w:t>At September 28, 2024, one customer accounted for over 10% of the Company’s accounts receivable balance, and two customers accounted for over 10% of the Company’s accounts receivable balance at September 30, 2023. The following table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4" w:name="page85"/>
    <w:bookmarkEnd w:id="8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3"/>
          <w:szCs w:val="13"/>
          <w:color w:val="auto"/>
        </w:rPr>
        <w:t>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0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89"/>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A</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92.8 %</w:t>
            </w:r>
          </w:p>
        </w:tc>
        <w:tc>
          <w:tcPr>
            <w:tcW w:w="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86.6 %</w:t>
            </w:r>
          </w:p>
        </w:tc>
      </w:tr>
      <w:tr>
        <w:trPr>
          <w:trHeight w:val="18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B</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10.3 %</w:t>
            </w:r>
          </w:p>
        </w:tc>
      </w:tr>
      <w:tr>
        <w:trPr>
          <w:trHeight w:val="30"/>
        </w:trPr>
        <w:tc>
          <w:tcPr>
            <w:tcW w:w="6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1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Aggregate Percent of Total Accounts Receivable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92.8 %</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96.9 %</w:t>
            </w:r>
          </w:p>
        </w:tc>
      </w:tr>
      <w:tr>
        <w:trPr>
          <w:trHeight w:val="30"/>
        </w:trPr>
        <w:tc>
          <w:tcPr>
            <w:tcW w:w="66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ind w:right="40" w:firstLine="240"/>
        <w:spacing w:after="0" w:line="276" w:lineRule="auto"/>
        <w:rPr>
          <w:sz w:val="20"/>
          <w:szCs w:val="20"/>
          <w:color w:val="auto"/>
        </w:rPr>
      </w:pPr>
      <w:r>
        <w:rPr>
          <w:rFonts w:ascii="Times New Roman" w:cs="Times New Roman" w:eastAsia="Times New Roman" w:hAnsi="Times New Roman"/>
          <w:sz w:val="13"/>
          <w:szCs w:val="13"/>
          <w:color w:val="auto"/>
        </w:rPr>
        <w:t>The concentration in the volume of business transacted with these customers may lead to a material impact on the Company’s results from operations if a total or partial loss of the business relationship were to occur. As of the date of issuance of these financial statements, the Company is not aware of any specific event or circumstance which would result in a material adverse impact to its results of operations or liquidity and financial condition.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Volume of Business</w:t>
      </w:r>
    </w:p>
    <w:p>
      <w:pPr>
        <w:spacing w:after="0" w:line="33"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The Company has concentration in the volume of purchases it conducts with its suppliers. For the fiscal year ended September 28, 2024, there were two suppliers that accounted for greater than 10% of total purchases, and the aggregate purchases from those two suppliers amounted to $343.0 million. For the fiscal year ended September 30, 2023, there was one supplier that accounted for greater than 10% of total purchases, and the aggregate purchases from that supplier amounted to $164.8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Fair Value Measurements</w:t>
      </w:r>
    </w:p>
    <w:p>
      <w:pPr>
        <w:spacing w:after="0" w:line="33"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Company’s financial instruments consist of cash and cash equivalents, marketable securities, accounts receivable, and accounts payable. The carrying amounts of these financial instruments approximate their fair value due to their short-term nature.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Derivative Instruments</w:t>
      </w:r>
    </w:p>
    <w:p>
      <w:pPr>
        <w:spacing w:after="0" w:line="43" w:lineRule="exact"/>
        <w:rPr>
          <w:sz w:val="20"/>
          <w:szCs w:val="20"/>
          <w:color w:val="auto"/>
        </w:rPr>
      </w:pPr>
    </w:p>
    <w:p>
      <w:pPr>
        <w:jc w:val="both"/>
        <w:ind w:right="80" w:firstLine="240"/>
        <w:spacing w:after="0" w:line="294" w:lineRule="auto"/>
        <w:rPr>
          <w:sz w:val="20"/>
          <w:szCs w:val="20"/>
          <w:color w:val="auto"/>
        </w:rPr>
      </w:pPr>
      <w:r>
        <w:rPr>
          <w:rFonts w:ascii="Times New Roman" w:cs="Times New Roman" w:eastAsia="Times New Roman" w:hAnsi="Times New Roman"/>
          <w:sz w:val="13"/>
          <w:szCs w:val="13"/>
          <w:color w:val="auto"/>
        </w:rPr>
        <w:t xml:space="preserve">The Company entered into warrant agreements and a development and supply agreement with a supplier that, subject to meeting certain conditions, entitles the Company to acquire a fixed number of shares of the supplier during a period of time set forth in the warrant agreements. The warrants are accounted for as a derivative instrument under ASC Topic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Inventories</w:t>
      </w:r>
    </w:p>
    <w:p>
      <w:pPr>
        <w:spacing w:after="0" w:line="33" w:lineRule="exact"/>
        <w:rPr>
          <w:sz w:val="20"/>
          <w:szCs w:val="20"/>
          <w:color w:val="auto"/>
        </w:rPr>
      </w:pPr>
    </w:p>
    <w:p>
      <w:pPr>
        <w:jc w:val="both"/>
        <w:ind w:right="80" w:firstLine="240"/>
        <w:spacing w:after="0" w:line="276" w:lineRule="auto"/>
        <w:rPr>
          <w:sz w:val="20"/>
          <w:szCs w:val="20"/>
          <w:color w:val="auto"/>
        </w:rPr>
      </w:pPr>
      <w:r>
        <w:rPr>
          <w:rFonts w:ascii="Times New Roman" w:cs="Times New Roman" w:eastAsia="Times New Roman" w:hAnsi="Times New Roman"/>
          <w:sz w:val="13"/>
          <w:szCs w:val="13"/>
          <w:color w:val="auto"/>
        </w:rPr>
        <w:t>Inventories are stated at the lower of cost or net realizable value. Cost approximates actual cost on a first-in, first-out basis. Adjustments to reduce the cost of inventory to its net realizable value are made, if required, for estimated excess, obsolete, or impaired balances. At the point of the loss recognition, a new, lower cost basis for that inventory is established, and subsequent changes in facts and circumstances do not result in the restoration or increase in that newly established cost basis.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Property and Equipment and Internal Use Software</w:t>
      </w:r>
    </w:p>
    <w:p>
      <w:pPr>
        <w:spacing w:after="0" w:line="33" w:lineRule="exact"/>
        <w:rPr>
          <w:sz w:val="20"/>
          <w:szCs w:val="20"/>
          <w:color w:val="auto"/>
        </w:rPr>
      </w:pPr>
    </w:p>
    <w:p>
      <w:pPr>
        <w:jc w:val="both"/>
        <w:ind w:right="60" w:firstLine="240"/>
        <w:spacing w:after="0" w:line="276" w:lineRule="auto"/>
        <w:rPr>
          <w:sz w:val="20"/>
          <w:szCs w:val="20"/>
          <w:color w:val="auto"/>
        </w:rPr>
      </w:pPr>
      <w:r>
        <w:rPr>
          <w:rFonts w:ascii="Times New Roman" w:cs="Times New Roman" w:eastAsia="Times New Roman" w:hAnsi="Times New Roman"/>
          <w:sz w:val="13"/>
          <w:szCs w:val="13"/>
          <w:color w:val="auto"/>
        </w:rPr>
        <w:t>Property and equipment include purchases of items with a per-unit value greater than $2,000 and an estimated useful life greater than one year. Property and equipment are recorded at cost upon acquisition. Depreciation is computed using the straight-line method and depreciation expense is allocated between cost of revenue, research and development expenses, and selling, general, and administrative expenses on the statements of operations over the following estimated useful lives: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40" w:type="dxa"/>
            <w:vAlign w:val="bottom"/>
            <w:tcBorders>
              <w:bottom w:val="single" w:sz="8" w:color="CCEEFF"/>
            </w:tcBorders>
          </w:tcPr>
          <w:p>
            <w:pPr>
              <w:spacing w:after="0"/>
              <w:rPr>
                <w:sz w:val="13"/>
                <w:szCs w:val="13"/>
                <w:color w:val="auto"/>
              </w:rPr>
            </w:pPr>
          </w:p>
        </w:tc>
        <w:tc>
          <w:tcPr>
            <w:tcW w:w="56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18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equipment and software, furniture and fixtures, and test and other equipment</w:t>
            </w: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3 - 5 years</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Internal use software</w:t>
            </w:r>
          </w:p>
        </w:tc>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 years</w:t>
            </w:r>
          </w:p>
        </w:tc>
      </w:tr>
      <w:tr>
        <w:trPr>
          <w:trHeight w:val="30"/>
        </w:trPr>
        <w:tc>
          <w:tcPr>
            <w:tcW w:w="564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Shorter of estimated useful life or remaining term of the lease</w:t>
            </w:r>
          </w:p>
        </w:tc>
      </w:tr>
      <w:tr>
        <w:trPr>
          <w:trHeight w:val="30"/>
        </w:trPr>
        <w:tc>
          <w:tcPr>
            <w:tcW w:w="564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Expenditures that improve or extend the life of an asset are capitalized while repairs and maintenance expenditures are expensed as incurred. The Company periodically reviews the estimated useful lives of property and equipment. Changes to the estimated useful lives are recorded prospectively from the date of the change. As assets are retired or sold, the related cost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5" w:name="page86"/>
    <w:bookmarkEnd w:id="8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accumulated depreciation are removed from the accounts, and any resulting gain or loss is included in loss from operations.</w:t>
      </w:r>
    </w:p>
    <w:p>
      <w:pPr>
        <w:spacing w:after="0" w:line="51" w:lineRule="exact"/>
        <w:rPr>
          <w:sz w:val="20"/>
          <w:szCs w:val="20"/>
          <w:color w:val="auto"/>
        </w:rPr>
      </w:pPr>
    </w:p>
    <w:p>
      <w:pPr>
        <w:ind w:right="100" w:firstLine="240"/>
        <w:spacing w:after="0" w:line="263" w:lineRule="auto"/>
        <w:rPr>
          <w:sz w:val="20"/>
          <w:szCs w:val="20"/>
          <w:color w:val="auto"/>
        </w:rPr>
      </w:pPr>
      <w:r>
        <w:rPr>
          <w:rFonts w:ascii="Times New Roman" w:cs="Times New Roman" w:eastAsia="Times New Roman" w:hAnsi="Times New Roman"/>
          <w:sz w:val="13"/>
          <w:szCs w:val="13"/>
          <w:color w:val="auto"/>
        </w:rPr>
        <w:t xml:space="preserve">The Company capitalizes certain internal and external costs incurred to acquire or create internal use software. Capitalized costs include external consulting fees, payroll and payroll-related costs and stock-based compensation for employees who are directly associated with, and who devote time to, the Company’s internal use software projects. Capitalization begins when the planning stage is complete and the Company commits resources to the software project; capitalization continues during the application development stage and ceases when the software has been tested and is ready for its intended use. Costs incurred during the planning, training, and post-implementation stages of the software development life cycle are expensed as incurred. Capitalized internal use software is included in property, plant, and equipment and is depreciated over 5 years once development is complete. For capitalized internal use software costs which meet the criteria of a hosting arrangement that is a service contract, such as the Company’s costs capitalized related to its ERP implementation project, these costs are capitalized to prepaid expenses and other current assets on the Company’s consolidated balance sheets. Refer to Note 9, </w:t>
      </w:r>
      <w:r>
        <w:rPr>
          <w:rFonts w:ascii="Times New Roman" w:cs="Times New Roman" w:eastAsia="Times New Roman" w:hAnsi="Times New Roman"/>
          <w:sz w:val="13"/>
          <w:szCs w:val="13"/>
          <w:i w:val="1"/>
          <w:iCs w:val="1"/>
          <w:color w:val="auto"/>
        </w:rPr>
        <w:t xml:space="preserve">Property and Equipment </w:t>
      </w:r>
      <w:r>
        <w:rPr>
          <w:rFonts w:ascii="Times New Roman" w:cs="Times New Roman" w:eastAsia="Times New Roman" w:hAnsi="Times New Roman"/>
          <w:sz w:val="13"/>
          <w:szCs w:val="13"/>
          <w:color w:val="auto"/>
        </w:rPr>
        <w:t>for further discussion of these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Acquired Intangible Assets and Long-Lived Assets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Acquired intangible assets consist of developed technology, customer relationships, and trademarks. Acquired intangible assets are amortized on a straight-line basis over their estimated useful lives.</w:t>
      </w:r>
    </w:p>
    <w:p>
      <w:pPr>
        <w:spacing w:after="0" w:line="51"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The Company periodically evaluates the recoverability of its long-lived assets, such as property and equipment and intangible assets, whenever events or changes in circumstances indicate that the carrying amount of an asset may not be fully recoverable. If circumstances require a long-lived asset or asset group to be tested for impairment, then assets are required to be grouped and evaluated at the lowest level for which there are identifiable cash flows that are largely independent of the cash flows of other groups of assets. If the carrying amount of the assets exceeds the expected future undiscounted net cash flows to be generated by the assets, then an impairment charge is recognized to the extent the carrying amount of the asset exceeds its fair value. No impairment losses were recognized in the years ended September 28, 2024 and September 24, 2022 and $0.1 million impairment losses were recognized in the year ended September 30, 2023.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Leases</w:t>
      </w:r>
    </w:p>
    <w:p>
      <w:pPr>
        <w:spacing w:after="0" w:line="43"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The Company determines if an arrangement is a lease at its inception. When the arrangements include lease and non-lease components, the Company separates them and does not account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right-of-use (“ROU”) assets and lease liabilities when it is reasonably certain they will be exercised. The Company will reassess expected lease terms based on changes in circumstances that indicate options may be more or less likely to be exercised.</w:t>
      </w:r>
    </w:p>
    <w:p>
      <w:pPr>
        <w:spacing w:after="0" w:line="11"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The Company has lease arrangements that include variable rental payments. The future variability of these payments and adjustments are unknown and therefore are not included in minimum rental payments used to determine the ROU assets and lease liabilities. The Company has lease arrangements where it makes separate payments to the lessor based on the lessor’s common area maintenance expenses, property and casualty insurance costs, property taxes assessed on the property, and other variable expenses. Variable rental payments are recognized in the period in which their associated obligation is incurred.</w:t>
      </w:r>
    </w:p>
    <w:p>
      <w:pPr>
        <w:spacing w:after="0" w:line="5"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As most of the Company’s lease arrangements do not provide an implicit interest rate, an incremental borrowing rate is applied in determining the present value of future payments. The Company’s incremental borrowing rate is selected based upon information available at the lease commencement date and represents the Company’s estimate of an interest rate that it would be able to obtain from a lender to borrow, on a collateralized basis, over a similar term to obtain an asset of similar value in a similar economic environment.</w:t>
      </w:r>
    </w:p>
    <w:p>
      <w:pPr>
        <w:spacing w:after="0" w:line="5" w:lineRule="exact"/>
        <w:rPr>
          <w:sz w:val="20"/>
          <w:szCs w:val="20"/>
          <w:color w:val="auto"/>
        </w:rPr>
      </w:pPr>
    </w:p>
    <w:p>
      <w:pPr>
        <w:ind w:right="20" w:firstLine="240"/>
        <w:spacing w:after="0" w:line="276" w:lineRule="auto"/>
        <w:rPr>
          <w:sz w:val="20"/>
          <w:szCs w:val="20"/>
          <w:color w:val="auto"/>
        </w:rPr>
      </w:pPr>
      <w:r>
        <w:rPr>
          <w:rFonts w:ascii="Times New Roman" w:cs="Times New Roman" w:eastAsia="Times New Roman" w:hAnsi="Times New Roman"/>
          <w:sz w:val="13"/>
          <w:szCs w:val="13"/>
          <w:color w:val="auto"/>
        </w:rPr>
        <w:t>The ROU assets are reported as “Other long-term assets” and lease liabilities are reported as “Other current liabilities” and “Other long-term liabilities” on the consolidated balance sheets. Operating lease expense is recognized on a straight-line basis over the lease term and is included in “Selling, general, and administrative expenses” in the consolidated statements of operations. Variable lease expense is included in “Selling, general, and administrative expenses” in the consolidated statements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Revenue Recognition</w:t>
      </w:r>
    </w:p>
    <w:p>
      <w:pPr>
        <w:spacing w:after="0" w:line="33" w:lineRule="exact"/>
        <w:rPr>
          <w:sz w:val="20"/>
          <w:szCs w:val="20"/>
          <w:color w:val="auto"/>
        </w:rPr>
      </w:pPr>
    </w:p>
    <w:p>
      <w:pPr>
        <w:ind w:right="560" w:firstLine="240"/>
        <w:spacing w:after="0" w:line="294" w:lineRule="auto"/>
        <w:rPr>
          <w:sz w:val="20"/>
          <w:szCs w:val="20"/>
          <w:color w:val="auto"/>
        </w:rPr>
      </w:pPr>
      <w:r>
        <w:rPr>
          <w:rFonts w:ascii="Times New Roman" w:cs="Times New Roman" w:eastAsia="Times New Roman" w:hAnsi="Times New Roman"/>
          <w:sz w:val="13"/>
          <w:szCs w:val="13"/>
          <w:color w:val="auto"/>
        </w:rPr>
        <w:t>Revenue is recognized in accordance with the five-step model set forth by Accounting Standards Update (“ASU”) 2014-09, Revenue from Contracts with Customers (“Topic 606”), which involves identification of the contract, identification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6" w:name="page87"/>
    <w:bookmarkEnd w:id="8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3"/>
          <w:szCs w:val="13"/>
          <w:color w:val="auto"/>
        </w:rPr>
        <w:t>of performance obligations in the contract, determination of the transaction price, allocation of the transaction price to the previously identified performance obligations, and revenue recognition as the performance obligations are satisfied.</w:t>
      </w:r>
    </w:p>
    <w:p>
      <w:pPr>
        <w:spacing w:after="0" w:line="1"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The Company generates revenue through its design and installation of supply chain automation systems (the “Systems”) to automate customers’ depalletizing, storage, selection, and palletization warehousing processes. The Systems have both a hardware component and an essential software component that enables the system to be programmed to operate within specific customer environments. The Company enters into contracts with customers that can include promises to (1) design and install the System, (2) provide software maintenance and support related to the System, and (3) assist customers in operating the System. These promises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product or service is separately identifiable from other products and services in the contract.</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has identified the following distinct performance obligations in its contracts with customers:</w:t>
      </w:r>
    </w:p>
    <w:p>
      <w:pPr>
        <w:spacing w:after="0" w:line="49" w:lineRule="exact"/>
        <w:rPr>
          <w:sz w:val="20"/>
          <w:szCs w:val="20"/>
          <w:color w:val="auto"/>
        </w:rPr>
      </w:pPr>
    </w:p>
    <w:p>
      <w:pPr>
        <w:ind w:left="360" w:hanging="360"/>
        <w:spacing w:after="0" w:line="267" w:lineRule="auto"/>
        <w:tabs>
          <w:tab w:leader="none" w:pos="3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Systems</w:t>
      </w:r>
      <w:r>
        <w:rPr>
          <w:rFonts w:ascii="Times New Roman" w:cs="Times New Roman" w:eastAsia="Times New Roman" w:hAnsi="Times New Roman"/>
          <w:sz w:val="13"/>
          <w:szCs w:val="13"/>
          <w:color w:val="auto"/>
        </w:rPr>
        <w:t>: The Company designs, assembles, and installs modular hardware systems and performs configuration of essential software. Systems include the delivery of hardware and an essential software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component, sold as either a perpetual or term-based on-premise license, that automate customers’ depalletizing, storage, selection, and palletization warehousing processes. The modular hardware and essential software are each not capable of being distinct because a customer cannot benefit from the hardware or software on their own. Accordingly, they are treated as a single performance obligation. Fees for systems are typically fixed or cost-plus fixed fee amounts that are due based on the achievement of a variety of milestones beginning at contract inception through final acceptance. The substantial majority of the Company’s software component is sold as a perpetual on-premise license; however, the Company does sell an immaterial amount of term-based on-premise licenses.</w:t>
      </w:r>
    </w:p>
    <w:p>
      <w:pPr>
        <w:spacing w:after="0" w:line="9" w:lineRule="exact"/>
        <w:rPr>
          <w:rFonts w:ascii="Times New Roman" w:cs="Times New Roman" w:eastAsia="Times New Roman" w:hAnsi="Times New Roman"/>
          <w:sz w:val="13"/>
          <w:szCs w:val="13"/>
          <w:color w:val="auto"/>
        </w:rPr>
      </w:pPr>
    </w:p>
    <w:p>
      <w:pPr>
        <w:ind w:left="360" w:right="20" w:hanging="360"/>
        <w:spacing w:after="0" w:line="277" w:lineRule="auto"/>
        <w:tabs>
          <w:tab w:leader="none" w:pos="3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Software maintenance and support</w:t>
      </w:r>
      <w:r>
        <w:rPr>
          <w:rFonts w:ascii="Times New Roman" w:cs="Times New Roman" w:eastAsia="Times New Roman" w:hAnsi="Times New Roman"/>
          <w:sz w:val="13"/>
          <w:szCs w:val="13"/>
          <w:color w:val="auto"/>
        </w:rPr>
        <w:t>: Software maintenance and support refer to support services that provide the customer with technical support, updates, and upgrades to the software license. Fees for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software maintenance and support services are typically payable in advance on a quarterly, or annual basis over the term of the software maintenance and support service contract, which term can range from one to 15 years but, for a substantial majority of the Company’s software maintenance and support contracts, is 15 years.</w:t>
      </w:r>
    </w:p>
    <w:p>
      <w:pPr>
        <w:spacing w:after="0" w:line="3" w:lineRule="exact"/>
        <w:rPr>
          <w:rFonts w:ascii="Times New Roman" w:cs="Times New Roman" w:eastAsia="Times New Roman" w:hAnsi="Times New Roman"/>
          <w:sz w:val="13"/>
          <w:szCs w:val="13"/>
          <w:color w:val="auto"/>
        </w:rPr>
      </w:pPr>
    </w:p>
    <w:p>
      <w:pPr>
        <w:ind w:left="360" w:right="180" w:hanging="360"/>
        <w:spacing w:after="0" w:line="277" w:lineRule="auto"/>
        <w:tabs>
          <w:tab w:leader="none" w:pos="3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Operation services</w:t>
      </w:r>
      <w:r>
        <w:rPr>
          <w:rFonts w:ascii="Times New Roman" w:cs="Times New Roman" w:eastAsia="Times New Roman" w:hAnsi="Times New Roman"/>
          <w:sz w:val="13"/>
          <w:szCs w:val="13"/>
          <w:color w:val="auto"/>
        </w:rPr>
        <w:t>: The Company provides the customer with assistance operating the System and ensuring user experience is optimized for efficiency and effectiveness. Fees for operation services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typically invoiced to customers on a time and materials basis monthly in arrears or using a fixed fee structure. Also included in Operation Services is revenue generated from the sales of spare parts to customers as needed to service their System.</w:t>
      </w:r>
    </w:p>
    <w:p>
      <w:pPr>
        <w:spacing w:after="0" w:line="5" w:lineRule="exact"/>
        <w:rPr>
          <w:sz w:val="20"/>
          <w:szCs w:val="20"/>
          <w:color w:val="auto"/>
        </w:rPr>
      </w:pPr>
    </w:p>
    <w:p>
      <w:pPr>
        <w:ind w:right="40" w:firstLine="240"/>
        <w:spacing w:after="0" w:line="264" w:lineRule="auto"/>
        <w:rPr>
          <w:sz w:val="20"/>
          <w:szCs w:val="20"/>
          <w:color w:val="auto"/>
        </w:rPr>
      </w:pPr>
      <w:r>
        <w:rPr>
          <w:rFonts w:ascii="Times New Roman" w:cs="Times New Roman" w:eastAsia="Times New Roman" w:hAnsi="Times New Roman"/>
          <w:sz w:val="13"/>
          <w:szCs w:val="13"/>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w:t>
      </w:r>
    </w:p>
    <w:p>
      <w:pPr>
        <w:ind w:right="80"/>
        <w:spacing w:after="0" w:line="274" w:lineRule="auto"/>
        <w:rPr>
          <w:sz w:val="20"/>
          <w:szCs w:val="20"/>
          <w:color w:val="auto"/>
        </w:rPr>
      </w:pPr>
      <w:r>
        <w:rPr>
          <w:rFonts w:ascii="Times New Roman" w:cs="Times New Roman" w:eastAsia="Times New Roman" w:hAnsi="Times New Roman"/>
          <w:sz w:val="13"/>
          <w:szCs w:val="13"/>
          <w:color w:val="auto"/>
        </w:rPr>
        <w:t>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spacing w:after="0" w:line="7" w:lineRule="exact"/>
        <w:rPr>
          <w:sz w:val="20"/>
          <w:szCs w:val="20"/>
          <w:color w:val="auto"/>
        </w:rPr>
      </w:pPr>
    </w:p>
    <w:p>
      <w:pPr>
        <w:ind w:right="180" w:firstLine="240"/>
        <w:spacing w:after="0" w:line="289" w:lineRule="auto"/>
        <w:rPr>
          <w:sz w:val="20"/>
          <w:szCs w:val="20"/>
          <w:color w:val="auto"/>
        </w:rPr>
      </w:pPr>
      <w:r>
        <w:rPr>
          <w:rFonts w:ascii="Times New Roman" w:cs="Times New Roman" w:eastAsia="Times New Roman" w:hAnsi="Times New Roman"/>
          <w:sz w:val="13"/>
          <w:szCs w:val="13"/>
          <w:color w:val="auto"/>
        </w:rPr>
        <w:t>For contracts that contain multiple performance obligations, the transaction price is allocated to each performance obligation based on the relative observable standalone selling price when available. If an observable standalone selling price is not available, the Company estimates the standalone selling price of each performance obligation, which is generally based on an expected cost plus a margin approach.</w:t>
      </w:r>
    </w:p>
    <w:p>
      <w:pPr>
        <w:spacing w:after="0" w:line="1" w:lineRule="exact"/>
        <w:rPr>
          <w:sz w:val="20"/>
          <w:szCs w:val="20"/>
          <w:color w:val="auto"/>
        </w:rPr>
      </w:pPr>
    </w:p>
    <w:p>
      <w:pPr>
        <w:ind w:right="120" w:firstLine="240"/>
        <w:spacing w:after="0" w:line="266" w:lineRule="auto"/>
        <w:rPr>
          <w:sz w:val="20"/>
          <w:szCs w:val="20"/>
          <w:color w:val="auto"/>
        </w:rPr>
      </w:pPr>
      <w:r>
        <w:rPr>
          <w:rFonts w:ascii="Times New Roman" w:cs="Times New Roman" w:eastAsia="Times New Roman" w:hAnsi="Times New Roman"/>
          <w:sz w:val="13"/>
          <w:szCs w:val="13"/>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 Systems revenue is predominantly recognized over time. Contract costs are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7" w:name="page88"/>
    <w:bookmarkEnd w:id="8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incurred over a period of time, which can span multiple years, and the estimation of these costs requires management’s judgment. Due to the nature of the work required to be performed on the Systems and the Company’s reliance on the availability and cost of materials required to be procured from third party vendors to build the systems, the estimation of total revenue and cost at completion is complex, subject to many variables, and requires significant judgment on a contract-by-contract basis. As part of this process, the Company reviews information including, but not limited to, any outstanding key contract matters, progress towards completion and the related program schedule, identified risks and opportunities and the related changes in estimates of revenue and costs.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w:t>
      </w:r>
    </w:p>
    <w:p>
      <w:pPr>
        <w:spacing w:after="0" w:line="15" w:lineRule="exact"/>
        <w:rPr>
          <w:sz w:val="20"/>
          <w:szCs w:val="20"/>
          <w:color w:val="auto"/>
        </w:rPr>
      </w:pPr>
    </w:p>
    <w:p>
      <w:pPr>
        <w:ind w:right="80" w:firstLine="240"/>
        <w:spacing w:after="0" w:line="289" w:lineRule="auto"/>
        <w:rPr>
          <w:sz w:val="20"/>
          <w:szCs w:val="20"/>
          <w:color w:val="auto"/>
        </w:rPr>
      </w:pPr>
      <w:r>
        <w:rPr>
          <w:rFonts w:ascii="Times New Roman" w:cs="Times New Roman" w:eastAsia="Times New Roman" w:hAnsi="Times New Roman"/>
          <w:sz w:val="13"/>
          <w:szCs w:val="13"/>
          <w:color w:val="auto"/>
        </w:rPr>
        <w:t>The transaction price allocated to the software maintenance and support services is recognized ratably as revenue over the term of the related contract. The transaction price allocated to operation services is recognized as revenue over time as the services are performed and costs are incurred.</w:t>
      </w:r>
    </w:p>
    <w:p>
      <w:pPr>
        <w:spacing w:after="0" w:line="1" w:lineRule="exact"/>
        <w:rPr>
          <w:sz w:val="20"/>
          <w:szCs w:val="20"/>
          <w:color w:val="auto"/>
        </w:rPr>
      </w:pPr>
    </w:p>
    <w:p>
      <w:pPr>
        <w:ind w:right="60" w:firstLine="240"/>
        <w:spacing w:after="0" w:line="264" w:lineRule="auto"/>
        <w:rPr>
          <w:sz w:val="20"/>
          <w:szCs w:val="20"/>
          <w:color w:val="auto"/>
        </w:rPr>
      </w:pPr>
      <w:r>
        <w:rPr>
          <w:rFonts w:ascii="Times New Roman" w:cs="Times New Roman" w:eastAsia="Times New Roman" w:hAnsi="Times New Roman"/>
          <w:sz w:val="13"/>
          <w:szCs w:val="13"/>
          <w:color w:val="auto"/>
        </w:rPr>
        <w:t>Typically, consideration is due from customers in advance or upon the achievement of billing milestones, the timing of which does not always align with the satisfaction of performance obligations, creating contract assets or contract liabilities. Contract assets primarily relate to the Company’s rights to consideration for work completed but not billed at the reporting date. Contract assets are transferred to accounts receivable when the rights become unconditional, which typically occurs within 12 months from the reporting date. Contract assets are presented as unbilled receivables in the consolidated balance sheets. Contract liabilities consist of deferred revenue and relate to the Company’s obligation to transfer goods and services in exchange for consideration already received or due from customers. Deferred revenue is recorded when the Company has a right to invoice or payments have been received for undelivered products or services, or in situations where revenue recognition criteria have not been met. Deferred revenue that will be recognized during the succeeding 12-month period is recorded as current deferred revenue, and the remaining portion is recorded as long-term deferred revenue.</w:t>
      </w:r>
    </w:p>
    <w:p>
      <w:pPr>
        <w:spacing w:after="0" w:line="15" w:lineRule="exact"/>
        <w:rPr>
          <w:sz w:val="20"/>
          <w:szCs w:val="20"/>
          <w:color w:val="auto"/>
        </w:rPr>
      </w:pPr>
    </w:p>
    <w:p>
      <w:pPr>
        <w:ind w:right="100" w:firstLine="240"/>
        <w:spacing w:after="0" w:line="264" w:lineRule="auto"/>
        <w:rPr>
          <w:sz w:val="20"/>
          <w:szCs w:val="20"/>
          <w:color w:val="auto"/>
        </w:rPr>
      </w:pPr>
      <w:r>
        <w:rPr>
          <w:rFonts w:ascii="Times New Roman" w:cs="Times New Roman" w:eastAsia="Times New Roman" w:hAnsi="Times New Roman"/>
          <w:sz w:val="13"/>
          <w:szCs w:val="13"/>
          <w:color w:val="auto"/>
        </w:rPr>
        <w:t>Costs to fulfill a contract are presented as deferred expenses on the consolidated balance sheets and consist of costs incurred by the Company to fulfill its obligations under a contract once it is obtained, but before transferring goods or services to the customer. These costs relate directly to a contract that the Company can specifically identify, are costs to generate or enhance resources of the Company that are used in satisfying performance obligations and are costs which are expected to be recovered. Accordingly, these costs are recognized on the consolidated balance sheets as an asset and are recognized consistent with the pattern of the transfer of the goods or services to which the asset relates. For all contracts, the Company recognizes anticipated contract losses as a charge to cost of revenue as soon as they become evident. There were no contract losses recorded in the consolidated statements of operations for the fiscal years ended September 28, 2024, September 30, 2023, and September 24, 2022. There were no anticipated contract losses recorded in accrued expenses on the consolidated balance sheets as of September 28, 2024 and September 30, 2023.</w:t>
      </w:r>
    </w:p>
    <w:p>
      <w:pPr>
        <w:spacing w:after="0" w:line="15"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The Company’s warehouse automation system generally provides for a limited warranty that promises customers that delivered products are as specified. The Company’s standard warranty provides for repair or replacement of the associated System parts during the warranty period. The Company records estimated warranty costs in the period the related revenue is recognized based on historical experience or expectations of future costs to repair or replace. Actual results could differ from these estimates, which could cause increases or decreases in warranty reserves in future periods.</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has not deferred sales commissions and other costs to obtain a contract because such amounts that would qualify for deferral are not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Warrant Transactions</w:t>
      </w:r>
    </w:p>
    <w:p>
      <w:pPr>
        <w:spacing w:after="0" w:line="3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strategic joint venture between the Symbotic Group and SoftBank, the entry into a Limited Liability Company Agreement of GreenBox and Master Services, License and Equipment Agreement and the issuance of a warrant to purchase Class A Common Stock of Symbotic (the “GreenBox Warrant”). The GreenBox Warrant issues SoftBank warrants to acquire up to an aggregate of 11,434,360 shares of Symbotic Class A common stock, subject to certain vesting conditions as GreenBox makes expenditures of the Company’s warehouse automation system under the Framework Agreement. Upon vesting, shares may be acquired at an exercise price of $41.9719. The right to purchase shares in connection with the GreenBox Warrant expires on July 23, 2032.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8" w:name="page89"/>
    <w:bookmarkEnd w:id="8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240"/>
        <w:spacing w:after="0" w:line="260" w:lineRule="auto"/>
        <w:rPr>
          <w:sz w:val="20"/>
          <w:szCs w:val="20"/>
          <w:color w:val="auto"/>
        </w:rPr>
      </w:pPr>
      <w:r>
        <w:rPr>
          <w:rFonts w:ascii="Times New Roman" w:cs="Times New Roman" w:eastAsia="Times New Roman" w:hAnsi="Times New Roman"/>
          <w:sz w:val="13"/>
          <w:szCs w:val="13"/>
          <w:color w:val="auto"/>
        </w:rPr>
        <w:t>On April 30, 2021, the Company and Walmart Inc. (“Walmart”) entered into a Subscription Agreement (the “Subscription Agreement”), in which the Company issued to Walmart warrants to acquire up to an aggregate of 714,022 shares of the Legacy Warehouse Class A Units (the “Warrants” and the Class A Units issuable thereunder, the “Warrant Units”), subject to certain vesting conditions. Warrants equivalent to 6.5% of the Company’s then outstanding and issuable Common Units, or 446,741 units, vested upon the signing of the Subscription Agreement. Warrants equivalent to up to 3.5% of the Company’s then outstanding and issuable Common Units, or 267,281 units, were subject to vest in connection with conditions defined by the terms of the Warrant, as Walmart made additional expenditures to the Company in connection with the Subscription Agreement, and vested on May 20, 2022. Upon vesting, units were acquired at an exercise price of $389.03. The right to purchase units in connection with the Subscription Agreement expires on April 30, 2031. On May 20, 2022, the Company and Walmart entered into the 2nd Amended and Restated Master Automation Agreement (“2nd A&amp;R MAA”), in which the Company issued to Walmart a new warrant to acquire up to an aggregate of 258,972 Legacy Warehouse Class A Units (“May 2022 Warrant”), subject to certain vesting conditions. In connection with the closing of the Business Combination, the May 2022 Warrant was converted into a new warrant to acquire up to an aggregate of 15,870,411 common units of Symbotic Holdings (“June 2022 Warrant” and, the common units of Symbotic Holdings issuable thereunder, the “Warrant Units”). Warrant Units equivalent to up to 3.6% of the Company’s then outstanding and issuable Common Units, or 15,870,411 units, may vest in connection with conditions defined by the terms of the June 2022 Warrant. Upon vesting, units may be acquired at an exercise price of $10.00. The right to purchase units in connection with the June 2022 Warrant expires on June 7, 2027. In December 2023, Walmart elected to gross exercise the vested warrants for $158.7 million. As a result of this gross exercise, 15,870,411 shares of Class V-1 Common Stock were issued to Walmart.</w:t>
      </w:r>
    </w:p>
    <w:p>
      <w:pPr>
        <w:spacing w:after="0" w:line="180" w:lineRule="exact"/>
        <w:rPr>
          <w:sz w:val="20"/>
          <w:szCs w:val="20"/>
          <w:color w:val="auto"/>
        </w:rPr>
      </w:pPr>
    </w:p>
    <w:p>
      <w:pPr>
        <w:ind w:right="20" w:firstLine="240"/>
        <w:spacing w:after="0" w:line="265" w:lineRule="auto"/>
        <w:rPr>
          <w:sz w:val="20"/>
          <w:szCs w:val="20"/>
          <w:color w:val="auto"/>
        </w:rPr>
      </w:pPr>
      <w:r>
        <w:rPr>
          <w:rFonts w:ascii="Times New Roman" w:cs="Times New Roman" w:eastAsia="Times New Roman" w:hAnsi="Times New Roman"/>
          <w:sz w:val="13"/>
          <w:szCs w:val="13"/>
          <w:color w:val="auto"/>
        </w:rPr>
        <w:t xml:space="preserve">The warrant units granted to Walmart and the GreenBox Warrant are accounted for as equity instruments and measured in accordance with ASC 718, </w:t>
      </w:r>
      <w:r>
        <w:rPr>
          <w:rFonts w:ascii="Times New Roman" w:cs="Times New Roman" w:eastAsia="Times New Roman" w:hAnsi="Times New Roman"/>
          <w:sz w:val="13"/>
          <w:szCs w:val="13"/>
          <w:i w:val="1"/>
          <w:iCs w:val="1"/>
          <w:color w:val="auto"/>
        </w:rPr>
        <w:t>Compensation—Stock Compensation</w:t>
      </w:r>
      <w:r>
        <w:rPr>
          <w:rFonts w:ascii="Times New Roman" w:cs="Times New Roman" w:eastAsia="Times New Roman" w:hAnsi="Times New Roman"/>
          <w:sz w:val="13"/>
          <w:szCs w:val="13"/>
          <w:color w:val="auto"/>
        </w:rPr>
        <w:t>. These instruments are classified in the consolidated statements of operations in accordance with ASC 606, Revenue from Contracts with Customers, and ASU 2019-08, Compensation—Stock Compensation (Topic 718) and Revenue from Contracts with Customers (Topic 606) (“ASU 2019-08”). For awards granted to a customer which are not in exchange for distinct goods or services, the fair value of the awards earned based on service or performance conditions is recorded as a reduction of the transaction price, in accordance with ASC 606. To determine the fair value of the warrants in accordance with ASC 718, the Company used pricing models based in part on assumptions for which management is required to use judgment. Based on the fair value of the awards, the Company determines the amount of warrant expense based on the customer’s pro-rata achievement of vesting conditions, which is recorded as a reduction to the transaction price.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Research and Development Expenses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Costs incurred in the research and development of the Company’s products are expensed as incurred, except for certain internal use software development costs eligible for capitalization as discussed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Research and development costs include personnel, contracted services, materials, and indirect costs involved in the design and development of new products and services, as well as depreciation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Expenses</w:t>
      </w:r>
    </w:p>
    <w:p>
      <w:pPr>
        <w:spacing w:after="0" w:line="43"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Selling, general, and administrative expenses include all costs that are not directly related to satisfaction of customer contracts or research and development. Selling, general, and administrative expenses include items for the Company’s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Stock-based Compensation</w:t>
      </w:r>
    </w:p>
    <w:p>
      <w:pPr>
        <w:spacing w:after="0" w:line="3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The Company recognizes compensation costs for all stock-based payment awards based upon the awards’ grant-date fair value. The stock-based payment awards include restricted stock units. For stock awards that contain only a service-based vesting feature, the Company recognizes compensation cost on a graded vesting basis over the award’s vesting period. For performance-based restricted stock awards that vest and become exercisable only upon achievement of specified performance conditions, the Company makes judgments and estimates each quarter about the probability that such performance conditions will be met or achieved. Any changes to those estimates that the Company makes from time to time may have a significant impact on the stock-based compensation expense recorded and could materially impact the Company’s results of operations. The Company recognizes the effect of pre-vesting forfeitures as they occur. The Company classifies stock-based compensation expense in its consolidated statements of operations in the same manner in which the award recipient’s salary and related costs are classified.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89" w:name="page90"/>
    <w:bookmarkEnd w:id="8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Income Taxes</w:t>
      </w:r>
    </w:p>
    <w:p>
      <w:pPr>
        <w:spacing w:after="0" w:line="33"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 xml:space="preserve">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Additionally, there are foreign subsidiaries of Symbotic Holdings that are subject to income tax in their local jurisdictions. Refer to Note 12,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for further details.</w:t>
      </w:r>
    </w:p>
    <w:p>
      <w:pPr>
        <w:spacing w:after="0" w:line="11" w:lineRule="exact"/>
        <w:rPr>
          <w:sz w:val="20"/>
          <w:szCs w:val="20"/>
          <w:color w:val="auto"/>
        </w:rPr>
      </w:pPr>
    </w:p>
    <w:p>
      <w:pPr>
        <w:ind w:firstLine="240"/>
        <w:spacing w:after="0" w:line="270" w:lineRule="auto"/>
        <w:rPr>
          <w:sz w:val="20"/>
          <w:szCs w:val="20"/>
          <w:color w:val="auto"/>
        </w:rPr>
      </w:pPr>
      <w:r>
        <w:rPr>
          <w:rFonts w:ascii="Times New Roman" w:cs="Times New Roman" w:eastAsia="Times New Roman" w:hAnsi="Times New Roman"/>
          <w:sz w:val="13"/>
          <w:szCs w:val="13"/>
          <w:color w:val="auto"/>
        </w:rPr>
        <w:t xml:space="preserve">The Company accounts for income taxes in accordance with ASC Topic 740, </w:t>
      </w:r>
      <w:r>
        <w:rPr>
          <w:rFonts w:ascii="Times New Roman" w:cs="Times New Roman" w:eastAsia="Times New Roman" w:hAnsi="Times New Roman"/>
          <w:sz w:val="13"/>
          <w:szCs w:val="13"/>
          <w:i w:val="1"/>
          <w:iCs w:val="1"/>
          <w:color w:val="auto"/>
        </w:rPr>
        <w:t>Accounting for Income Taxes</w:t>
      </w:r>
      <w:r>
        <w:rPr>
          <w:rFonts w:ascii="Times New Roman" w:cs="Times New Roman" w:eastAsia="Times New Roman" w:hAnsi="Times New Roman"/>
          <w:sz w:val="13"/>
          <w:szCs w:val="13"/>
          <w:color w:val="auto"/>
        </w:rPr>
        <w:t xml:space="preserve">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0"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ASC Topic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Receivable Agreement</w:t>
      </w:r>
    </w:p>
    <w:p>
      <w:pPr>
        <w:spacing w:after="0" w:line="43" w:lineRule="exact"/>
        <w:rPr>
          <w:sz w:val="20"/>
          <w:szCs w:val="20"/>
          <w:color w:val="auto"/>
        </w:rPr>
      </w:pPr>
    </w:p>
    <w:p>
      <w:pPr>
        <w:ind w:right="40" w:firstLine="240"/>
        <w:spacing w:after="0" w:line="263" w:lineRule="auto"/>
        <w:rPr>
          <w:sz w:val="20"/>
          <w:szCs w:val="20"/>
          <w:color w:val="auto"/>
        </w:rPr>
      </w:pPr>
      <w:r>
        <w:rPr>
          <w:rFonts w:ascii="Times New Roman" w:cs="Times New Roman" w:eastAsia="Times New Roman" w:hAnsi="Times New Roman"/>
          <w:sz w:val="13"/>
          <w:szCs w:val="13"/>
          <w:color w:val="auto"/>
        </w:rPr>
        <w:t>In connection with the Business Combination, the Company entered into a Tax Receivable Agreement, which generally provides for the payment by the Company to the TRA Holders of their proportionate share of 85% of the tax savings, if any, in U.S. federal and state income tax that is realized by the Company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the Company as a result of payments under the Tax Receivable Agreement. The Company records liabilities for amounts payable under the Tax Receivable Agreement in the period in which the payment is deemed to be probable. Further, payments under the Tax Receivable Agreement are only expected to be made in periods following the filing of a tax return in which the Company is able to utilize tax benefits described above to reduce its cash taxes paid to a taxing authority.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Emerging Growth Company</w:t>
      </w:r>
    </w:p>
    <w:p>
      <w:pPr>
        <w:spacing w:after="0" w:line="33"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For the fiscal years ended September 30, 2023 and September 24, 2022, the Company was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non-EGCs but any such an election to opt out is irrevocable. The Company had not elected to opt out of such extended transition period which means that when a financial accounting standard is issued or revised and it has different application dates for public or private companies, the Company, as an EGC, was allowed to adopt the new or revised standard at the time private companies adopt the new or revised standard. The Company was eligible to use this extended transition period under the JOBS Act until the earlier of the date it (i) is no longer an EGC or (ii) affirmatively and irrevocably opts out of the extended transition period provided in the JOBS Act.</w:t>
      </w:r>
    </w:p>
    <w:p>
      <w:pPr>
        <w:spacing w:after="0" w:line="17"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If any of the following conditions are met, then the Company ceases to be an EGC: (i) the end of the fiscal year in which total annual gross revenue exceeds $1.235 billion, (ii) the last day of the Company’s fiscal year following March 11, 2026 (the fifth anniversary of the date on which SVF 3 consummated the initial public offering of SVF 3), (iii) the date on which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0" w:name="page91"/>
    <w:bookmarkEnd w:id="9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the Company has issued more than $1.0 billion in non-convertible debt during the preceding three-year period; or (iv) the end of the fiscal year in which the market value of the Company’s common stock held by non-affiliates exceeds $700 million as of the last business day of the most recently completed second fiscal quarter. For the fiscal year ended September 28, 2024, the Company ceased to be an EGC, as the market value of the Company’s common stock held by non-affiliates as of the last business day of the most recently completed second fiscal quarter ended March 30, 2024 was approximately 1,934 million (based on the closing sales price of the Class A common stock on March 28, 2024 of $45.00).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Recently Issued Or Adopted Accounting Pronouncements</w:t>
      </w:r>
    </w:p>
    <w:p>
      <w:pPr>
        <w:spacing w:after="0" w:line="33"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The Company has implemented all applicable accounting pronouncements that are in effect and there are no new accounting pronouncements that have been issued that would have a material impact on its financial position or results of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Restatement of Previously Issued Unaudited Condensed Consolidated Financial Statements (Unaudited)</w:t>
      </w:r>
    </w:p>
    <w:p>
      <w:pPr>
        <w:spacing w:after="0" w:line="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color w:val="auto"/>
        </w:rPr>
        <w:t>As described in Item 4.02 of the Company’s Current Report on Form 8-K filed with the SEC on November 18, 2024, on November 18, 2024, the Audit Committee of the Board of Directors of the Company, after discussions with the Company’s management, determined that the Company’s unaudited condensed consolidated financial statements included in each of the Company’s Quarterly Reports on Form 10-Q for the periods ending December 30, 2023 (the “Q1 2024 Form 10-Q”), March 30, 2024 (the “Q2 2024 Form 10-Q”), and June 29, 2024 (the “Q3 2024 Form 10-Q”, and together with the Q1 2024 Form 10-Q and Q2 2024 Form 10-Q, the “2024 Form 10-Qs”), filed with the SEC on February 8, 2024, May 7, 2024, and July 31, 2024, respectively, should no longer be relied upon. As described in Item 4.02 of the Company’s Current Report on Form 8-K/A filed with the SEC on November 27, 2024, on November 25, 2024, the Company identified errors in its revenue recognition related to cost overruns on certain deployments that will not be billable, which additionally impacted the Company’s unaudited condensed consolidated financial statements included in the Q1 2024 Form 10-Q and the Q2 2024 Form 10-Q. The Company, on the recommendation of the Audit Committee of the Company’s Board of Directors, determined to also correct these errors in the previously issued unaudited interim financial statements for the second and third quarters of fiscal year 2024 that were previously filed in the Fiscal 2024 Form 10-Qs (the “Restatement”).</w:t>
      </w:r>
    </w:p>
    <w:p>
      <w:pPr>
        <w:spacing w:after="0" w:line="27" w:lineRule="exact"/>
        <w:rPr>
          <w:sz w:val="20"/>
          <w:szCs w:val="20"/>
          <w:color w:val="auto"/>
        </w:rPr>
      </w:pPr>
    </w:p>
    <w:p>
      <w:pPr>
        <w:ind w:firstLine="240"/>
        <w:spacing w:after="0" w:line="268" w:lineRule="auto"/>
        <w:rPr>
          <w:sz w:val="20"/>
          <w:szCs w:val="20"/>
          <w:color w:val="auto"/>
        </w:rPr>
      </w:pPr>
      <w:r>
        <w:rPr>
          <w:rFonts w:ascii="Times New Roman" w:cs="Times New Roman" w:eastAsia="Times New Roman" w:hAnsi="Times New Roman"/>
          <w:sz w:val="13"/>
          <w:szCs w:val="13"/>
          <w:color w:val="auto"/>
        </w:rPr>
        <w:t>The restatement of the 2024 Form 10-Qs is being made in connection with the Company’s identification, during fiscal year 2024, of 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errors were identified in the Company’s revenue recognition related to cost overruns on certain deployments that will not be billable, which additionally impacted System revenue. Further, the Company identified, during fiscal year 2024, a classification error within equity, which was corrected as part of the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1" w:name="page92"/>
    <w:bookmarkEnd w:id="9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two tables present the Company’s selected quarterly financial data (unaudited):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60"/>
        </w:trPr>
        <w:tc>
          <w:tcPr>
            <w:tcW w:w="4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w w:val="96"/>
              </w:rPr>
              <w:t>December 30, 2023</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March 30, 2024</w:t>
            </w: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415"/>
              <w:spacing w:after="0"/>
              <w:rPr>
                <w:sz w:val="20"/>
                <w:szCs w:val="20"/>
                <w:color w:val="auto"/>
              </w:rPr>
            </w:pPr>
            <w:r>
              <w:rPr>
                <w:rFonts w:ascii="Times New Roman" w:cs="Times New Roman" w:eastAsia="Times New Roman" w:hAnsi="Times New Roman"/>
                <w:sz w:val="11"/>
                <w:szCs w:val="11"/>
                <w:b w:val="1"/>
                <w:bCs w:val="1"/>
                <w:color w:val="auto"/>
                <w:w w:val="96"/>
              </w:rPr>
              <w:t>June 29, 2024</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September 28, 2024</w:t>
            </w:r>
          </w:p>
        </w:tc>
      </w:tr>
      <w:tr>
        <w:trPr>
          <w:trHeight w:val="151"/>
        </w:trPr>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As Restated</w:t>
            </w:r>
          </w:p>
        </w:tc>
        <w:tc>
          <w:tcPr>
            <w:tcW w:w="28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500" w:type="dxa"/>
            <w:vAlign w:val="bottom"/>
          </w:tcPr>
          <w:p>
            <w:pPr>
              <w:spacing w:after="0"/>
              <w:rPr>
                <w:sz w:val="13"/>
                <w:szCs w:val="13"/>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w w:val="96"/>
              </w:rPr>
              <w:t>As Restated</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9"/>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Revenue</w:t>
            </w: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Systems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347,705</w:t>
            </w:r>
          </w:p>
        </w:tc>
        <w:tc>
          <w:tcPr>
            <w:tcW w:w="8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370,693</w:t>
            </w:r>
          </w:p>
        </w:tc>
        <w:tc>
          <w:tcPr>
            <w:tcW w:w="80" w:type="dxa"/>
            <w:vAlign w:val="bottom"/>
          </w:tcPr>
          <w:p>
            <w:pPr>
              <w:spacing w:after="0"/>
              <w:rPr>
                <w:sz w:val="15"/>
                <w:szCs w:val="15"/>
                <w:color w:val="auto"/>
              </w:rPr>
            </w:pP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450,595</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536,447</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359,943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393,332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470,338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564,566</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Cost of revenue</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283,946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342,124</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398,761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442,010</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295,886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363,112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468,150</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0"/>
        </w:trPr>
        <w:tc>
          <w:tcPr>
            <w:tcW w:w="4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30,220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96,416</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0"/>
        </w:trPr>
        <w:tc>
          <w:tcPr>
            <w:tcW w:w="4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(64,894)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10,888</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 and equity method investment</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(55,082)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20,304</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(4,110)</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(54,830)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(26,724)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15,954</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(46,021)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13,118</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w:t>
            </w:r>
          </w:p>
        </w:tc>
      </w:tr>
      <w:tr>
        <w:trPr>
          <w:trHeight w:val="200"/>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per share of Class A Common Stock:</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and Diluted</w:t>
            </w:r>
            <w:r>
              <w:rPr>
                <w:rFonts w:ascii="Times New Roman" w:cs="Times New Roman" w:eastAsia="Times New Roman" w:hAnsi="Times New Roman"/>
                <w:sz w:val="17"/>
                <w:szCs w:val="17"/>
                <w:color w:val="auto"/>
                <w:vertAlign w:val="superscript"/>
              </w:rPr>
              <w:t>(1)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tcPr>
          <w:p>
            <w:pPr>
              <w:spacing w:after="0"/>
              <w:rPr>
                <w:sz w:val="20"/>
                <w:szCs w:val="20"/>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Pr>
          <w:p>
            <w:pPr>
              <w:spacing w:after="0"/>
              <w:rPr>
                <w:sz w:val="20"/>
                <w:szCs w:val="20"/>
                <w:color w:val="auto"/>
              </w:rPr>
            </w:pP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20"/>
                <w:szCs w:val="20"/>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For the three months ended September 28, 2024, basic and diluted EPS were calculated as the same value and as such presented on the same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2" w:name="page93"/>
    <w:bookmarkEnd w:id="9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60"/>
        </w:trPr>
        <w:tc>
          <w:tcPr>
            <w:tcW w:w="4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24, 2022</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March 25, 2023</w:t>
            </w: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June 24, 2023</w:t>
            </w: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60"/>
        </w:trPr>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gridSpan w:val="3"/>
          </w:tcPr>
          <w:p>
            <w:pPr>
              <w:jc w:val="right"/>
              <w:ind w:right="754"/>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Revenue</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Systems</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197,901</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257,603</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302,350</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380,205</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206,312</w:t>
            </w: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266,854</w:t>
            </w: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311,837</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391,888</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Cost of revenue</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160,931</w:t>
            </w: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213,060</w:t>
            </w: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244,660</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321,425</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cost of revenue</w:t>
            </w:r>
          </w:p>
        </w:tc>
        <w:tc>
          <w:tcPr>
            <w:tcW w:w="240" w:type="dxa"/>
            <w:vAlign w:val="bottom"/>
          </w:tcPr>
          <w:p>
            <w:pPr>
              <w:spacing w:after="0"/>
              <w:rPr>
                <w:sz w:val="15"/>
                <w:szCs w:val="15"/>
                <w:color w:val="auto"/>
              </w:rPr>
            </w:pPr>
          </w:p>
        </w:tc>
        <w:tc>
          <w:tcPr>
            <w:tcW w:w="14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171,118</w:t>
            </w:r>
          </w:p>
        </w:tc>
        <w:tc>
          <w:tcPr>
            <w:tcW w:w="320" w:type="dxa"/>
            <w:vAlign w:val="bottom"/>
          </w:tcPr>
          <w:p>
            <w:pPr>
              <w:spacing w:after="0"/>
              <w:rPr>
                <w:sz w:val="15"/>
                <w:szCs w:val="15"/>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224,007</w:t>
            </w:r>
          </w:p>
        </w:tc>
        <w:tc>
          <w:tcPr>
            <w:tcW w:w="540" w:type="dxa"/>
            <w:vAlign w:val="bottom"/>
          </w:tcPr>
          <w:p>
            <w:pPr>
              <w:spacing w:after="0"/>
              <w:rPr>
                <w:sz w:val="15"/>
                <w:szCs w:val="15"/>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258,928</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333,099</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0"/>
        </w:trPr>
        <w:tc>
          <w:tcPr>
            <w:tcW w:w="4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40" w:type="dxa"/>
            <w:vAlign w:val="bottom"/>
          </w:tcPr>
          <w:p>
            <w:pPr>
              <w:spacing w:after="0"/>
              <w:rPr>
                <w:sz w:val="15"/>
                <w:szCs w:val="15"/>
                <w:color w:val="auto"/>
              </w:rPr>
            </w:pPr>
          </w:p>
        </w:tc>
        <w:tc>
          <w:tcPr>
            <w:tcW w:w="14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35,194</w:t>
            </w:r>
          </w:p>
        </w:tc>
        <w:tc>
          <w:tcPr>
            <w:tcW w:w="320" w:type="dxa"/>
            <w:vAlign w:val="bottom"/>
          </w:tcPr>
          <w:p>
            <w:pPr>
              <w:spacing w:after="0"/>
              <w:rPr>
                <w:sz w:val="15"/>
                <w:szCs w:val="15"/>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42,847</w:t>
            </w:r>
          </w:p>
        </w:tc>
        <w:tc>
          <w:tcPr>
            <w:tcW w:w="540" w:type="dxa"/>
            <w:vAlign w:val="bottom"/>
          </w:tcPr>
          <w:p>
            <w:pPr>
              <w:spacing w:after="0"/>
              <w:rPr>
                <w:sz w:val="15"/>
                <w:szCs w:val="15"/>
                <w:color w:val="auto"/>
              </w:rPr>
            </w:pPr>
          </w:p>
        </w:tc>
        <w:tc>
          <w:tcPr>
            <w:tcW w:w="12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52,909</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58,789</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0"/>
        </w:trPr>
        <w:tc>
          <w:tcPr>
            <w:tcW w:w="4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240" w:type="dxa"/>
            <w:vAlign w:val="bottom"/>
          </w:tcPr>
          <w:p>
            <w:pPr>
              <w:spacing w:after="0"/>
              <w:rPr>
                <w:sz w:val="15"/>
                <w:szCs w:val="15"/>
                <w:color w:val="auto"/>
              </w:rPr>
            </w:pPr>
          </w:p>
        </w:tc>
        <w:tc>
          <w:tcPr>
            <w:tcW w:w="14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(69,569)</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(57,717)</w:t>
            </w:r>
          </w:p>
        </w:tc>
        <w:tc>
          <w:tcPr>
            <w:tcW w:w="540" w:type="dxa"/>
            <w:vAlign w:val="bottom"/>
          </w:tcPr>
          <w:p>
            <w:pPr>
              <w:spacing w:after="0"/>
              <w:rPr>
                <w:sz w:val="15"/>
                <w:szCs w:val="15"/>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(42,009)</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(53,935)</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(67,735)</w:t>
            </w: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(55,433)</w:t>
            </w: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(39,072)</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(50,274)</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320" w:type="dxa"/>
            <w:vAlign w:val="bottom"/>
          </w:tcPr>
          <w:p>
            <w:pPr>
              <w:spacing w:after="0"/>
              <w:rPr>
                <w:sz w:val="15"/>
                <w:szCs w:val="15"/>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4,859</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(67,986)</w:t>
            </w: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(55,416)</w:t>
            </w: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(39,077)</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(45,415)</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240" w:type="dxa"/>
            <w:vAlign w:val="bottom"/>
          </w:tcPr>
          <w:p>
            <w:pPr>
              <w:spacing w:after="0"/>
              <w:rPr>
                <w:sz w:val="15"/>
                <w:szCs w:val="15"/>
                <w:color w:val="auto"/>
              </w:rPr>
            </w:pPr>
          </w:p>
        </w:tc>
        <w:tc>
          <w:tcPr>
            <w:tcW w:w="148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(60,793)</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(49,298)</w:t>
            </w:r>
          </w:p>
        </w:tc>
        <w:tc>
          <w:tcPr>
            <w:tcW w:w="540" w:type="dxa"/>
            <w:vAlign w:val="bottom"/>
          </w:tcPr>
          <w:p>
            <w:pPr>
              <w:spacing w:after="0"/>
              <w:rPr>
                <w:sz w:val="15"/>
                <w:szCs w:val="15"/>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(34,730)</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(39,207)</w:t>
            </w:r>
          </w:p>
        </w:tc>
      </w:tr>
      <w:tr>
        <w:trPr>
          <w:trHeight w:val="30"/>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common stockholders</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(6,208)</w:t>
            </w:r>
          </w:p>
        </w:tc>
      </w:tr>
      <w:tr>
        <w:trPr>
          <w:trHeight w:val="200"/>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per share of Class A Common Stock:</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and Diluted</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Mergers and Acquisitions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Business Combination</w:t>
      </w:r>
    </w:p>
    <w:p>
      <w:pPr>
        <w:spacing w:after="0" w:line="33" w:lineRule="exact"/>
        <w:rPr>
          <w:sz w:val="20"/>
          <w:szCs w:val="20"/>
          <w:color w:val="auto"/>
        </w:rPr>
      </w:pPr>
    </w:p>
    <w:p>
      <w:pPr>
        <w:ind w:right="60" w:firstLine="240"/>
        <w:spacing w:after="0" w:line="289" w:lineRule="auto"/>
        <w:rPr>
          <w:sz w:val="20"/>
          <w:szCs w:val="20"/>
          <w:color w:val="auto"/>
        </w:rPr>
      </w:pPr>
      <w:r>
        <w:rPr>
          <w:rFonts w:ascii="Times New Roman" w:cs="Times New Roman" w:eastAsia="Times New Roman" w:hAnsi="Times New Roman"/>
          <w:sz w:val="13"/>
          <w:szCs w:val="13"/>
          <w:color w:val="auto"/>
        </w:rPr>
        <w:t>On June 7, 2022 (the “Closing”), SVF 3 consummated the Business Combination pursuant to the Merger Agreement and Company Merger Agreement. In connection with the consummation of the Business Combination, the registrant changed its name from SVF Investment Corp. 3 to Symbotic Inc.</w:t>
      </w:r>
    </w:p>
    <w:p>
      <w:pPr>
        <w:spacing w:after="0" w:line="1"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As a result of and upon the effective time of the Domestication, among other things, each of the then-issued and outstanding Class A ordinary shares, par value $0.0001 per share, of SVF 3 (“SVF Class A Ordinary Shares”) automatically converted, on a one-for-one basis, into a share of Class A Common Stock, par value $0.0001 per share, of Symbotic (“Class A Common Stock”), and each of the then-issued and outstanding Class B ordinary shares, par value $0.0001 per share, of SVF 3 (“SVF Class B Ordinary Shares”) automatically converted, on a one-for-one basis, into a share of Class B Common Stock, par value $0.0001 per share, of Symbotic (“Class B Common Stock”).</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connection with the Closing, as contemplated by the Merger Agreement and Company Merger Agreement:</w:t>
      </w:r>
    </w:p>
    <w:p>
      <w:pPr>
        <w:spacing w:after="0" w:line="51" w:lineRule="exact"/>
        <w:rPr>
          <w:sz w:val="20"/>
          <w:szCs w:val="20"/>
          <w:color w:val="auto"/>
        </w:rPr>
      </w:pPr>
    </w:p>
    <w:p>
      <w:pPr>
        <w:ind w:left="480" w:hanging="239"/>
        <w:spacing w:after="0"/>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Legacy Warehouse merged with and into Symbotic Holdings, with Interim Symbotic surviving the merger;</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merged with and into Interim Symbotic, with Interim Symbotic surviving the merger as a subsidiary of Symbotic;</w:t>
      </w:r>
    </w:p>
    <w:p>
      <w:pPr>
        <w:spacing w:after="0" w:line="50" w:lineRule="exact"/>
        <w:rPr>
          <w:rFonts w:ascii="Times New Roman" w:cs="Times New Roman" w:eastAsia="Times New Roman" w:hAnsi="Times New Roman"/>
          <w:sz w:val="13"/>
          <w:szCs w:val="13"/>
          <w:color w:val="auto"/>
        </w:rPr>
      </w:pPr>
    </w:p>
    <w:p>
      <w:pPr>
        <w:ind w:left="480" w:right="160" w:hanging="239"/>
        <w:spacing w:after="0" w:line="289" w:lineRule="auto"/>
        <w:tabs>
          <w:tab w:leader="none" w:pos="47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of the Merger (the “Effective Time”), New Symbotic Holdings entered into the Second Amended and Restated Limited Liability Company Agreement of Symbotic Holdings LLC (the “New Symbotic Holdings LLC Agreement”), which, among other things, provided that Symbotic will be the managing member of New Symbotic Holdings; and</w:t>
      </w:r>
    </w:p>
    <w:p>
      <w:pPr>
        <w:ind w:left="480" w:right="20" w:hanging="239"/>
        <w:spacing w:after="0" w:line="276" w:lineRule="auto"/>
        <w:tabs>
          <w:tab w:leader="none" w:pos="47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each common unit of Interim Symbotic that was issued and outstanding immediately prior to the Effective Time was converted into the right to receive a number of common units in New Symbotic Holdings (“New Symbotic Holdings Common Units”), which New Symbotic Holdings Common Units entitle the holder to the distributions, allocations and other rights under the New Symbotic Holdings LLC Agreement, and an equal number of either shares of Class V-1 common stock, par value $0.0001, of Symbotic (“Class V-1 Common Stock”) or shares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3" w:name="page94"/>
    <w:bookmarkEnd w:id="9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right="300"/>
        <w:spacing w:after="0" w:line="289" w:lineRule="auto"/>
        <w:rPr>
          <w:sz w:val="20"/>
          <w:szCs w:val="20"/>
          <w:color w:val="auto"/>
        </w:rPr>
      </w:pPr>
      <w:r>
        <w:rPr>
          <w:rFonts w:ascii="Times New Roman" w:cs="Times New Roman" w:eastAsia="Times New Roman" w:hAnsi="Times New Roman"/>
          <w:sz w:val="13"/>
          <w:szCs w:val="13"/>
          <w:color w:val="auto"/>
        </w:rPr>
        <w:t>of Class V-3 common stock, par value $0.0001, of Symbotic (“Class V-3 Common Stock”), as well as the contingent right to receive certain earnout interests, in each case, as set forth in the Merger Agreement.</w:t>
      </w:r>
    </w:p>
    <w:p>
      <w:pPr>
        <w:spacing w:after="0" w:line="1"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Following the Business Combination, consistent with the Up-C structure, Legacy Warehouse unitholders hold their economic interests directly in New Symbotic Holdings. All other investors, including SVF 3 shareholders, hold their economic interests through Symbotic Inc. Legacy Warehouse unitholders also hold voting interests in Symbotic Inc. in the form of voting stock with no economic rights (including rights to dividends and distributions upon liquidation). The Company issued an aggregate of 60,844,573 shares of Class V-1 Common Stock and 416,933,025 shares of Class V-3 Common Stock, each of which is exchangeable, together with a New Symbotic Holdings Common Unit, into an equal number of Class A Common Stock. Each of the then-issued and outstanding shares of Class B Common Stock were converted into a share of Class A Common Stock at the Effective Time.</w:t>
      </w:r>
    </w:p>
    <w:p>
      <w:pPr>
        <w:spacing w:after="0" w:line="13" w:lineRule="exact"/>
        <w:rPr>
          <w:sz w:val="20"/>
          <w:szCs w:val="20"/>
          <w:color w:val="auto"/>
        </w:rPr>
      </w:pPr>
    </w:p>
    <w:p>
      <w:pPr>
        <w:ind w:right="40" w:firstLine="240"/>
        <w:spacing w:after="0" w:line="264" w:lineRule="auto"/>
        <w:rPr>
          <w:sz w:val="20"/>
          <w:szCs w:val="20"/>
          <w:color w:val="auto"/>
        </w:rPr>
      </w:pPr>
      <w:r>
        <w:rPr>
          <w:rFonts w:ascii="Times New Roman" w:cs="Times New Roman" w:eastAsia="Times New Roman" w:hAnsi="Times New Roman"/>
          <w:sz w:val="13"/>
          <w:szCs w:val="13"/>
          <w:color w:val="auto"/>
        </w:rPr>
        <w:t>Pursuant to the Merger Agreement, the Legacy Warehouse unitholders were entitled to receive an aggregate of up to 20.0 million New Symbotic Holdings Common Units and an equal number of shares of the Company's Class V-1 Common Stock (“Earnout Shares”). The Earnout Shares were to be issued if the Class A Common Stock volume weighted average price of shares was greater than or equal to $12.00 (“Triggering Event I”), $14.00 (“Triggering Event II”), and $16.00 (“Triggering Event III”) per share for a certain period of time. A total of 6,666,667 Earnout Shares were issued upon Triggering Event I, 6,666,667 Earnout Shares were issued upon Triggering Event II, and 6,666,666 Earnout Shares were issued upon Triggering Event III. All three triggering events were achieved by the end of the preceding fiscal year, September 30, 2023, which resulted in a one-time issuance of 20.0 million of New Symbotic Common Units and an equal number of shares of the Company’s Class V-1 Common Stock to certain existing stockholders of Symbotic Inc.</w:t>
      </w:r>
    </w:p>
    <w:p>
      <w:pPr>
        <w:spacing w:after="0" w:line="15" w:lineRule="exact"/>
        <w:rPr>
          <w:sz w:val="20"/>
          <w:szCs w:val="20"/>
          <w:color w:val="auto"/>
        </w:rPr>
      </w:pPr>
    </w:p>
    <w:p>
      <w:pPr>
        <w:ind w:right="240" w:firstLine="240"/>
        <w:spacing w:after="0" w:line="276" w:lineRule="auto"/>
        <w:rPr>
          <w:sz w:val="20"/>
          <w:szCs w:val="20"/>
          <w:color w:val="auto"/>
        </w:rPr>
      </w:pPr>
      <w:r>
        <w:rPr>
          <w:rFonts w:ascii="Times New Roman" w:cs="Times New Roman" w:eastAsia="Times New Roman" w:hAnsi="Times New Roman"/>
          <w:sz w:val="13"/>
          <w:szCs w:val="13"/>
          <w:color w:val="auto"/>
        </w:rPr>
        <w:t>In connection with the Domestication, the 9,040,000 shares held by SVF 3 insiders (“Sponsor Shares”) converted to the Company's Class A Common Stock. Pursuant to a letter agreement entered into in connection with the Merger Agreement (i) 60% or 5,424,000 Sponsor Shares vested at the Closing, (ii) 20% or 1,808,000 Sponsor Shares vested upon the occurrence of Triggering Event I, and (iii) 20% or 1,808,000 of the Sponsor Shares vested upon the occurrence of Triggering Event II.</w:t>
      </w:r>
    </w:p>
    <w:p>
      <w:pPr>
        <w:spacing w:after="0" w:line="5" w:lineRule="exact"/>
        <w:rPr>
          <w:sz w:val="20"/>
          <w:szCs w:val="20"/>
          <w:color w:val="auto"/>
        </w:rPr>
      </w:pPr>
    </w:p>
    <w:p>
      <w:pPr>
        <w:ind w:right="600" w:firstLine="240"/>
        <w:spacing w:after="0" w:line="289" w:lineRule="auto"/>
        <w:rPr>
          <w:sz w:val="20"/>
          <w:szCs w:val="20"/>
          <w:color w:val="auto"/>
        </w:rPr>
      </w:pPr>
      <w:r>
        <w:rPr>
          <w:rFonts w:ascii="Times New Roman" w:cs="Times New Roman" w:eastAsia="Times New Roman" w:hAnsi="Times New Roman"/>
          <w:sz w:val="13"/>
          <w:szCs w:val="13"/>
          <w:color w:val="auto"/>
        </w:rPr>
        <w:t>Concurrently with the execution of the Merger Agreement, the Company entered into subscription agreements with certain investors (the “PIPE”), pursuant to which the PIPE investors purchased, immediately prior to the closing, an aggregate of $205.0 million of the Company's Class A Common Stock at a purchase price of $10.00 per share, or 20.5 million Class A Common Stock.</w:t>
      </w:r>
    </w:p>
    <w:p>
      <w:pPr>
        <w:spacing w:after="0" w:line="1" w:lineRule="exact"/>
        <w:rPr>
          <w:sz w:val="20"/>
          <w:szCs w:val="20"/>
          <w:color w:val="auto"/>
        </w:rPr>
      </w:pPr>
    </w:p>
    <w:p>
      <w:pPr>
        <w:jc w:val="both"/>
        <w:ind w:right="140" w:firstLine="240"/>
        <w:spacing w:after="0" w:line="276" w:lineRule="auto"/>
        <w:rPr>
          <w:sz w:val="20"/>
          <w:szCs w:val="20"/>
          <w:color w:val="auto"/>
        </w:rPr>
      </w:pPr>
      <w:r>
        <w:rPr>
          <w:rFonts w:ascii="Times New Roman" w:cs="Times New Roman" w:eastAsia="Times New Roman" w:hAnsi="Times New Roman"/>
          <w:sz w:val="13"/>
          <w:szCs w:val="13"/>
          <w:color w:val="auto"/>
        </w:rPr>
        <w:t>In connection with SVF 3's initial public offering (“IPO”), SVF 3 entered into a forward purchase agreement (the “FPA”) with SVF II SPAC Investment 3 (DE) LLC (the “Forward Purchase Investor”), an affiliate of the sponsor of SVF 3, SVF Sponsor III (DE) LLC, pursuant to which the Forward Purchase Investor elected to purchase an aggregate of $200.0 million Class A Common Stock for $10.00 per share, or 20.0 million Class A Common Stock. The Forward Purchase was consummated immediately prior to the consummation of the Merger.</w:t>
      </w:r>
    </w:p>
    <w:p>
      <w:pPr>
        <w:spacing w:after="0" w:line="5"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Following the Closing, the Company purchased from an affiliated entity of the Symbotic Founder Common Units in New Symbotic Holdings for $300.0 million. Upon the Closing, the Company received net cash proceeds of $84.7 million. The following table reconciles the elements of the Business Combination to the consolidated statements of cash flows and the consolidated statements of stockholders' equity for the year ended September 24,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6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9"/>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proceeds from SVF 3, net of redemptions</w:t>
            </w:r>
          </w:p>
        </w:tc>
        <w:tc>
          <w:tcPr>
            <w:tcW w:w="36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47,021</w:t>
            </w:r>
          </w:p>
        </w:tc>
      </w:tr>
      <w:tr>
        <w:trPr>
          <w:trHeight w:val="18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proceeds from PIPE Financing</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205,000</w:t>
            </w:r>
          </w:p>
        </w:tc>
      </w:tr>
      <w:tr>
        <w:trPr>
          <w:trHeight w:val="30"/>
        </w:trPr>
        <w:tc>
          <w:tcPr>
            <w:tcW w:w="9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proceeds from forward purchase agreement</w:t>
            </w: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r>
      <w:tr>
        <w:trPr>
          <w:trHeight w:val="18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cash payment of transaction expenses and underwriting fees - SVF 3</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(30,315)</w:t>
            </w:r>
          </w:p>
        </w:tc>
      </w:tr>
      <w:tr>
        <w:trPr>
          <w:trHeight w:val="30"/>
        </w:trPr>
        <w:tc>
          <w:tcPr>
            <w:tcW w:w="9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proceeds from the Business Combination and PIPE Financing</w:t>
            </w:r>
          </w:p>
        </w:tc>
        <w:tc>
          <w:tcPr>
            <w:tcW w:w="3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421,706</w:t>
            </w:r>
          </w:p>
        </w:tc>
      </w:tr>
      <w:tr>
        <w:trPr>
          <w:trHeight w:val="18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repurchase by Symbotic Inc. of New Symbotic Holdings Common Units</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r>
      <w:tr>
        <w:trPr>
          <w:trHeight w:val="30"/>
        </w:trPr>
        <w:tc>
          <w:tcPr>
            <w:tcW w:w="9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received for Class V-1 and Class V-3 Common Stock</w:t>
            </w: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8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transaction expenses - Symbotic</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(37,104)</w:t>
            </w:r>
          </w:p>
        </w:tc>
      </w:tr>
      <w:tr>
        <w:trPr>
          <w:trHeight w:val="30"/>
        </w:trPr>
        <w:tc>
          <w:tcPr>
            <w:tcW w:w="9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contributions from the Business Combination</w:t>
            </w: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84,672</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4" w:name="page95"/>
    <w:bookmarkEnd w:id="9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total number of shares of the Company's common stock outstanding immediately following the Closing of the Business Combination was 528,441,744, comprised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40" w:type="dxa"/>
            <w:vAlign w:val="bottom"/>
            <w:tcBorders>
              <w:bottom w:val="single" w:sz="8" w:color="CCEEFF"/>
            </w:tcBorders>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Shares</w:t>
            </w:r>
          </w:p>
        </w:tc>
      </w:tr>
      <w:tr>
        <w:trPr>
          <w:trHeight w:val="189"/>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 Public Stockholders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4,540,146</w:t>
            </w:r>
          </w:p>
        </w:tc>
      </w:tr>
      <w:tr>
        <w:trPr>
          <w:trHeight w:val="18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A - Sponsor Shares (1) (4)</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5,624,000</w:t>
            </w:r>
          </w:p>
        </w:tc>
      </w:tr>
      <w:tr>
        <w:trPr>
          <w:trHeight w:val="30"/>
        </w:trPr>
        <w:tc>
          <w:tcPr>
            <w:tcW w:w="96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19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 Subscription Agreements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20,500,000</w:t>
            </w:r>
          </w:p>
        </w:tc>
      </w:tr>
      <w:tr>
        <w:trPr>
          <w:trHeight w:val="18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A - Forward Purchase Agreement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20,000,000</w:t>
            </w:r>
          </w:p>
        </w:tc>
      </w:tr>
      <w:tr>
        <w:trPr>
          <w:trHeight w:val="30"/>
        </w:trPr>
        <w:tc>
          <w:tcPr>
            <w:tcW w:w="5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0"/>
        </w:trPr>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Class V-1</w:t>
            </w:r>
          </w:p>
        </w:tc>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Legacy Warehouse Holders (1) (2) (3)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60,844,573</w:t>
            </w:r>
          </w:p>
        </w:tc>
      </w:tr>
      <w:tr>
        <w:trPr>
          <w:trHeight w:val="180"/>
        </w:trPr>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Class V-3</w:t>
            </w:r>
          </w:p>
        </w:tc>
        <w:tc>
          <w:tcPr>
            <w:tcW w:w="9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Legacy Warehouse Holders (1) (3)</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416,933,025</w:t>
            </w:r>
          </w:p>
        </w:tc>
      </w:tr>
      <w:tr>
        <w:trPr>
          <w:trHeight w:val="30"/>
        </w:trPr>
        <w:tc>
          <w:tcPr>
            <w:tcW w:w="9620" w:type="dxa"/>
            <w:vAlign w:val="bottom"/>
            <w:tcBorders>
              <w:bottom w:val="single" w:sz="8" w:color="CCEEFF"/>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Shares at Closing</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528,441,744</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20" w:hanging="179"/>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20,000,000 Earnout Interests and 3,616,000 Sponsor Shares which were subject to vesting based on achievement of certain share price targets.</w:t>
      </w:r>
    </w:p>
    <w:p>
      <w:pPr>
        <w:spacing w:after="0" w:line="50" w:lineRule="exact"/>
        <w:rPr>
          <w:rFonts w:ascii="Times New Roman" w:cs="Times New Roman" w:eastAsia="Times New Roman" w:hAnsi="Times New Roman"/>
          <w:sz w:val="13"/>
          <w:szCs w:val="13"/>
          <w:color w:val="auto"/>
        </w:rPr>
      </w:pPr>
    </w:p>
    <w:p>
      <w:pPr>
        <w:ind w:left="420" w:hanging="179"/>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approximately 15,870,411 unvested warrant units at the time of the Closing.</w:t>
      </w:r>
    </w:p>
    <w:p>
      <w:pPr>
        <w:spacing w:after="0" w:line="50" w:lineRule="exact"/>
        <w:rPr>
          <w:rFonts w:ascii="Times New Roman" w:cs="Times New Roman" w:eastAsia="Times New Roman" w:hAnsi="Times New Roman"/>
          <w:sz w:val="13"/>
          <w:szCs w:val="13"/>
          <w:color w:val="auto"/>
        </w:rPr>
      </w:pPr>
    </w:p>
    <w:p>
      <w:pPr>
        <w:ind w:left="420" w:hanging="179"/>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V-1 and V-3 common stock are non-economic and carry one and three votes per share, respectively, whereas Class A Common Stock are economic shares and have one vote per share.</w:t>
      </w:r>
    </w:p>
    <w:p>
      <w:pPr>
        <w:spacing w:after="0" w:line="50" w:lineRule="exact"/>
        <w:rPr>
          <w:rFonts w:ascii="Times New Roman" w:cs="Times New Roman" w:eastAsia="Times New Roman" w:hAnsi="Times New Roman"/>
          <w:sz w:val="13"/>
          <w:szCs w:val="13"/>
          <w:color w:val="auto"/>
        </w:rPr>
      </w:pPr>
    </w:p>
    <w:p>
      <w:pPr>
        <w:ind w:left="420" w:hanging="179"/>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200,000 shares issued as part of a working capital loan settlement.</w:t>
      </w:r>
    </w:p>
    <w:p>
      <w:pPr>
        <w:spacing w:after="0" w:line="51"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The Company incurred $37.1 million in transaction costs relating to the Business Combination with SVF 3, which was offset against additional paid-in capital in the Consolidated Statements of Changes in Redeemable Preferred and Common Units and Equity (Deficit).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Noncontrolling Interests</w:t>
      </w:r>
    </w:p>
    <w:p>
      <w:pPr>
        <w:spacing w:after="0" w:line="55"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Upon completion of the Business Combination, the Company issued an aggregate of 60,844,573 shares of Symbotic Class V-1 Common Stock and 416,933,025 shares of Symbotic Class V-3 Common Stock, excluding earnouts,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w:t>
      </w:r>
    </w:p>
    <w:p>
      <w:pPr>
        <w:spacing w:after="0" w:line="11" w:lineRule="exact"/>
        <w:rPr>
          <w:sz w:val="20"/>
          <w:szCs w:val="20"/>
          <w:color w:val="auto"/>
        </w:rPr>
      </w:pPr>
    </w:p>
    <w:p>
      <w:pPr>
        <w:ind w:right="540" w:firstLine="240"/>
        <w:spacing w:after="0" w:line="289" w:lineRule="auto"/>
        <w:rPr>
          <w:sz w:val="20"/>
          <w:szCs w:val="20"/>
          <w:color w:val="auto"/>
        </w:rPr>
      </w:pPr>
      <w:r>
        <w:rPr>
          <w:rFonts w:ascii="Times New Roman" w:cs="Times New Roman" w:eastAsia="Times New Roman" w:hAnsi="Times New Roman"/>
          <w:sz w:val="13"/>
          <w:szCs w:val="13"/>
          <w:color w:val="auto"/>
        </w:rPr>
        <w:t>The financial results of Legacy Warehouse were consolidated into Symbotic Inc. and the share of the consolidated net loss for the period June 7, 2022 through September 24, 2022 were allocated to noncontrolling interests.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ownership of Symbotic Inc. stock for the years ended September 28, 2024 and September 30, 2023, respectively.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Class V-1 and Class V-3</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Class V-1 and Class V-3</w:t>
            </w:r>
          </w:p>
        </w:tc>
        <w:tc>
          <w:tcPr>
            <w:tcW w:w="1280" w:type="dxa"/>
            <w:vAlign w:val="bottom"/>
          </w:tcPr>
          <w:p>
            <w:pPr>
              <w:spacing w:after="0"/>
              <w:rPr>
                <w:sz w:val="11"/>
                <w:szCs w:val="11"/>
                <w:color w:val="auto"/>
              </w:rPr>
            </w:pPr>
          </w:p>
        </w:tc>
      </w:tr>
      <w:tr>
        <w:trPr>
          <w:trHeight w:val="160"/>
        </w:trPr>
        <w:tc>
          <w:tcPr>
            <w:tcW w:w="286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280" w:type="dxa"/>
            <w:vAlign w:val="bottom"/>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24, 2022</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57,718,836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496,170,413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553,889,249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0"/>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3,051,364</w:t>
            </w:r>
          </w:p>
        </w:tc>
        <w:tc>
          <w:tcPr>
            <w:tcW w:w="8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3,051,364</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2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21,342,681</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(21,342,681)</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80"/>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Cancellations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(367,694)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(367,694)</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82,112,881</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474,460,038</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556,572,919</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85.2 %</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80"/>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13,520,629</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15,870,411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29,391,040</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2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9,055,867</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(9,055,867)</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80"/>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Cancellations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104,689,377</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481,274,582</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585,963,959</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82.1 %</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5" w:name="page96"/>
    <w:bookmarkEnd w:id="9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Revenue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Disaggregation of Revenue</w:t>
      </w:r>
    </w:p>
    <w:p>
      <w:pPr>
        <w:spacing w:after="0" w:line="33"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Contract Balances</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provides information about accounts receivable, unbilled accounts receivable, and contract liabilities from contracts with customers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89"/>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69,206</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Unbilled accounts receivable</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218,233</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121,149</w:t>
            </w:r>
          </w:p>
        </w:tc>
      </w:tr>
      <w:tr>
        <w:trPr>
          <w:trHeight w:val="30"/>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liabilities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805,547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787,227</w:t>
            </w:r>
          </w:p>
        </w:tc>
      </w:tr>
      <w:tr>
        <w:trPr>
          <w:trHeight w:val="30"/>
        </w:trPr>
        <w:tc>
          <w:tcPr>
            <w:tcW w:w="8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For the year ended September 24, 2022, the ending balance of accounts receivable, unbilled accounts receivable, and contract liabilities was $3.4 million, $101.8 million, and $425.7 million, respectively. During the years ended September 28, 2024 and September 30, 2023, the Company recognized $723.2 million and $387.6 million, respectively, of the contract liability balance at the beginning of the period as revenue upon transfer of the products or services to customers.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Remaining Performance Obligations</w:t>
      </w:r>
    </w:p>
    <w:p>
      <w:pPr>
        <w:spacing w:after="0" w:line="33" w:lineRule="exact"/>
        <w:rPr>
          <w:sz w:val="20"/>
          <w:szCs w:val="20"/>
          <w:color w:val="auto"/>
        </w:rPr>
      </w:pPr>
    </w:p>
    <w:p>
      <w:pPr>
        <w:ind w:firstLine="240"/>
        <w:spacing w:after="0" w:line="261" w:lineRule="auto"/>
        <w:rPr>
          <w:sz w:val="20"/>
          <w:szCs w:val="20"/>
          <w:color w:val="auto"/>
        </w:rPr>
      </w:pPr>
      <w:r>
        <w:rPr>
          <w:rFonts w:ascii="Times New Roman" w:cs="Times New Roman" w:eastAsia="Times New Roman" w:hAnsi="Times New Roman"/>
          <w:sz w:val="13"/>
          <w:szCs w:val="13"/>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September 28, 2024 was $22.4 billion, which is primarily comprised of undelivered or partially undelivered Systems under contract, and which a substantial majority relates to undelivered or partially undelivered Systems in connection with the Master Automation Agreement with Walmart to implement Systems in all of Walmart’s 42 regional distribution centers, as well as the Commercial Agreement with GreenBox for which Symbotic will implement its System into GreenBox distribution center locations. As the Company accounts for GreenBox as an equity method investment, the remaining performance obligation includes the Company’s proportionate share of unconsolidated variable interest entity contracts. The definition of remaining performance obligations excludes those contracts that provide the customer with the right to cancel or terminate the contract without incurring a substantial penalty as well as operation services contracts. The Company expects to recognize approximately 10% of its remaining performance obligations as revenue in the next 12 months, approximately 60% of its remaining performance obligations as revenue within 1 to 5 years,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Leases</w:t>
      </w:r>
    </w:p>
    <w:p>
      <w:pPr>
        <w:spacing w:after="0" w:line="55" w:lineRule="exact"/>
        <w:rPr>
          <w:sz w:val="20"/>
          <w:szCs w:val="20"/>
          <w:color w:val="auto"/>
        </w:rPr>
      </w:pPr>
    </w:p>
    <w:p>
      <w:pPr>
        <w:ind w:right="140" w:firstLine="240"/>
        <w:spacing w:after="0" w:line="294" w:lineRule="auto"/>
        <w:rPr>
          <w:sz w:val="20"/>
          <w:szCs w:val="20"/>
          <w:color w:val="auto"/>
        </w:rPr>
      </w:pPr>
      <w:r>
        <w:rPr>
          <w:rFonts w:ascii="Times New Roman" w:cs="Times New Roman" w:eastAsia="Times New Roman" w:hAnsi="Times New Roman"/>
          <w:sz w:val="13"/>
          <w:szCs w:val="13"/>
          <w:color w:val="auto"/>
        </w:rPr>
        <w:t>The Company leases office space in Wilmington, MA and Montreal, QC through operating lease arrangements. The Company has no finance lease agreements. The operating lease arrangements expire at various dates through December 2030.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177" w:right="359" w:bottom="1440" w:gutter="0" w:footer="0" w:header="0"/>
        </w:sectPr>
      </w:pPr>
    </w:p>
    <w:bookmarkStart w:id="96" w:name="page97"/>
    <w:bookmarkEnd w:id="9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the balance sheet location of the Company’s operating leases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2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0" w:type="dxa"/>
            <w:vAlign w:val="bottom"/>
          </w:tcPr>
          <w:p>
            <w:pPr>
              <w:spacing w:after="0"/>
              <w:rPr>
                <w:sz w:val="1"/>
                <w:szCs w:val="1"/>
                <w:color w:val="auto"/>
              </w:rPr>
            </w:pPr>
          </w:p>
        </w:tc>
      </w:tr>
      <w:tr>
        <w:trPr>
          <w:trHeight w:val="1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ROU assets:</w:t>
            </w:r>
          </w:p>
        </w:tc>
        <w:tc>
          <w:tcPr>
            <w:tcW w:w="3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assets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0" w:type="dxa"/>
            <w:vAlign w:val="bottom"/>
          </w:tcPr>
          <w:p>
            <w:pPr>
              <w:spacing w:after="0"/>
              <w:rPr>
                <w:sz w:val="1"/>
                <w:szCs w:val="1"/>
                <w:color w:val="auto"/>
              </w:rPr>
            </w:pPr>
          </w:p>
        </w:tc>
      </w:tr>
      <w:tr>
        <w:trPr>
          <w:trHeight w:val="30"/>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9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9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0" w:type="dxa"/>
            <w:vAlign w:val="bottom"/>
          </w:tcPr>
          <w:p>
            <w:pPr>
              <w:spacing w:after="0"/>
              <w:rPr>
                <w:sz w:val="1"/>
                <w:szCs w:val="1"/>
                <w:color w:val="auto"/>
              </w:rPr>
            </w:pPr>
          </w:p>
        </w:tc>
      </w:tr>
      <w:tr>
        <w:trPr>
          <w:trHeight w:val="180"/>
        </w:trPr>
        <w:tc>
          <w:tcPr>
            <w:tcW w:w="9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16,076</w:t>
            </w:r>
          </w:p>
        </w:tc>
        <w:tc>
          <w:tcPr>
            <w:tcW w:w="0" w:type="dxa"/>
            <w:vAlign w:val="bottom"/>
          </w:tcPr>
          <w:p>
            <w:pPr>
              <w:spacing w:after="0"/>
              <w:rPr>
                <w:sz w:val="1"/>
                <w:szCs w:val="1"/>
                <w:color w:val="auto"/>
              </w:rPr>
            </w:pPr>
          </w:p>
        </w:tc>
      </w:tr>
      <w:tr>
        <w:trPr>
          <w:trHeight w:val="30"/>
        </w:trPr>
        <w:tc>
          <w:tcPr>
            <w:tcW w:w="9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9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lease liabilities</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17,723</w:t>
            </w:r>
          </w:p>
        </w:tc>
        <w:tc>
          <w:tcPr>
            <w:tcW w:w="0" w:type="dxa"/>
            <w:vAlign w:val="bottom"/>
          </w:tcPr>
          <w:p>
            <w:pPr>
              <w:spacing w:after="0"/>
              <w:rPr>
                <w:sz w:val="1"/>
                <w:szCs w:val="1"/>
                <w:color w:val="auto"/>
              </w:rPr>
            </w:pPr>
          </w:p>
        </w:tc>
      </w:tr>
      <w:tr>
        <w:trPr>
          <w:trHeight w:val="20"/>
        </w:trPr>
        <w:tc>
          <w:tcPr>
            <w:tcW w:w="92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3"/>
                <w:szCs w:val="13"/>
                <w:color w:val="auto"/>
              </w:rPr>
              <w:t>The following table presents maturities of the Company’s operating lease liabilities as of September 28, 2024, presented under ASC Topic 842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0" w:type="dxa"/>
            <w:vAlign w:val="bottom"/>
          </w:tcPr>
          <w:p>
            <w:pPr>
              <w:spacing w:after="0"/>
              <w:rPr>
                <w:sz w:val="1"/>
                <w:szCs w:val="1"/>
                <w:color w:val="auto"/>
              </w:rPr>
            </w:pPr>
          </w:p>
        </w:tc>
      </w:tr>
      <w:tr>
        <w:trPr>
          <w:trHeight w:val="18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2025</w:t>
            </w:r>
          </w:p>
        </w:tc>
        <w:tc>
          <w:tcPr>
            <w:tcW w:w="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2,957</w:t>
            </w:r>
          </w:p>
        </w:tc>
        <w:tc>
          <w:tcPr>
            <w:tcW w:w="0" w:type="dxa"/>
            <w:vAlign w:val="bottom"/>
          </w:tcPr>
          <w:p>
            <w:pPr>
              <w:spacing w:after="0"/>
              <w:rPr>
                <w:sz w:val="1"/>
                <w:szCs w:val="1"/>
                <w:color w:val="auto"/>
              </w:rPr>
            </w:pP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2026</w:t>
            </w:r>
          </w:p>
        </w:tc>
        <w:tc>
          <w:tcPr>
            <w:tcW w:w="3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w:t>
            </w:r>
          </w:p>
        </w:tc>
        <w:tc>
          <w:tcPr>
            <w:tcW w:w="0" w:type="dxa"/>
            <w:vAlign w:val="bottom"/>
          </w:tcPr>
          <w:p>
            <w:pPr>
              <w:spacing w:after="0"/>
              <w:rPr>
                <w:sz w:val="1"/>
                <w:szCs w:val="1"/>
                <w:color w:val="auto"/>
              </w:rPr>
            </w:pPr>
          </w:p>
        </w:tc>
      </w:tr>
      <w:tr>
        <w:trPr>
          <w:trHeight w:val="30"/>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2027</w:t>
            </w:r>
          </w:p>
        </w:tc>
        <w:tc>
          <w:tcPr>
            <w:tcW w:w="3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3,681</w:t>
            </w:r>
          </w:p>
        </w:tc>
        <w:tc>
          <w:tcPr>
            <w:tcW w:w="0" w:type="dxa"/>
            <w:vAlign w:val="bottom"/>
          </w:tcPr>
          <w:p>
            <w:pPr>
              <w:spacing w:after="0"/>
              <w:rPr>
                <w:sz w:val="1"/>
                <w:szCs w:val="1"/>
                <w:color w:val="auto"/>
              </w:rPr>
            </w:pP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2028</w:t>
            </w:r>
          </w:p>
        </w:tc>
        <w:tc>
          <w:tcPr>
            <w:tcW w:w="3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w:t>
            </w:r>
          </w:p>
        </w:tc>
        <w:tc>
          <w:tcPr>
            <w:tcW w:w="0" w:type="dxa"/>
            <w:vAlign w:val="bottom"/>
          </w:tcPr>
          <w:p>
            <w:pPr>
              <w:spacing w:after="0"/>
              <w:rPr>
                <w:sz w:val="1"/>
                <w:szCs w:val="1"/>
                <w:color w:val="auto"/>
              </w:rPr>
            </w:pPr>
          </w:p>
        </w:tc>
      </w:tr>
      <w:tr>
        <w:trPr>
          <w:trHeight w:val="30"/>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2029 and thereafter</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8,955</w:t>
            </w:r>
          </w:p>
        </w:tc>
        <w:tc>
          <w:tcPr>
            <w:tcW w:w="0" w:type="dxa"/>
            <w:vAlign w:val="bottom"/>
          </w:tcPr>
          <w:p>
            <w:pPr>
              <w:spacing w:after="0"/>
              <w:rPr>
                <w:sz w:val="1"/>
                <w:szCs w:val="1"/>
                <w:color w:val="auto"/>
              </w:rPr>
            </w:pPr>
          </w:p>
        </w:tc>
      </w:tr>
      <w:tr>
        <w:trPr>
          <w:trHeight w:val="170"/>
        </w:trPr>
        <w:tc>
          <w:tcPr>
            <w:tcW w:w="9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future minimum payments</w:t>
            </w:r>
          </w:p>
        </w:tc>
        <w:tc>
          <w:tcPr>
            <w:tcW w:w="3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22,792</w:t>
            </w:r>
          </w:p>
        </w:tc>
        <w:tc>
          <w:tcPr>
            <w:tcW w:w="0" w:type="dxa"/>
            <w:vAlign w:val="bottom"/>
          </w:tcPr>
          <w:p>
            <w:pPr>
              <w:spacing w:after="0"/>
              <w:rPr>
                <w:sz w:val="1"/>
                <w:szCs w:val="1"/>
                <w:color w:val="auto"/>
              </w:rPr>
            </w:pPr>
          </w:p>
        </w:tc>
      </w:tr>
      <w:tr>
        <w:trPr>
          <w:trHeight w:val="30"/>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Implied interest</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0" w:type="dxa"/>
            <w:vAlign w:val="bottom"/>
          </w:tcPr>
          <w:p>
            <w:pPr>
              <w:spacing w:after="0"/>
              <w:rPr>
                <w:sz w:val="1"/>
                <w:szCs w:val="1"/>
                <w:color w:val="auto"/>
              </w:rPr>
            </w:pPr>
          </w:p>
        </w:tc>
      </w:tr>
      <w:tr>
        <w:trPr>
          <w:trHeight w:val="195"/>
        </w:trPr>
        <w:tc>
          <w:tcPr>
            <w:tcW w:w="9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lease liabilities</w:t>
            </w: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17,723</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both"/>
        <w:ind w:right="320" w:firstLine="240"/>
        <w:spacing w:after="0" w:line="276" w:lineRule="auto"/>
        <w:rPr>
          <w:sz w:val="20"/>
          <w:szCs w:val="20"/>
          <w:color w:val="auto"/>
        </w:rPr>
      </w:pPr>
      <w:r>
        <w:rPr>
          <w:rFonts w:ascii="Times New Roman" w:cs="Times New Roman" w:eastAsia="Times New Roman" w:hAnsi="Times New Roman"/>
          <w:sz w:val="13"/>
          <w:szCs w:val="13"/>
          <w:color w:val="auto"/>
        </w:rPr>
        <w:t>As of September 28, 2024, the weighted-average remaining lease term and the weighted-average incremental borrowing rate of the Company’s operating leases was approximately 5.88 years and 8.0%, respectively. Operating cash flows for amounts included in the measurement of the Company’s operating lease liabilities were $1.6 million for the year ended September 28, 2024. Net rental expense under operating leases was $4.8 million for the year ended September 28, 2024, $3.0 million for the year ended September 30, 2023, and $2.4 million for the year ended September 24, 2022.</w:t>
      </w:r>
    </w:p>
    <w:p>
      <w:pPr>
        <w:spacing w:after="0" w:line="5" w:lineRule="exact"/>
        <w:rPr>
          <w:sz w:val="20"/>
          <w:szCs w:val="20"/>
          <w:color w:val="auto"/>
        </w:rPr>
      </w:pPr>
    </w:p>
    <w:p>
      <w:pPr>
        <w:ind w:right="100" w:firstLine="240"/>
        <w:spacing w:after="0" w:line="294" w:lineRule="auto"/>
        <w:rPr>
          <w:sz w:val="20"/>
          <w:szCs w:val="20"/>
          <w:color w:val="auto"/>
        </w:rPr>
      </w:pPr>
      <w:r>
        <w:rPr>
          <w:rFonts w:ascii="Times New Roman" w:cs="Times New Roman" w:eastAsia="Times New Roman" w:hAnsi="Times New Roman"/>
          <w:sz w:val="13"/>
          <w:szCs w:val="13"/>
          <w:color w:val="auto"/>
        </w:rPr>
        <w:t>As previously disclosed in our fiscal year 2022 Annual Report on Form 10-K and under the previous lease accounting standard, the future minimum lease payments under all noncancellable operating lease agreements as of September 24, 2022 are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2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2023</w:t>
            </w:r>
          </w:p>
        </w:tc>
        <w:tc>
          <w:tcPr>
            <w:tcW w:w="48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2024</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r>
      <w:tr>
        <w:trPr>
          <w:trHeight w:val="30"/>
        </w:trPr>
        <w:tc>
          <w:tcPr>
            <w:tcW w:w="9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2025</w:t>
            </w:r>
          </w:p>
        </w:tc>
        <w:tc>
          <w:tcPr>
            <w:tcW w:w="4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2026</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30"/>
        </w:trPr>
        <w:tc>
          <w:tcPr>
            <w:tcW w:w="9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2027 and thereafter</w:t>
            </w:r>
          </w:p>
        </w:tc>
        <w:tc>
          <w:tcPr>
            <w:tcW w:w="4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9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future minimum payments</w:t>
            </w: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7,230</w:t>
            </w:r>
          </w:p>
        </w:tc>
      </w:tr>
      <w:tr>
        <w:trPr>
          <w:trHeight w:val="20"/>
        </w:trPr>
        <w:tc>
          <w:tcPr>
            <w:tcW w:w="9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7" w:name="page98"/>
    <w:bookmarkEnd w:id="9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Inventories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Inventories at September 28, 2024 and September 30, 2023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26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r>
      <w:tr>
        <w:trPr>
          <w:trHeight w:val="189"/>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 and components</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124,446</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Work in process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Finished goods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11,675</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inventories</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106,136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136,121</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jc w:val="both"/>
        <w:ind w:right="220" w:firstLine="240"/>
        <w:spacing w:after="0" w:line="276" w:lineRule="auto"/>
        <w:rPr>
          <w:sz w:val="20"/>
          <w:szCs w:val="20"/>
          <w:color w:val="auto"/>
        </w:rPr>
      </w:pPr>
      <w:r>
        <w:rPr>
          <w:rFonts w:ascii="Times New Roman" w:cs="Times New Roman" w:eastAsia="Times New Roman" w:hAnsi="Times New Roman"/>
          <w:sz w:val="13"/>
          <w:szCs w:val="13"/>
          <w:color w:val="auto"/>
        </w:rPr>
        <w:t xml:space="preserve">During fiscal year 2024, the Company recorded inventory restructuring charges of $33.4 million, primarily related to outsource of bot assembly and component inventory management. During fiscal year 2023, the Company recorded inventory restructuring charges of $19.8 million resulting from management’s commitment to actions to restructure within the U.S. and Canada, as further described in Note 10, </w:t>
      </w:r>
      <w:r>
        <w:rPr>
          <w:rFonts w:ascii="Times New Roman" w:cs="Times New Roman" w:eastAsia="Times New Roman" w:hAnsi="Times New Roman"/>
          <w:sz w:val="13"/>
          <w:szCs w:val="13"/>
          <w:i w:val="1"/>
          <w:iCs w:val="1"/>
          <w:color w:val="auto"/>
        </w:rPr>
        <w:t>Severance Charges</w:t>
      </w:r>
      <w:r>
        <w:rPr>
          <w:rFonts w:ascii="Times New Roman" w:cs="Times New Roman" w:eastAsia="Times New Roman" w:hAnsi="Times New Roman"/>
          <w:sz w:val="13"/>
          <w:szCs w:val="13"/>
          <w:color w:val="auto"/>
        </w:rPr>
        <w:t>. These charges were recorded within Systems Cost of Revenue in the Consolidated Statements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Property and Equipment</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Property and equipment at September 28, 2024 and September 30, 2023 consists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260" w:type="dxa"/>
            <w:vAlign w:val="bottom"/>
          </w:tcPr>
          <w:p>
            <w:pPr>
              <w:spacing w:after="0"/>
              <w:rPr>
                <w:sz w:val="16"/>
                <w:szCs w:val="16"/>
                <w:color w:val="auto"/>
              </w:rPr>
            </w:pP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r>
      <w:tr>
        <w:trPr>
          <w:trHeight w:val="189"/>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equipment and software, furniture and fixtures, and test and other equipment</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40,437</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Internal use software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5,638</w:t>
            </w: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w:t>
            </w:r>
          </w:p>
        </w:tc>
      </w:tr>
      <w:tr>
        <w:trPr>
          <w:trHeight w:val="170"/>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property and equipment</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131,232</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53,269</w:t>
            </w:r>
          </w:p>
        </w:tc>
      </w:tr>
      <w:tr>
        <w:trPr>
          <w:trHeight w:val="30"/>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(18,762)</w:t>
            </w:r>
          </w:p>
        </w:tc>
      </w:tr>
      <w:tr>
        <w:trPr>
          <w:trHeight w:val="195"/>
        </w:trPr>
        <w:tc>
          <w:tcPr>
            <w:tcW w:w="82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97,109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34,507</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right="100" w:firstLine="240"/>
        <w:spacing w:after="0" w:line="289" w:lineRule="auto"/>
        <w:rPr>
          <w:sz w:val="20"/>
          <w:szCs w:val="20"/>
          <w:color w:val="auto"/>
        </w:rPr>
      </w:pPr>
      <w:r>
        <w:rPr>
          <w:rFonts w:ascii="Times New Roman" w:cs="Times New Roman" w:eastAsia="Times New Roman" w:hAnsi="Times New Roman"/>
          <w:sz w:val="13"/>
          <w:szCs w:val="13"/>
          <w:color w:val="auto"/>
        </w:rPr>
        <w:t>Included within the $62.6 million net increase of property and equipment from September 30, 2023 to September 28, 2024 is approximately $38.5 million non-cash transfer of equipment from deferred cost to property and equipment related to equipment which the Company will be utilizing for internal operations.</w:t>
      </w:r>
    </w:p>
    <w:p>
      <w:pPr>
        <w:spacing w:after="0" w:line="1" w:lineRule="exact"/>
        <w:rPr>
          <w:sz w:val="20"/>
          <w:szCs w:val="20"/>
          <w:color w:val="auto"/>
        </w:rPr>
      </w:pPr>
    </w:p>
    <w:p>
      <w:pPr>
        <w:ind w:right="100" w:firstLine="240"/>
        <w:spacing w:after="0" w:line="288" w:lineRule="auto"/>
        <w:rPr>
          <w:sz w:val="20"/>
          <w:szCs w:val="20"/>
          <w:color w:val="auto"/>
        </w:rPr>
      </w:pPr>
      <w:r>
        <w:rPr>
          <w:rFonts w:ascii="Times New Roman" w:cs="Times New Roman" w:eastAsia="Times New Roman" w:hAnsi="Times New Roman"/>
          <w:sz w:val="13"/>
          <w:szCs w:val="13"/>
          <w:color w:val="auto"/>
        </w:rPr>
        <w:t>Depreciation expense was $13.0 million for the year ended September 28, 2024, $9.0 million for the year ended September 30, 2023, and $5.5 million for the year ended September 24, 2022. At September 28, 2024, $4.7 million was included within prepaid expenses and other current assets related to the Company’s ERP implementation project which is accounted for as a hosting arrangement that is a service contract.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Severance Charges</w:t>
      </w:r>
    </w:p>
    <w:p>
      <w:pPr>
        <w:spacing w:after="0" w:line="55"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The Company did not have any material severance activity for the period ended September 28, 2024. During the second quarter of fiscal year 2023, management committed to actions to restructure within the U.S. and Canada to better position the Company to become more agile in delivering its solutions through various outsourcing partnerships. As a result, certain headcount reductions were necessary, and the Company recognized $2.3 million of expense associated with these actions, which is included within selling, general, and administrative expenses on the Consolidated Statements of Operations for the year ended September 30, 2023. The charges related to these actions were completed within the fiscal year ended September 30, 2023.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8" w:name="page99"/>
    <w:bookmarkEnd w:id="9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the activity related to the Company’s severance liability as of September 30, 2023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6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89"/>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Severance liability at September 24, 2022</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CCEEFF"/>
            </w:tcBorders>
            <w:shd w:val="clear" w:color="auto" w:fill="CCEEFF"/>
          </w:tcPr>
          <w:p>
            <w:pPr>
              <w:jc w:val="center"/>
              <w:ind w:left="996"/>
              <w:spacing w:after="0"/>
              <w:rPr>
                <w:sz w:val="20"/>
                <w:szCs w:val="20"/>
                <w:color w:val="auto"/>
              </w:rPr>
            </w:pPr>
            <w:r>
              <w:rPr>
                <w:rFonts w:ascii="Times New Roman" w:cs="Times New Roman" w:eastAsia="Times New Roman" w:hAnsi="Times New Roman"/>
                <w:sz w:val="13"/>
                <w:szCs w:val="13"/>
                <w:color w:val="auto"/>
              </w:rPr>
              <w:t>1,051</w:t>
            </w:r>
          </w:p>
        </w:tc>
      </w:tr>
      <w:tr>
        <w:trPr>
          <w:trHeight w:val="180"/>
        </w:trPr>
        <w:tc>
          <w:tcPr>
            <w:tcW w:w="9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Severance charges</w:t>
            </w:r>
          </w:p>
        </w:tc>
        <w:tc>
          <w:tcPr>
            <w:tcW w:w="240" w:type="dxa"/>
            <w:vAlign w:val="bottom"/>
          </w:tcPr>
          <w:p>
            <w:pPr>
              <w:spacing w:after="0"/>
              <w:rPr>
                <w:sz w:val="15"/>
                <w:szCs w:val="15"/>
                <w:color w:val="auto"/>
              </w:rPr>
            </w:pPr>
          </w:p>
        </w:tc>
        <w:tc>
          <w:tcPr>
            <w:tcW w:w="1440" w:type="dxa"/>
            <w:vAlign w:val="bottom"/>
          </w:tcPr>
          <w:p>
            <w:pPr>
              <w:jc w:val="center"/>
              <w:ind w:left="996"/>
              <w:spacing w:after="0"/>
              <w:rPr>
                <w:sz w:val="20"/>
                <w:szCs w:val="20"/>
                <w:color w:val="auto"/>
              </w:rPr>
            </w:pPr>
            <w:r>
              <w:rPr>
                <w:rFonts w:ascii="Times New Roman" w:cs="Times New Roman" w:eastAsia="Times New Roman" w:hAnsi="Times New Roman"/>
                <w:sz w:val="13"/>
                <w:szCs w:val="13"/>
                <w:color w:val="auto"/>
              </w:rPr>
              <w:t>6,388</w:t>
            </w:r>
          </w:p>
        </w:tc>
      </w:tr>
      <w:tr>
        <w:trPr>
          <w:trHeight w:val="30"/>
        </w:trPr>
        <w:tc>
          <w:tcPr>
            <w:tcW w:w="9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and other</w:t>
            </w: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ind w:left="956"/>
              <w:spacing w:after="0"/>
              <w:rPr>
                <w:sz w:val="20"/>
                <w:szCs w:val="20"/>
                <w:color w:val="auto"/>
              </w:rPr>
            </w:pPr>
            <w:r>
              <w:rPr>
                <w:rFonts w:ascii="Times New Roman" w:cs="Times New Roman" w:eastAsia="Times New Roman" w:hAnsi="Times New Roman"/>
                <w:sz w:val="13"/>
                <w:szCs w:val="13"/>
                <w:color w:val="auto"/>
              </w:rPr>
              <w:t>(6,237)</w:t>
            </w:r>
          </w:p>
        </w:tc>
      </w:tr>
      <w:tr>
        <w:trPr>
          <w:trHeight w:val="195"/>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Severance liability at September 30, 2023</w:t>
            </w: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center"/>
              <w:ind w:left="996"/>
              <w:spacing w:after="0"/>
              <w:rPr>
                <w:sz w:val="20"/>
                <w:szCs w:val="20"/>
                <w:color w:val="auto"/>
              </w:rPr>
            </w:pPr>
            <w:r>
              <w:rPr>
                <w:rFonts w:ascii="Times New Roman" w:cs="Times New Roman" w:eastAsia="Times New Roman" w:hAnsi="Times New Roman"/>
                <w:sz w:val="13"/>
                <w:szCs w:val="13"/>
                <w:color w:val="auto"/>
              </w:rPr>
              <w:t>1,202</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Intangible Assets</w:t>
      </w:r>
    </w:p>
    <w:p>
      <w:pPr>
        <w:spacing w:after="0" w:line="55" w:lineRule="exact"/>
        <w:rPr>
          <w:sz w:val="20"/>
          <w:szCs w:val="20"/>
          <w:color w:val="auto"/>
        </w:rPr>
      </w:pPr>
    </w:p>
    <w:p>
      <w:pPr>
        <w:ind w:right="200" w:firstLine="240"/>
        <w:spacing w:after="0" w:line="289" w:lineRule="auto"/>
        <w:rPr>
          <w:sz w:val="20"/>
          <w:szCs w:val="20"/>
          <w:color w:val="auto"/>
        </w:rPr>
      </w:pPr>
      <w:r>
        <w:rPr>
          <w:rFonts w:ascii="Times New Roman" w:cs="Times New Roman" w:eastAsia="Times New Roman" w:hAnsi="Times New Roman"/>
          <w:sz w:val="13"/>
          <w:szCs w:val="13"/>
          <w:color w:val="auto"/>
        </w:rPr>
        <w:t>In connection with an asset acquisition in July 2024, the Company acquired developed technology intangible assets of $3.9 million. The developed technology intangible assets acquired will be amortized over a useful life of 3 years on a straight-line basis.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estimated weighted average useful life of the identified intangible assets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Estimated Weighted</w:t>
            </w:r>
          </w:p>
        </w:tc>
        <w:tc>
          <w:tcPr>
            <w:tcW w:w="300" w:type="dxa"/>
            <w:vAlign w:val="bottom"/>
          </w:tcPr>
          <w:p>
            <w:pPr>
              <w:spacing w:after="0"/>
              <w:rPr>
                <w:sz w:val="11"/>
                <w:szCs w:val="11"/>
                <w:color w:val="auto"/>
              </w:rPr>
            </w:pPr>
          </w:p>
        </w:tc>
      </w:tr>
      <w:tr>
        <w:trPr>
          <w:trHeight w:val="145"/>
        </w:trPr>
        <w:tc>
          <w:tcPr>
            <w:tcW w:w="35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Average Useful Life</w:t>
            </w:r>
          </w:p>
        </w:tc>
        <w:tc>
          <w:tcPr>
            <w:tcW w:w="300" w:type="dxa"/>
            <w:vAlign w:val="bottom"/>
            <w:tcBorders>
              <w:bottom w:val="single" w:sz="8" w:color="auto"/>
            </w:tcBorders>
          </w:tcPr>
          <w:p>
            <w:pPr>
              <w:spacing w:after="0"/>
              <w:rPr>
                <w:sz w:val="12"/>
                <w:szCs w:val="12"/>
                <w:color w:val="auto"/>
              </w:rPr>
            </w:pPr>
          </w:p>
        </w:tc>
      </w:tr>
      <w:tr>
        <w:trPr>
          <w:trHeight w:val="184"/>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Customer relationships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 years</w:t>
            </w:r>
          </w:p>
        </w:tc>
        <w:tc>
          <w:tcPr>
            <w:tcW w:w="300" w:type="dxa"/>
            <w:vAlign w:val="bottom"/>
            <w:tcBorders>
              <w:bottom w:val="single" w:sz="8" w:color="CCEEFF"/>
            </w:tcBorders>
            <w:shd w:val="clear" w:color="auto" w:fill="CCEEFF"/>
          </w:tcPr>
          <w:p>
            <w:pPr>
              <w:spacing w:after="0"/>
              <w:rPr>
                <w:sz w:val="16"/>
                <w:szCs w:val="16"/>
                <w:color w:val="auto"/>
              </w:rPr>
            </w:pPr>
          </w:p>
        </w:tc>
      </w:tr>
      <w:tr>
        <w:trPr>
          <w:trHeight w:val="180"/>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Developed technology</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 years</w:t>
            </w:r>
          </w:p>
        </w:tc>
        <w:tc>
          <w:tcPr>
            <w:tcW w:w="300" w:type="dxa"/>
            <w:vAlign w:val="bottom"/>
          </w:tcPr>
          <w:p>
            <w:pPr>
              <w:spacing w:after="0"/>
              <w:rPr>
                <w:sz w:val="15"/>
                <w:szCs w:val="15"/>
                <w:color w:val="auto"/>
              </w:rPr>
            </w:pPr>
          </w:p>
        </w:tc>
      </w:tr>
      <w:tr>
        <w:trPr>
          <w:trHeight w:val="30"/>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9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Trademarks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 years</w:t>
            </w:r>
          </w:p>
        </w:tc>
        <w:tc>
          <w:tcPr>
            <w:tcW w:w="300" w:type="dxa"/>
            <w:vAlign w:val="bottom"/>
            <w:tcBorders>
              <w:bottom w:val="single" w:sz="8" w:color="CCEEFF"/>
            </w:tcBorders>
            <w:shd w:val="clear" w:color="auto" w:fill="CCEEFF"/>
          </w:tcPr>
          <w:p>
            <w:pPr>
              <w:spacing w:after="0"/>
              <w:rPr>
                <w:sz w:val="16"/>
                <w:szCs w:val="16"/>
                <w:color w:val="auto"/>
              </w:rPr>
            </w:pPr>
          </w:p>
        </w:tc>
      </w:tr>
      <w:tr>
        <w:trPr>
          <w:trHeight w:val="270"/>
        </w:trPr>
        <w:tc>
          <w:tcPr>
            <w:tcW w:w="8740" w:type="dxa"/>
            <w:vAlign w:val="bottom"/>
            <w:gridSpan w:val="13"/>
          </w:tcPr>
          <w:p>
            <w:pPr>
              <w:jc w:val="right"/>
              <w:ind w:right="420"/>
              <w:spacing w:after="0"/>
              <w:rPr>
                <w:sz w:val="20"/>
                <w:szCs w:val="20"/>
                <w:color w:val="auto"/>
              </w:rPr>
            </w:pPr>
            <w:r>
              <w:rPr>
                <w:rFonts w:ascii="Times New Roman" w:cs="Times New Roman" w:eastAsia="Times New Roman" w:hAnsi="Times New Roman"/>
                <w:sz w:val="13"/>
                <w:szCs w:val="13"/>
                <w:color w:val="auto"/>
              </w:rPr>
              <w:t>Acquired intangible assets that are subject to amortization consisted of the following as of September 28, 2024 and September 30, 2023 (in thousands):</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61"/>
        </w:trPr>
        <w:tc>
          <w:tcPr>
            <w:tcW w:w="3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r>
      <w:tr>
        <w:trPr>
          <w:trHeight w:val="190"/>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September 28, 2024</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40"/>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Intangibles,</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2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Intangibles,</w:t>
            </w:r>
          </w:p>
        </w:tc>
        <w:tc>
          <w:tcPr>
            <w:tcW w:w="300" w:type="dxa"/>
            <w:vAlign w:val="bottom"/>
          </w:tcPr>
          <w:p>
            <w:pPr>
              <w:spacing w:after="0"/>
              <w:rPr>
                <w:sz w:val="12"/>
                <w:szCs w:val="12"/>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140" w:type="dxa"/>
            <w:vAlign w:val="bottom"/>
          </w:tcPr>
          <w:p>
            <w:pPr>
              <w:spacing w:after="0"/>
              <w:rPr>
                <w:sz w:val="12"/>
                <w:szCs w:val="12"/>
                <w:color w:val="auto"/>
              </w:rPr>
            </w:pP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2"/>
                <w:szCs w:val="12"/>
                <w:color w:val="auto"/>
              </w:rPr>
            </w:pPr>
          </w:p>
        </w:tc>
        <w:tc>
          <w:tcPr>
            <w:tcW w:w="92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Intangibles,</w:t>
            </w:r>
          </w:p>
        </w:tc>
        <w:tc>
          <w:tcPr>
            <w:tcW w:w="300" w:type="dxa"/>
            <w:vAlign w:val="bottom"/>
          </w:tcPr>
          <w:p>
            <w:pPr>
              <w:spacing w:after="0"/>
              <w:rPr>
                <w:sz w:val="12"/>
                <w:szCs w:val="12"/>
                <w:color w:val="auto"/>
              </w:rPr>
            </w:pPr>
          </w:p>
        </w:tc>
      </w:tr>
      <w:tr>
        <w:trPr>
          <w:trHeight w:val="141"/>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gross</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amortization</w:t>
            </w:r>
          </w:p>
        </w:tc>
        <w:tc>
          <w:tcPr>
            <w:tcW w:w="22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net</w:t>
            </w:r>
          </w:p>
        </w:tc>
        <w:tc>
          <w:tcPr>
            <w:tcW w:w="300" w:type="dxa"/>
            <w:vAlign w:val="bottom"/>
          </w:tcPr>
          <w:p>
            <w:pPr>
              <w:spacing w:after="0"/>
              <w:rPr>
                <w:sz w:val="12"/>
                <w:szCs w:val="12"/>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2"/>
                <w:szCs w:val="12"/>
                <w:color w:val="auto"/>
              </w:rPr>
            </w:pP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9"/>
              </w:rPr>
              <w:t>amortization</w:t>
            </w:r>
          </w:p>
        </w:tc>
        <w:tc>
          <w:tcPr>
            <w:tcW w:w="80" w:type="dxa"/>
            <w:vAlign w:val="bottom"/>
          </w:tcPr>
          <w:p>
            <w:pPr>
              <w:spacing w:after="0"/>
              <w:rPr>
                <w:sz w:val="12"/>
                <w:szCs w:val="12"/>
                <w:color w:val="auto"/>
              </w:rPr>
            </w:pPr>
          </w:p>
        </w:tc>
        <w:tc>
          <w:tcPr>
            <w:tcW w:w="92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5"/>
              </w:rPr>
              <w:t>net</w:t>
            </w:r>
          </w:p>
        </w:tc>
        <w:tc>
          <w:tcPr>
            <w:tcW w:w="300" w:type="dxa"/>
            <w:vAlign w:val="bottom"/>
          </w:tcPr>
          <w:p>
            <w:pPr>
              <w:spacing w:after="0"/>
              <w:rPr>
                <w:sz w:val="12"/>
                <w:szCs w:val="12"/>
                <w:color w:val="auto"/>
              </w:rPr>
            </w:pPr>
          </w:p>
        </w:tc>
      </w:tr>
      <w:tr>
        <w:trPr>
          <w:trHeight w:val="28"/>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8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(4,121)</w:t>
            </w: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Trademarks</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8,985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3,664</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(4,850)</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Amortization expense was $0.5 million for the year ended September 28, 2024, $0.4 million for the year ended September 30, 2023, and $0.5 million for the year ended September 24, 2022.</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the estimated future annual pre-tax amortization expense of definite-lived intangible assets as of the date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8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2025</w:t>
            </w:r>
          </w:p>
        </w:tc>
        <w:tc>
          <w:tcPr>
            <w:tcW w:w="36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r>
      <w:tr>
        <w:trPr>
          <w:trHeight w:val="180"/>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year 2026</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w:t>
            </w:r>
          </w:p>
        </w:tc>
      </w:tr>
      <w:tr>
        <w:trPr>
          <w:trHeight w:val="30"/>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Fiscal year 2027 and thereafter</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r>
      <w:tr>
        <w:trPr>
          <w:trHeight w:val="195"/>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3,664</w:t>
            </w: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99" w:name="page100"/>
    <w:bookmarkEnd w:id="9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Income Taxes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components of income/(loss) before provision for income taxes are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Income/(Loss) before income tax expense:</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(81,301)</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(216,891)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(144,119)</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Foreign</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0" w:type="dxa"/>
            <w:vAlign w:val="bottom"/>
          </w:tcPr>
          <w:p>
            <w:pPr>
              <w:spacing w:after="0"/>
              <w:rPr>
                <w:sz w:val="1"/>
                <w:szCs w:val="1"/>
                <w:color w:val="auto"/>
              </w:rPr>
            </w:pPr>
          </w:p>
        </w:tc>
      </w:tr>
      <w:tr>
        <w:trPr>
          <w:trHeight w:val="170"/>
        </w:trPr>
        <w:tc>
          <w:tcPr>
            <w:tcW w:w="6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(80,460)</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(212,514)</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(139,089)</w:t>
            </w:r>
          </w:p>
        </w:tc>
        <w:tc>
          <w:tcPr>
            <w:tcW w:w="0" w:type="dxa"/>
            <w:vAlign w:val="bottom"/>
          </w:tcPr>
          <w:p>
            <w:pPr>
              <w:spacing w:after="0"/>
              <w:rPr>
                <w:sz w:val="1"/>
                <w:szCs w:val="1"/>
                <w:color w:val="auto"/>
              </w:rPr>
            </w:pPr>
          </w:p>
        </w:tc>
      </w:tr>
      <w:tr>
        <w:trPr>
          <w:trHeight w:val="300"/>
        </w:trPr>
        <w:tc>
          <w:tcPr>
            <w:tcW w:w="67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The provision (benefit) for income taxes consists of the following for each of the periods presented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w w:val="91"/>
              </w:rPr>
              <w:t>Year Ended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w w:val="99"/>
              </w:rPr>
              <w:t>September 30, 2023</w:t>
            </w:r>
          </w:p>
        </w:tc>
        <w:tc>
          <w:tcPr>
            <w:tcW w:w="0" w:type="dxa"/>
            <w:vAlign w:val="bottom"/>
          </w:tcPr>
          <w:p>
            <w:pPr>
              <w:spacing w:after="0"/>
              <w:rPr>
                <w:sz w:val="1"/>
                <w:szCs w:val="1"/>
                <w:color w:val="auto"/>
              </w:rPr>
            </w:pPr>
          </w:p>
        </w:tc>
      </w:tr>
      <w:tr>
        <w:trPr>
          <w:trHeight w:val="17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18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State</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taxes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80"/>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18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State</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(4,914)</w:t>
            </w:r>
          </w:p>
        </w:tc>
        <w:tc>
          <w:tcPr>
            <w:tcW w:w="0" w:type="dxa"/>
            <w:vAlign w:val="bottom"/>
          </w:tcPr>
          <w:p>
            <w:pPr>
              <w:spacing w:after="0"/>
              <w:rPr>
                <w:sz w:val="1"/>
                <w:szCs w:val="1"/>
                <w:color w:val="auto"/>
              </w:rPr>
            </w:pP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3"/>
                <w:szCs w:val="13"/>
                <w:color w:val="auto"/>
              </w:rPr>
              <w:t>There was no provision for income taxes for the year ended September 24, 2022.</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0" w:name="page101"/>
    <w:bookmarkEnd w:id="10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firstLine="240"/>
        <w:spacing w:after="0" w:line="294" w:lineRule="auto"/>
        <w:rPr>
          <w:sz w:val="20"/>
          <w:szCs w:val="20"/>
          <w:color w:val="auto"/>
        </w:rPr>
      </w:pPr>
      <w:r>
        <w:rPr>
          <w:rFonts w:ascii="Times New Roman" w:cs="Times New Roman" w:eastAsia="Times New Roman" w:hAnsi="Times New Roman"/>
          <w:sz w:val="13"/>
          <w:szCs w:val="13"/>
          <w:color w:val="auto"/>
        </w:rPr>
        <w:t>The following is a reconciliation of the expected U.S. Federal income tax rate to the effective tax rate for the years ended September 28, 2024, September 30, 2023, and September 24, 2022 (dollars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jc w:val="right"/>
              <w:ind w:right="834"/>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w:t>
            </w: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(80,460)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(212,514)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(139,089)</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200"/>
        </w:trPr>
        <w:tc>
          <w:tcPr>
            <w:tcW w:w="3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on pre-tax loss</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(16,860)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(44,628)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(29,209)</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not subject to tax</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39,497</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27,767</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income tax rate</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(3,363)</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Permanent differences</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 for foreign income tax rate differential</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Credits</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Impact on foreign activity</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Return to provision</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for rate changes</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3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income tax</w:t>
            </w: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(5)%  $</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color w:val="auto"/>
              </w:rPr>
              <w:t>2 %  $</w:t>
            </w:r>
          </w:p>
        </w:tc>
        <w:tc>
          <w:tcPr>
            <w:tcW w:w="580" w:type="dxa"/>
            <w:vAlign w:val="bottom"/>
          </w:tcPr>
          <w:p>
            <w:pPr>
              <w:spacing w:after="0"/>
              <w:rPr>
                <w:sz w:val="16"/>
                <w:szCs w:val="16"/>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30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9160" w:type="dxa"/>
            <w:vAlign w:val="bottom"/>
            <w:gridSpan w:val="15"/>
          </w:tcPr>
          <w:p>
            <w:pPr>
              <w:ind w:left="240"/>
              <w:spacing w:after="0"/>
              <w:rPr>
                <w:sz w:val="20"/>
                <w:szCs w:val="20"/>
                <w:color w:val="auto"/>
              </w:rPr>
            </w:pPr>
            <w:r>
              <w:rPr>
                <w:rFonts w:ascii="Times New Roman" w:cs="Times New Roman" w:eastAsia="Times New Roman" w:hAnsi="Times New Roman"/>
                <w:sz w:val="13"/>
                <w:szCs w:val="13"/>
                <w:color w:val="auto"/>
              </w:rPr>
              <w:t>The following is a summary of the significant components of the Company’s net deferred tax assets as of September 28, 2024 and September 30, 2023 (in thousands):</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12"/>
        </w:trPr>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200" w:type="dxa"/>
            <w:vAlign w:val="bottom"/>
            <w:tcBorders>
              <w:bottom w:val="single" w:sz="8" w:color="auto"/>
            </w:tcBorders>
          </w:tcPr>
          <w:p>
            <w:pPr>
              <w:spacing w:after="0"/>
              <w:rPr>
                <w:sz w:val="24"/>
                <w:szCs w:val="24"/>
                <w:color w:val="auto"/>
              </w:rPr>
            </w:pPr>
          </w:p>
        </w:tc>
      </w:tr>
      <w:tr>
        <w:trPr>
          <w:trHeight w:val="160"/>
        </w:trPr>
        <w:tc>
          <w:tcPr>
            <w:tcW w:w="30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r>
      <w:tr>
        <w:trPr>
          <w:trHeight w:val="18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80"/>
        </w:trPr>
        <w:tc>
          <w:tcPr>
            <w:tcW w:w="3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operating losses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49,735</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21,703</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 in Symbotic Holdings, LLC</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600,917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439,547</w:t>
            </w:r>
          </w:p>
        </w:tc>
      </w:tr>
      <w:tr>
        <w:trPr>
          <w:trHeight w:val="180"/>
        </w:trPr>
        <w:tc>
          <w:tcPr>
            <w:tcW w:w="3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Receivable Agreement</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24,574</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80"/>
        </w:trPr>
        <w:tc>
          <w:tcPr>
            <w:tcW w:w="3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Credits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7,184</w:t>
            </w:r>
          </w:p>
        </w:tc>
      </w:tr>
      <w:tr>
        <w:trPr>
          <w:trHeight w:val="30"/>
        </w:trPr>
        <w:tc>
          <w:tcPr>
            <w:tcW w:w="30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assets before valuation allowance</w:t>
            </w:r>
          </w:p>
        </w:tc>
        <w:tc>
          <w:tcPr>
            <w:tcW w:w="5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692,250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493,417</w:t>
            </w:r>
          </w:p>
        </w:tc>
      </w:tr>
      <w:tr>
        <w:trPr>
          <w:trHeight w:val="180"/>
        </w:trPr>
        <w:tc>
          <w:tcPr>
            <w:tcW w:w="3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Valuation allowance</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(690,231)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(486,920)</w:t>
            </w:r>
          </w:p>
        </w:tc>
      </w:tr>
      <w:tr>
        <w:trPr>
          <w:trHeight w:val="30"/>
        </w:trPr>
        <w:tc>
          <w:tcPr>
            <w:tcW w:w="30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assets after valuation allowance</w:t>
            </w:r>
          </w:p>
        </w:tc>
        <w:tc>
          <w:tcPr>
            <w:tcW w:w="5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6,497</w:t>
            </w:r>
          </w:p>
        </w:tc>
      </w:tr>
      <w:tr>
        <w:trPr>
          <w:trHeight w:val="180"/>
        </w:trPr>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19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80"/>
        </w:trPr>
        <w:tc>
          <w:tcPr>
            <w:tcW w:w="3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Foregone FTC</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r>
      <w:tr>
        <w:trPr>
          <w:trHeight w:val="30"/>
        </w:trPr>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ROU asset</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r>
      <w:tr>
        <w:trPr>
          <w:trHeight w:val="180"/>
        </w:trPr>
        <w:tc>
          <w:tcPr>
            <w:tcW w:w="3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R&amp;D credit recapture</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r>
      <w:tr>
        <w:trPr>
          <w:trHeight w:val="30"/>
        </w:trPr>
        <w:tc>
          <w:tcPr>
            <w:tcW w:w="30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5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w:t>
            </w: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deferred tax asset</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4,918</w:t>
            </w:r>
          </w:p>
        </w:tc>
      </w:tr>
      <w:tr>
        <w:trPr>
          <w:trHeight w:val="20"/>
        </w:trPr>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3"/>
          <w:szCs w:val="13"/>
          <w:color w:val="auto"/>
        </w:rPr>
        <w:t>As a result of the Business Combination, the Company was appointed as the sole managing member of Symbotic Holdings. Prior to the close of the Business Combination, the Company's financial reporting predecessor, Legacy Warehouse, was treated as a pass-through entity for tax purposes and no provision, except for certain foreign subsidiaries, was made in the consolidated financial statements for income taxes. Any income tax items for the periods prior to the close of the Business Combination are related to the applicable subsidiary companies that are subject to foreign income tax.</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1" w:name="page102"/>
    <w:bookmarkEnd w:id="10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firstLine="240"/>
        <w:spacing w:after="0" w:line="269" w:lineRule="auto"/>
        <w:rPr>
          <w:sz w:val="20"/>
          <w:szCs w:val="20"/>
          <w:color w:val="auto"/>
        </w:rPr>
      </w:pPr>
      <w:r>
        <w:rPr>
          <w:rFonts w:ascii="Times New Roman" w:cs="Times New Roman" w:eastAsia="Times New Roman" w:hAnsi="Times New Roman"/>
          <w:sz w:val="13"/>
          <w:szCs w:val="13"/>
          <w:color w:val="auto"/>
        </w:rPr>
        <w:t>Symbotic Holdings is a limited liability company that is treated as a partnership for U.S. federal income tax purposes and for most applicable state and local income tax purposes. As a partnership, Symbotic Holdings is not subject to U.S. federal and certain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Company's foreign subsidiaries are subject to income tax in its local jurisdictions.</w:t>
      </w:r>
    </w:p>
    <w:p>
      <w:pPr>
        <w:spacing w:after="0" w:line="11" w:lineRule="exact"/>
        <w:rPr>
          <w:sz w:val="20"/>
          <w:szCs w:val="20"/>
          <w:color w:val="auto"/>
        </w:rPr>
      </w:pPr>
    </w:p>
    <w:p>
      <w:pPr>
        <w:ind w:right="100" w:firstLine="240"/>
        <w:spacing w:after="0" w:line="264" w:lineRule="auto"/>
        <w:rPr>
          <w:sz w:val="20"/>
          <w:szCs w:val="20"/>
          <w:color w:val="auto"/>
        </w:rPr>
      </w:pPr>
      <w:r>
        <w:rPr>
          <w:rFonts w:ascii="Times New Roman" w:cs="Times New Roman" w:eastAsia="Times New Roman" w:hAnsi="Times New Roman"/>
          <w:sz w:val="13"/>
          <w:szCs w:val="13"/>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assessment.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Valuation Allowance</w:t>
      </w:r>
    </w:p>
    <w:p>
      <w:pPr>
        <w:spacing w:after="0" w:line="33" w:lineRule="exact"/>
        <w:rPr>
          <w:sz w:val="20"/>
          <w:szCs w:val="20"/>
          <w:color w:val="auto"/>
        </w:rPr>
      </w:pPr>
    </w:p>
    <w:p>
      <w:pPr>
        <w:ind w:right="240" w:firstLine="240"/>
        <w:spacing w:after="0" w:line="266" w:lineRule="auto"/>
        <w:rPr>
          <w:sz w:val="20"/>
          <w:szCs w:val="20"/>
          <w:color w:val="auto"/>
        </w:rPr>
      </w:pPr>
      <w:r>
        <w:rPr>
          <w:rFonts w:ascii="Times New Roman" w:cs="Times New Roman" w:eastAsia="Times New Roman" w:hAnsi="Times New Roman"/>
          <w:sz w:val="13"/>
          <w:szCs w:val="13"/>
          <w:color w:val="auto"/>
        </w:rPr>
        <w:t>The Company has established a valuation allowance related to domestic and foreign deferred tax assets on deductible temporary differences, tax losses, and tax credit carryforwards. Due to a change in circumstances during the year ended September 28, 2024, the Company is recording an additional valuation allowance as it relates to Canada. As a result, the Company’s ending valuation allowance as of the year ended September 28, 2024 is $690.2 million. The remaining valuation allowance at September 28, 2024 of $690.2 million consists of $679.8 million in the United States and $10.4 million in foreign jurisdictions. The change in the valuation allowance in fiscal year 2024 of $203.3 million predominantly relates to the Company’s investment in Symbotic Holdings LLC, tax receivable agreement, and tax carryforward attributes.</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Activity related to the valuation allowance for the periods presented was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486,920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12,608</w:t>
            </w: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Recorded to additional paid-in capital</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315,425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152,985</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Recorded to other comprehensive income</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Recorded to income tax expense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2,715</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690,231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486,920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Operating Losses</w:t>
      </w:r>
    </w:p>
    <w:p>
      <w:pPr>
        <w:spacing w:after="0" w:line="33" w:lineRule="exact"/>
        <w:rPr>
          <w:sz w:val="20"/>
          <w:szCs w:val="20"/>
          <w:color w:val="auto"/>
        </w:rPr>
      </w:pPr>
    </w:p>
    <w:p>
      <w:pPr>
        <w:ind w:right="80" w:firstLine="240"/>
        <w:spacing w:after="0" w:line="264" w:lineRule="auto"/>
        <w:rPr>
          <w:sz w:val="20"/>
          <w:szCs w:val="20"/>
          <w:color w:val="auto"/>
        </w:rPr>
      </w:pPr>
      <w:r>
        <w:rPr>
          <w:rFonts w:ascii="Times New Roman" w:cs="Times New Roman" w:eastAsia="Times New Roman" w:hAnsi="Times New Roman"/>
          <w:sz w:val="13"/>
          <w:szCs w:val="13"/>
          <w:color w:val="auto"/>
        </w:rPr>
        <w:t>As of September 28, 2024, the Company had U.S. federal net operating loss carryforwards of $155.1 million and gross state net operating loss carryforwards of $183.3 million. U.S. federal and certain state net operating losses generated in 2018 and beyond have no expiration. The remaining state net operating losses expire at various dates through 2043. As of September 28, 2024, the Company had Canadian net operating loss (“NOL”) carryforwards of approximately $26.2 million federal and $0.3 million provincial. The Canadian NOL carryforwards expire in various years through 2039 and are subject to review and possible adjustment by the applicable taxing authorities. Utilization of the domestic federal or Canadian NOL carryforwards may be subject to annual limitations due to ownership changes that have occurred previously or that could occur in the future. The Company has not completed any studies to determine if any of these events have occurred that would result in such limitations. Accordingly, further limitations could arise upon the completion of such studies.</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September 28, 2024, United States income taxes have not been provided on accumulated but undistributed earnings of foreign subsidiaries as the Company intends to permanently reinvest.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2" w:name="page103"/>
    <w:bookmarkEnd w:id="10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Uncertain Tax Positions</w:t>
      </w:r>
    </w:p>
    <w:p>
      <w:pPr>
        <w:spacing w:after="0" w:line="33" w:lineRule="exact"/>
        <w:rPr>
          <w:sz w:val="20"/>
          <w:szCs w:val="20"/>
          <w:color w:val="auto"/>
        </w:rPr>
      </w:pPr>
    </w:p>
    <w:p>
      <w:pPr>
        <w:ind w:right="100" w:firstLine="240"/>
        <w:spacing w:after="0" w:line="276" w:lineRule="auto"/>
        <w:rPr>
          <w:sz w:val="20"/>
          <w:szCs w:val="20"/>
          <w:color w:val="auto"/>
        </w:rPr>
      </w:pPr>
      <w:r>
        <w:rPr>
          <w:rFonts w:ascii="Times New Roman" w:cs="Times New Roman" w:eastAsia="Times New Roman" w:hAnsi="Times New Roman"/>
          <w:sz w:val="13"/>
          <w:szCs w:val="13"/>
          <w:color w:val="auto"/>
        </w:rPr>
        <w:t>The Company accounts for uncertain tax positions using a more likely than not threshold for recognizing and resolving uncertain tax positions. The Company evaluates uncertain tax positions on an annual basis and adjusts the level of the liability to reflect any subsequent changes in the relevant facts surrounding the uncertain positions. For the years ended September 28, 2024 and September 30, 2023, the Company had no unrecognized tax benefits.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Receivable Agreement</w:t>
      </w:r>
    </w:p>
    <w:p>
      <w:pPr>
        <w:spacing w:after="0" w:line="43"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As of September 28, 2024, future payments under the TRA with respect to the purchase of Symbotic Holdings Units which occurred as part of the Business Combination and through September 28, 2024 are expected to be $442.6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before taxes on the consolidated statement of operations in the period in which the change occurs. As of September 28, 2024, no TRA liability was recorded based on current projections of future taxable income taking into consideration the Company’s full valuation allowance against its net U.S. deferred tax asset.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Employee Benefit Plans</w:t>
      </w:r>
    </w:p>
    <w:p>
      <w:pPr>
        <w:spacing w:after="0" w:line="55" w:lineRule="exact"/>
        <w:rPr>
          <w:sz w:val="20"/>
          <w:szCs w:val="20"/>
          <w:color w:val="auto"/>
        </w:rPr>
      </w:pPr>
    </w:p>
    <w:p>
      <w:pPr>
        <w:ind w:right="140" w:firstLine="240"/>
        <w:spacing w:after="0" w:line="276" w:lineRule="auto"/>
        <w:rPr>
          <w:sz w:val="20"/>
          <w:szCs w:val="20"/>
          <w:color w:val="auto"/>
        </w:rPr>
      </w:pPr>
      <w:r>
        <w:rPr>
          <w:rFonts w:ascii="Times New Roman" w:cs="Times New Roman" w:eastAsia="Times New Roman" w:hAnsi="Times New Roman"/>
          <w:sz w:val="13"/>
          <w:szCs w:val="13"/>
          <w:color w:val="auto"/>
        </w:rPr>
        <w:t>Symbotic sponsors a defined-contribution benefit plan under the provisions of Section 401(k) of the U.S. Internal Revenue Code. This plan covers substantially all of the Company’s employees meeting eligibility criteria and contributions to the plan are determined by the plan provisions or at the discretion of the Board of Managers. Symbotic contributions to the plan were $5.0 million, $3.9 million, and $2.4 million for the years ended September 28, 2024, September 30, 2023, and September 24, 2022, respectively.</w:t>
      </w:r>
    </w:p>
    <w:p>
      <w:pPr>
        <w:spacing w:after="0" w:line="5" w:lineRule="exact"/>
        <w:rPr>
          <w:sz w:val="20"/>
          <w:szCs w:val="20"/>
          <w:color w:val="auto"/>
        </w:rPr>
      </w:pPr>
    </w:p>
    <w:p>
      <w:pPr>
        <w:ind w:right="540" w:firstLine="240"/>
        <w:spacing w:after="0" w:line="294" w:lineRule="auto"/>
        <w:rPr>
          <w:sz w:val="20"/>
          <w:szCs w:val="20"/>
          <w:color w:val="auto"/>
        </w:rPr>
      </w:pPr>
      <w:r>
        <w:rPr>
          <w:rFonts w:ascii="Times New Roman" w:cs="Times New Roman" w:eastAsia="Times New Roman" w:hAnsi="Times New Roman"/>
          <w:sz w:val="13"/>
          <w:szCs w:val="13"/>
          <w:color w:val="auto"/>
        </w:rPr>
        <w:t>Symbotic Canada sponsors a Registered Retirement Savings Plan that qualifies as a defined-contribution benefit plan, which covers a portion of Symbotic Canada’s management. Symbotic Canada contributions to the plan were $0.2 million, $0.3 million, and $0.3 million for the years ended September 28, 2024, September 30, 2023, and September 24, 2022, respectively.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Fair Value Measures</w:t>
      </w:r>
    </w:p>
    <w:p>
      <w:pPr>
        <w:spacing w:after="0" w:line="55" w:lineRule="exact"/>
        <w:rPr>
          <w:sz w:val="20"/>
          <w:szCs w:val="20"/>
          <w:color w:val="auto"/>
        </w:rPr>
      </w:pPr>
    </w:p>
    <w:p>
      <w:pPr>
        <w:ind w:right="60" w:firstLine="240"/>
        <w:spacing w:after="0" w:line="269" w:lineRule="auto"/>
        <w:rPr>
          <w:sz w:val="20"/>
          <w:szCs w:val="20"/>
          <w:color w:val="auto"/>
        </w:rPr>
      </w:pPr>
      <w:r>
        <w:rPr>
          <w:rFonts w:ascii="Times New Roman" w:cs="Times New Roman" w:eastAsia="Times New Roman" w:hAnsi="Times New Roman"/>
          <w:sz w:val="13"/>
          <w:szCs w:val="13"/>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 between market participants on the measurement date. This pronouncement also establishes a three-level hierarchy, which requires an entity to maximize the use of observable inputs and minimize the use of unobservable inputs when measuring fair value.</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valuation hierarchy is based upon the transparency of inputs to the valuation of an asset or liability on the measurement date. The three levels are defined as follows:</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Level 1 – inputs to the valuation methodology are quoted prices (unadjusted) for an identical asset or liability in an active market</w:t>
      </w:r>
    </w:p>
    <w:p>
      <w:pPr>
        <w:spacing w:after="0" w:line="51" w:lineRule="exact"/>
        <w:rPr>
          <w:sz w:val="20"/>
          <w:szCs w:val="20"/>
          <w:color w:val="auto"/>
        </w:rPr>
      </w:pPr>
    </w:p>
    <w:p>
      <w:pPr>
        <w:ind w:right="600" w:firstLine="240"/>
        <w:spacing w:after="0" w:line="289" w:lineRule="auto"/>
        <w:rPr>
          <w:sz w:val="20"/>
          <w:szCs w:val="20"/>
          <w:color w:val="auto"/>
        </w:rPr>
      </w:pPr>
      <w:r>
        <w:rPr>
          <w:rFonts w:ascii="Times New Roman" w:cs="Times New Roman" w:eastAsia="Times New Roman" w:hAnsi="Times New Roman"/>
          <w:sz w:val="13"/>
          <w:szCs w:val="13"/>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Level 3 – inputs to the valuation methodology are unobservable and significant to the fair value measurement of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103" w:name="page104"/>
    <w:bookmarkEnd w:id="10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presents the Company’s financial assets measured and recorded at fair value on a recurring basis using the above input categories as of September 28, 2024 and September 30,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Money market funds</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712,958</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712,958</w:t>
            </w:r>
          </w:p>
        </w:tc>
        <w:tc>
          <w:tcPr>
            <w:tcW w:w="8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219,945</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219,945</w:t>
            </w:r>
          </w:p>
        </w:tc>
      </w:tr>
      <w:tr>
        <w:trPr>
          <w:trHeight w:val="30"/>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286,736</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286,736</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 fair value</w:t>
            </w:r>
          </w:p>
        </w:tc>
        <w:tc>
          <w:tcPr>
            <w:tcW w:w="2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712,958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725,266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286,736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506,681</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had no liabilities measured and recorded at fair value on a recurring basis as of September 28, 2024 and September 30, 2023.</w:t>
      </w:r>
    </w:p>
    <w:p>
      <w:pPr>
        <w:spacing w:after="0" w:line="51" w:lineRule="exact"/>
        <w:rPr>
          <w:sz w:val="20"/>
          <w:szCs w:val="20"/>
          <w:color w:val="auto"/>
        </w:rPr>
      </w:pPr>
    </w:p>
    <w:p>
      <w:pPr>
        <w:ind w:right="120" w:firstLine="240"/>
        <w:spacing w:after="0" w:line="266" w:lineRule="auto"/>
        <w:rPr>
          <w:sz w:val="20"/>
          <w:szCs w:val="20"/>
          <w:color w:val="auto"/>
        </w:rPr>
      </w:pPr>
      <w:r>
        <w:rPr>
          <w:rFonts w:ascii="Times New Roman" w:cs="Times New Roman" w:eastAsia="Times New Roman" w:hAnsi="Times New Roman"/>
          <w:sz w:val="13"/>
          <w:szCs w:val="13"/>
          <w:color w:val="auto"/>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28, 2024, the fair value of the warrant issued as described in Note 15, </w:t>
      </w:r>
      <w:r>
        <w:rPr>
          <w:rFonts w:ascii="Times New Roman" w:cs="Times New Roman" w:eastAsia="Times New Roman" w:hAnsi="Times New Roman"/>
          <w:sz w:val="13"/>
          <w:szCs w:val="13"/>
          <w:i w:val="1"/>
          <w:iCs w:val="1"/>
          <w:color w:val="auto"/>
        </w:rPr>
        <w:t>Derivative Instruments,</w:t>
      </w:r>
      <w:r>
        <w:rPr>
          <w:rFonts w:ascii="Times New Roman" w:cs="Times New Roman" w:eastAsia="Times New Roman" w:hAnsi="Times New Roman"/>
          <w:sz w:val="13"/>
          <w:szCs w:val="13"/>
          <w:color w:val="auto"/>
        </w:rPr>
        <w:t xml:space="preserve"> is classified as Level 2 and at September 30, 2023, U.S. Treasury securities were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 Derivative Instruments</w:t>
      </w:r>
    </w:p>
    <w:p>
      <w:pPr>
        <w:spacing w:after="0" w:line="55" w:lineRule="exact"/>
        <w:rPr>
          <w:sz w:val="20"/>
          <w:szCs w:val="20"/>
          <w:color w:val="auto"/>
        </w:rPr>
      </w:pPr>
    </w:p>
    <w:p>
      <w:pPr>
        <w:jc w:val="both"/>
        <w:ind w:right="180" w:firstLine="240"/>
        <w:spacing w:after="0" w:line="269" w:lineRule="auto"/>
        <w:rPr>
          <w:sz w:val="20"/>
          <w:szCs w:val="20"/>
          <w:color w:val="auto"/>
        </w:rPr>
      </w:pPr>
      <w:r>
        <w:rPr>
          <w:rFonts w:ascii="Times New Roman" w:cs="Times New Roman" w:eastAsia="Times New Roman" w:hAnsi="Times New Roman"/>
          <w:sz w:val="13"/>
          <w:szCs w:val="13"/>
          <w:color w:val="auto"/>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will vest in a series of tranches, at a specified price per share, upon meeting certain development and production based milestones. If, and when, the relevant milestone is reached, the corresponding tranche of warrant will become exercisable up until the expiration date of the warrants in May 2044.</w:t>
      </w:r>
    </w:p>
    <w:p>
      <w:pPr>
        <w:spacing w:after="0" w:line="9" w:lineRule="exact"/>
        <w:rPr>
          <w:sz w:val="20"/>
          <w:szCs w:val="20"/>
          <w:color w:val="auto"/>
        </w:rPr>
      </w:pPr>
    </w:p>
    <w:p>
      <w:pPr>
        <w:ind w:right="40" w:firstLine="240"/>
        <w:spacing w:after="0" w:line="265" w:lineRule="auto"/>
        <w:rPr>
          <w:sz w:val="20"/>
          <w:szCs w:val="20"/>
          <w:color w:val="auto"/>
        </w:rPr>
      </w:pPr>
      <w:r>
        <w:rPr>
          <w:rFonts w:ascii="Times New Roman" w:cs="Times New Roman" w:eastAsia="Times New Roman" w:hAnsi="Times New Roman"/>
          <w:sz w:val="13"/>
          <w:szCs w:val="13"/>
          <w:color w:val="auto"/>
        </w:rPr>
        <w:t xml:space="preserve">The warrants are accounted for as a derivative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as a result of certain net settlement provisions in the warrant agreements. The Company reports the warrants at their fair values within “other assets” 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September 28, 2024 is $12.3 million. There is no impact recorded to “other income, net” on the Company’s condensed consolidated statements of operations for the period ended September 28, 2024, as there has been no change to the fair value of the warrants since the Company entered into these warrant agreements in the third quarter of fiscal year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Related Party Transactions</w:t>
      </w:r>
    </w:p>
    <w:p>
      <w:pPr>
        <w:spacing w:after="0" w:line="53" w:lineRule="exact"/>
        <w:rPr>
          <w:sz w:val="20"/>
          <w:szCs w:val="20"/>
          <w:color w:val="auto"/>
        </w:rPr>
      </w:pPr>
    </w:p>
    <w:p>
      <w:pPr>
        <w:ind w:right="40" w:firstLine="240"/>
        <w:spacing w:after="0" w:line="265" w:lineRule="auto"/>
        <w:rPr>
          <w:sz w:val="20"/>
          <w:szCs w:val="20"/>
          <w:color w:val="auto"/>
        </w:rPr>
      </w:pPr>
      <w:r>
        <w:rPr>
          <w:rFonts w:ascii="Times New Roman" w:cs="Times New Roman" w:eastAsia="Times New Roman" w:hAnsi="Times New Roman"/>
          <w:sz w:val="13"/>
          <w:szCs w:val="13"/>
          <w:color w:val="auto"/>
        </w:rPr>
        <w:t xml:space="preserve">ASC 850, </w:t>
      </w:r>
      <w:r>
        <w:rPr>
          <w:rFonts w:ascii="Times New Roman" w:cs="Times New Roman" w:eastAsia="Times New Roman" w:hAnsi="Times New Roman"/>
          <w:sz w:val="13"/>
          <w:szCs w:val="13"/>
          <w:i w:val="1"/>
          <w:iCs w:val="1"/>
          <w:color w:val="auto"/>
        </w:rPr>
        <w:t>Related Party Disclosures</w:t>
      </w:r>
      <w:r>
        <w:rPr>
          <w:rFonts w:ascii="Times New Roman" w:cs="Times New Roman" w:eastAsia="Times New Roman" w:hAnsi="Times New Roman"/>
          <w:sz w:val="13"/>
          <w:szCs w:val="13"/>
          <w:color w:val="auto"/>
        </w:rPr>
        <w:t xml:space="preserve"> (“ASC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reporting periods covered by this report, the Company determined that C&amp;S Wholesale Grocers, Inc. (“C&amp;S”), GreenBox, and certain current holders of Symbotic Holdings LLC were a related party under ASC 850. The following transactions were related party transactions under ASC 850.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4" w:name="page105"/>
    <w:bookmarkEnd w:id="10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Aircraft Time Sharing Agreement</w:t>
      </w:r>
    </w:p>
    <w:p>
      <w:pPr>
        <w:spacing w:after="0" w:line="33"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In December 2021 and May 2022, the Company entered into aircraft time-sharing agreements with C&amp;S whereby the Company’s officials, employees, and guests are permitted to use the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The Company incurred expense of $1.1 million, $0.9 million, and $0.7 million related to usage of the aircrafts for the years ended September 28, 2024, September 30, 2023, and September 24,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Usage of Facility and Employee Services</w:t>
      </w:r>
    </w:p>
    <w:p>
      <w:pPr>
        <w:spacing w:after="0" w:line="43" w:lineRule="exact"/>
        <w:rPr>
          <w:sz w:val="20"/>
          <w:szCs w:val="20"/>
          <w:color w:val="auto"/>
        </w:rPr>
      </w:pPr>
    </w:p>
    <w:p>
      <w:pPr>
        <w:ind w:right="60" w:firstLine="240"/>
        <w:spacing w:after="0" w:line="276" w:lineRule="auto"/>
        <w:rPr>
          <w:sz w:val="20"/>
          <w:szCs w:val="20"/>
          <w:color w:val="auto"/>
        </w:rPr>
      </w:pPr>
      <w:r>
        <w:rPr>
          <w:rFonts w:ascii="Times New Roman" w:cs="Times New Roman" w:eastAsia="Times New Roman" w:hAnsi="Times New Roman"/>
          <w:sz w:val="13"/>
          <w:szCs w:val="13"/>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The Company incurred $1.8 million, $2.9 million, and $0.2 million of expense related to this arrangement for the years ended September 28, 2024, September 30, 2023, and September 24, 2022, respectively.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Customer Contracts</w:t>
      </w:r>
    </w:p>
    <w:p>
      <w:pPr>
        <w:spacing w:after="0" w:line="33"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The Company has customer contracts with C&amp;S relating to systems implementation, software maintenance services and the operations of a System. Revenue of $58.9 million, $15.8 million, and $3.5 million was recognized for the years ended September 28, 2024, September 30, 2023, and September 24, 2022, respectively, relating to these customer contracts. There was $18.4 million unbilled accounts receivable and accounts receivable due from C&amp;S at September 28, 2024 and $0.9 million unbilled accounts receivable and accounts receivable due from C&amp;S at September 30, 2023. There was $1.8 million and $9.3 million of deferred revenue relating to contracts with C&amp;S at September 28, 2024 and September 30, 2023, respectively. The transaction price allocated to performance obligations that are unsatisfied as of September 28, 2024 was $5.1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GreenBox</w:t>
      </w:r>
    </w:p>
    <w:p>
      <w:pPr>
        <w:spacing w:after="0" w:line="33" w:lineRule="exact"/>
        <w:rPr>
          <w:sz w:val="20"/>
          <w:szCs w:val="20"/>
          <w:color w:val="auto"/>
        </w:rPr>
      </w:pPr>
    </w:p>
    <w:p>
      <w:pPr>
        <w:ind w:right="60" w:firstLine="240"/>
        <w:spacing w:after="0" w:line="266" w:lineRule="auto"/>
        <w:rPr>
          <w:sz w:val="20"/>
          <w:szCs w:val="20"/>
          <w:color w:val="auto"/>
        </w:rPr>
      </w:pPr>
      <w:r>
        <w:rPr>
          <w:rFonts w:ascii="Times New Roman" w:cs="Times New Roman" w:eastAsia="Times New Roman" w:hAnsi="Times New Roman"/>
          <w:sz w:val="13"/>
          <w:szCs w:val="13"/>
          <w:color w:val="auto"/>
        </w:rPr>
        <w:t xml:space="preserve">The Company has a customer contract relating to systems implementation and shared services with GreenBox. Revenue of $6.0 million was recognized for the year ended September 28, 2024 related to this customer contract. There was no unbilled accounts receivable and accounts receivable due from the customer contract and $0.6 million accounts receivable due from the shared service agreement at September 28, 2024. There was $69.1 million of deferred revenue relating to contracts with GreenBox at September 28, 2024. The transaction price allocated to performance obligations that are unsatisfied as of September 28, 2024 was $11.5 billion. There was no revenue, accounts receivable, or deferred revenue for GreenBox at and for the year ended September 30, 2023. Funding of $83.1 million was made by the Company to GreenBox in relation to the VIE (as further described in Note 18, </w:t>
      </w:r>
      <w:r>
        <w:rPr>
          <w:rFonts w:ascii="Times New Roman" w:cs="Times New Roman" w:eastAsia="Times New Roman" w:hAnsi="Times New Roman"/>
          <w:sz w:val="13"/>
          <w:szCs w:val="13"/>
          <w:i w:val="1"/>
          <w:iCs w:val="1"/>
          <w:color w:val="auto"/>
        </w:rPr>
        <w:t>Variable Interest Entities</w:t>
      </w:r>
      <w:r>
        <w:rPr>
          <w:rFonts w:ascii="Times New Roman" w:cs="Times New Roman" w:eastAsia="Times New Roman" w:hAnsi="Times New Roman"/>
          <w:sz w:val="13"/>
          <w:szCs w:val="13"/>
          <w:color w:val="auto"/>
        </w:rPr>
        <w:t>) for the year ended September 28, 2024. No funding was made for the year ended September 30, 2023.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Tax Distribution to Symbotic Holdings LLC partners</w:t>
      </w:r>
    </w:p>
    <w:p>
      <w:pPr>
        <w:spacing w:after="0" w:line="43"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Pursuant to the Second Amended and Restated Limited Liability Company Agreement of Symbotic Holdings LLC, Symbotic LLC makes pro rata tax distributions to the Holders of Symbotic Holdings’ units in an amount sufficient to fund all or part of their tax obligations with respect to the taxable income of Symbotic Holdings that is allocated to them. For the year ended September 28, 2024, the Company distributed a total of $48.2 million of tax distributions to its members, of which $41.7 million was distributed to those who met the definition of a related party in accordance with ASC 850.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Commitments and Contingencies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Obligations</w:t>
      </w:r>
    </w:p>
    <w:p>
      <w:pPr>
        <w:spacing w:after="0" w:line="35" w:lineRule="exact"/>
        <w:rPr>
          <w:sz w:val="20"/>
          <w:szCs w:val="20"/>
          <w:color w:val="auto"/>
        </w:rPr>
      </w:pPr>
    </w:p>
    <w:p>
      <w:pPr>
        <w:ind w:right="440" w:firstLine="240"/>
        <w:spacing w:after="0" w:line="294" w:lineRule="auto"/>
        <w:rPr>
          <w:sz w:val="20"/>
          <w:szCs w:val="20"/>
          <w:color w:val="auto"/>
        </w:rPr>
      </w:pPr>
      <w:r>
        <w:rPr>
          <w:rFonts w:ascii="Times New Roman" w:cs="Times New Roman" w:eastAsia="Times New Roman" w:hAnsi="Times New Roman"/>
          <w:sz w:val="13"/>
          <w:szCs w:val="13"/>
          <w:color w:val="auto"/>
        </w:rPr>
        <w:t>The Company has contractual obligations to purchase goods or services, which specify significant terms, including fixed or minimum quantities to be purchased and fixed minimum, or variable price provisions. The majority of the purchase commitments covered by these arrangements are for periods of less than one year and aggregate to approximately $1.3 billion as of September 28,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Lease Commitments</w:t>
      </w:r>
    </w:p>
    <w:p>
      <w:pPr>
        <w:spacing w:after="0" w:line="33" w:lineRule="exact"/>
        <w:rPr>
          <w:sz w:val="20"/>
          <w:szCs w:val="20"/>
          <w:color w:val="auto"/>
        </w:rPr>
      </w:pPr>
    </w:p>
    <w:p>
      <w:pPr>
        <w:ind w:right="100" w:firstLine="240"/>
        <w:spacing w:after="0" w:line="298" w:lineRule="auto"/>
        <w:rPr>
          <w:sz w:val="20"/>
          <w:szCs w:val="20"/>
          <w:color w:val="auto"/>
        </w:rPr>
      </w:pPr>
      <w:r>
        <w:rPr>
          <w:rFonts w:ascii="Times New Roman" w:cs="Times New Roman" w:eastAsia="Times New Roman" w:hAnsi="Times New Roman"/>
          <w:sz w:val="13"/>
          <w:szCs w:val="13"/>
          <w:color w:val="auto"/>
        </w:rPr>
        <w:t xml:space="preserve">The Company leases certain of its facilities under operating leases expiring in various years through 2030. Refer to Note 7,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for a schedule of future lease payments under non-cancellable leases as of September 28, 2024.</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5" w:name="page106"/>
    <w:bookmarkEnd w:id="10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Warranty</w:t>
      </w:r>
    </w:p>
    <w:p>
      <w:pPr>
        <w:spacing w:after="0" w:line="35" w:lineRule="exact"/>
        <w:rPr>
          <w:sz w:val="20"/>
          <w:szCs w:val="20"/>
          <w:color w:val="auto"/>
        </w:rPr>
      </w:pPr>
    </w:p>
    <w:p>
      <w:pPr>
        <w:ind w:right="180" w:firstLine="240"/>
        <w:spacing w:after="0" w:line="289" w:lineRule="auto"/>
        <w:rPr>
          <w:sz w:val="20"/>
          <w:szCs w:val="20"/>
          <w:color w:val="auto"/>
        </w:rPr>
      </w:pPr>
      <w:r>
        <w:rPr>
          <w:rFonts w:ascii="Times New Roman" w:cs="Times New Roman" w:eastAsia="Times New Roman" w:hAnsi="Times New Roman"/>
          <w:sz w:val="13"/>
          <w:szCs w:val="13"/>
          <w:color w:val="auto"/>
        </w:rPr>
        <w:t>The Company provides a limited warranty on its System and has established a reserve for warranty obligations based on estimated warranty costs. The reserve is included as part of “accrued expenses and other current liabilities” and “other liabilities” in the accompanying consolidated balance sheets.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Activity related to the warranty accrual was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90"/>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beginning of period</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18,948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rPr>
              <w:t>3,735</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w:t>
            </w:r>
          </w:p>
        </w:tc>
        <w:tc>
          <w:tcPr>
            <w:tcW w:w="180" w:type="dxa"/>
            <w:vAlign w:val="bottom"/>
          </w:tcPr>
          <w:p>
            <w:pPr>
              <w:spacing w:after="0"/>
              <w:rPr>
                <w:sz w:val="15"/>
                <w:szCs w:val="15"/>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18,773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left="836"/>
              <w:spacing w:after="0"/>
              <w:rPr>
                <w:sz w:val="20"/>
                <w:szCs w:val="20"/>
                <w:color w:val="auto"/>
              </w:rPr>
            </w:pPr>
            <w:r>
              <w:rPr>
                <w:rFonts w:ascii="Times New Roman" w:cs="Times New Roman" w:eastAsia="Times New Roman" w:hAnsi="Times New Roman"/>
                <w:sz w:val="13"/>
                <w:szCs w:val="13"/>
                <w:color w:val="auto"/>
              </w:rPr>
              <w:t>7,329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Warranty usage</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(5,786)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center"/>
              <w:ind w:left="796"/>
              <w:spacing w:after="0"/>
              <w:rPr>
                <w:sz w:val="20"/>
                <w:szCs w:val="20"/>
                <w:color w:val="auto"/>
              </w:rPr>
            </w:pPr>
            <w:r>
              <w:rPr>
                <w:rFonts w:ascii="Times New Roman" w:cs="Times New Roman" w:eastAsia="Times New Roman" w:hAnsi="Times New Roman"/>
                <w:sz w:val="13"/>
                <w:szCs w:val="13"/>
                <w:color w:val="auto"/>
              </w:rPr>
              <w:t>(2,060)</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end of period</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31,935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18,948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center"/>
              <w:ind w:left="836"/>
              <w:spacing w:after="0"/>
              <w:rPr>
                <w:sz w:val="20"/>
                <w:szCs w:val="20"/>
                <w:color w:val="auto"/>
              </w:rPr>
            </w:pPr>
            <w:r>
              <w:rPr>
                <w:rFonts w:ascii="Times New Roman" w:cs="Times New Roman" w:eastAsia="Times New Roman" w:hAnsi="Times New Roman"/>
                <w:sz w:val="13"/>
                <w:szCs w:val="13"/>
                <w:color w:val="auto"/>
              </w:rPr>
              <w:t>9,004</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45" w:lineRule="exact"/>
        <w:rPr>
          <w:sz w:val="20"/>
          <w:szCs w:val="20"/>
          <w:color w:val="auto"/>
        </w:rPr>
      </w:pPr>
    </w:p>
    <w:p>
      <w:pPr>
        <w:ind w:right="320" w:firstLine="240"/>
        <w:spacing w:after="0" w:line="289" w:lineRule="auto"/>
        <w:rPr>
          <w:sz w:val="20"/>
          <w:szCs w:val="20"/>
          <w:color w:val="auto"/>
        </w:rPr>
      </w:pPr>
      <w:r>
        <w:rPr>
          <w:rFonts w:ascii="Times New Roman" w:cs="Times New Roman" w:eastAsia="Times New Roman" w:hAnsi="Times New Roman"/>
          <w:sz w:val="13"/>
          <w:szCs w:val="13"/>
          <w:color w:val="auto"/>
        </w:rPr>
        <w:t>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w:t>
      </w:r>
    </w:p>
    <w:p>
      <w:pPr>
        <w:spacing w:after="0" w:line="1"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SEC Request for Information</w:t>
      </w:r>
    </w:p>
    <w:p>
      <w:pPr>
        <w:spacing w:after="0" w:line="33" w:lineRule="exact"/>
        <w:rPr>
          <w:sz w:val="20"/>
          <w:szCs w:val="20"/>
          <w:color w:val="auto"/>
        </w:rPr>
      </w:pPr>
    </w:p>
    <w:p>
      <w:pPr>
        <w:jc w:val="both"/>
        <w:ind w:right="60" w:firstLine="240"/>
        <w:spacing w:after="0" w:line="276" w:lineRule="auto"/>
        <w:rPr>
          <w:sz w:val="20"/>
          <w:szCs w:val="20"/>
          <w:color w:val="auto"/>
        </w:rPr>
      </w:pPr>
      <w:r>
        <w:rPr>
          <w:rFonts w:ascii="Times New Roman" w:cs="Times New Roman" w:eastAsia="Times New Roman" w:hAnsi="Times New Roman"/>
          <w:sz w:val="13"/>
          <w:szCs w:val="13"/>
          <w:color w:val="auto"/>
        </w:rPr>
        <w:t>The Company has been responding to requests for information from the SEC relating to an investigation by the SEC of alleged violations by the Company of Rule 21F-17, which prohibits actions to impede an individual from communicating directly with the SEC staff about a possible securities law violation. The Company intends to continue to defend this matter vigorously and cannot predict the outcome of this investigation.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Securities Class Actions</w:t>
      </w:r>
    </w:p>
    <w:p>
      <w:pPr>
        <w:spacing w:after="0" w:line="33"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On August 14, 2024, a putative class action captioned Fox v. Symbotic Inc. et al., Case No. 24-cv-12090 was filed in the United States District Court for the District of Massachusetts by an alleged holder of the Company’s common stock. The complaint asserts claims for violations of federal securities laws against the Company and two of its officers on the grounds that, among other things, the Company made false and/or misleading statements related to its expected earnings for the third quarter of fiscal year 2024. Based on these allegations, the plaintiff brings claims seeking unspecified damages, attorneys’ fees, expert fees, and other costs and relief on behalf of herself and a putative class of persons who purchased the Company’s stock between May 6, 2024 and July 29, 2024. On September 11, 2024, the court entered a stipulation staying the Company’s deadline to respond to the complaint until after a lead plaintiff has been appointed pursuant to the Private Securities Litigation Reform Act. On October 15, 2024, four alleged shareholders filed motions seeking to be appointed as lead plaintiff. As of November 7, 2024, one alleged shareholder has withdrawn her motion for appointment as lead plaintiff, and two others have filed papers stating that they do not oppose the competing motion of the movant who claimed the largest losses, Dr. Seshagiri Rao Kalapala, and his selection of Levi &amp; Korsinsky, LLP as lead counsel. As of December 3, 2024, the court has not yet ruled on the pending lead plaintiff motions.</w:t>
      </w:r>
    </w:p>
    <w:p>
      <w:pPr>
        <w:spacing w:after="0" w:line="17"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On December 3, 2024, a putative class action captioned Decker v. Symbotic Inc. et al., Case No. 24-cv-12976 was filed in the United States District Court for the District of Massachusetts by an alleged purchaser of the Company’s common stock. The complaint asserts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brings claims seeking unspecified damages, attorneys’ fees, expert fees, and other costs and relief on behalf of himself and a putative class of persons who purchased the Company’s stock between February 8, 2024 and November 26, 2024.</w:t>
      </w:r>
    </w:p>
    <w:p>
      <w:pPr>
        <w:spacing w:after="0" w:line="11" w:lineRule="exact"/>
        <w:rPr>
          <w:sz w:val="20"/>
          <w:szCs w:val="20"/>
          <w:color w:val="auto"/>
        </w:rPr>
      </w:pPr>
    </w:p>
    <w:p>
      <w:pPr>
        <w:ind w:right="120" w:firstLine="240"/>
        <w:spacing w:after="0" w:line="294" w:lineRule="auto"/>
        <w:rPr>
          <w:sz w:val="20"/>
          <w:szCs w:val="20"/>
          <w:color w:val="auto"/>
        </w:rPr>
      </w:pPr>
      <w:r>
        <w:rPr>
          <w:rFonts w:ascii="Times New Roman" w:cs="Times New Roman" w:eastAsia="Times New Roman" w:hAnsi="Times New Roman"/>
          <w:sz w:val="13"/>
          <w:szCs w:val="13"/>
          <w:color w:val="auto"/>
        </w:rPr>
        <w:t>The Company intends to vigorously defend these cases. If a court ultimately determines that the Company is liable in either or both of these cases, the Company may be subject to substantial damages. The Company cannot predict with any degree of certainty the outcome of these matters or determine the extent of any potential liabilities. The Company also cannot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6" w:name="page107"/>
    <w:bookmarkEnd w:id="10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3"/>
          <w:szCs w:val="13"/>
          <w:color w:val="auto"/>
        </w:rPr>
        <w:t>provide an estimate of the possible loss or range of loss. Any adverse outcome in these matters could expose the Company to substantial damages that may have a material adverse impact on its operations and cash flows. Despite the potential for significant damages, the Company does not believe, based on currently available information, that the outcome of these proceedings will have a material adverse effect on its financial condition, although the outcome could be material to its operating results for any particular period, depending, in part, upon the operating results for such period.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Shareholder Derivative Actions</w:t>
      </w:r>
    </w:p>
    <w:p>
      <w:pPr>
        <w:spacing w:after="0" w:line="33"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also contend that the defendants wasted corporate assets by exposing the Company to the securities class action lawsuit filed on August 14, 2024. The actions seek compensatory damages, changes to corporate governance and internal procedures, restitution, costs and attorneys’ fees, and other unspecified relief. On November 19 and November 20, 2024, the parties filed motions seeking to consolidate the two actions into a single matter, appoint lead plaintiffs’ counsel, and stay any obligation of the defendants to respond to the complaint based on the pendency of the related Fox v. Symbotic securities class action lawsuit (described above).</w:t>
      </w:r>
    </w:p>
    <w:p>
      <w:pPr>
        <w:spacing w:after="0" w:line="15"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Contingencies</w:t>
      </w:r>
    </w:p>
    <w:p>
      <w:pPr>
        <w:spacing w:after="0" w:line="4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September 28, 2024, the Company had made appropriate provisions related to such matters and does not believe that such matters will have a material adverse effect on the Company’s consolidated operations, financial position, or liquidity.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Indemnifications</w:t>
      </w:r>
    </w:p>
    <w:p>
      <w:pPr>
        <w:spacing w:after="0" w:line="35" w:lineRule="exact"/>
        <w:rPr>
          <w:sz w:val="20"/>
          <w:szCs w:val="20"/>
          <w:color w:val="auto"/>
        </w:rPr>
      </w:pPr>
    </w:p>
    <w:p>
      <w:pPr>
        <w:ind w:right="160" w:firstLine="240"/>
        <w:spacing w:after="0" w:line="269" w:lineRule="auto"/>
        <w:rPr>
          <w:sz w:val="20"/>
          <w:szCs w:val="20"/>
          <w:color w:val="auto"/>
        </w:rPr>
      </w:pPr>
      <w:r>
        <w:rPr>
          <w:rFonts w:ascii="Times New Roman" w:cs="Times New Roman" w:eastAsia="Times New Roman" w:hAnsi="Times New Roman"/>
          <w:sz w:val="13"/>
          <w:szCs w:val="13"/>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not material. Accordingly, the Company has no liabilities recorded for these obligations as of September 28, 2024 and September 30,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Variable Interest Entities</w:t>
      </w:r>
    </w:p>
    <w:p>
      <w:pPr>
        <w:spacing w:after="0" w:line="55" w:lineRule="exact"/>
        <w:rPr>
          <w:sz w:val="20"/>
          <w:szCs w:val="20"/>
          <w:color w:val="auto"/>
        </w:rPr>
      </w:pPr>
    </w:p>
    <w:p>
      <w:pPr>
        <w:ind w:right="160" w:firstLine="240"/>
        <w:spacing w:after="0" w:line="289" w:lineRule="auto"/>
        <w:rPr>
          <w:sz w:val="20"/>
          <w:szCs w:val="20"/>
          <w:color w:val="auto"/>
        </w:rPr>
      </w:pPr>
      <w:r>
        <w:rPr>
          <w:rFonts w:ascii="Times New Roman" w:cs="Times New Roman" w:eastAsia="Times New Roman" w:hAnsi="Times New Roman"/>
          <w:sz w:val="13"/>
          <w:szCs w:val="13"/>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1" w:lineRule="exact"/>
        <w:rPr>
          <w:sz w:val="20"/>
          <w:szCs w:val="20"/>
          <w:color w:val="auto"/>
        </w:rPr>
      </w:pPr>
    </w:p>
    <w:p>
      <w:pPr>
        <w:ind w:right="420" w:firstLine="240"/>
        <w:spacing w:after="0" w:line="289" w:lineRule="auto"/>
        <w:rPr>
          <w:sz w:val="20"/>
          <w:szCs w:val="20"/>
          <w:color w:val="auto"/>
        </w:rPr>
      </w:pPr>
      <w:r>
        <w:rPr>
          <w:rFonts w:ascii="Times New Roman" w:cs="Times New Roman" w:eastAsia="Times New Roman" w:hAnsi="Times New Roman"/>
          <w:sz w:val="13"/>
          <w:szCs w:val="13"/>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1" w:lineRule="exact"/>
        <w:rPr>
          <w:sz w:val="20"/>
          <w:szCs w:val="20"/>
          <w:color w:val="auto"/>
        </w:rPr>
      </w:pPr>
    </w:p>
    <w:p>
      <w:pPr>
        <w:ind w:right="120" w:firstLine="240"/>
        <w:spacing w:after="0" w:line="276" w:lineRule="auto"/>
        <w:rPr>
          <w:sz w:val="20"/>
          <w:szCs w:val="20"/>
          <w:color w:val="auto"/>
        </w:rPr>
      </w:pPr>
      <w:r>
        <w:rPr>
          <w:rFonts w:ascii="Times New Roman" w:cs="Times New Roman" w:eastAsia="Times New Roman" w:hAnsi="Times New Roman"/>
          <w:sz w:val="13"/>
          <w:szCs w:val="13"/>
          <w:color w:val="auto"/>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7" w:name="page108"/>
    <w:bookmarkEnd w:id="10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3"/>
          <w:szCs w:val="13"/>
          <w:color w:val="auto"/>
        </w:rPr>
        <w:t>formation of GreenBox as a venture between the Symbotic Group and SoftBank, GreenBox Limited Liability Company Agreement, Master Services, License and Equipment Agreement (the “Commercial Agreement”) and warrant to purchase Class A Common Stock of Symbotic (the “GreenBox Warrant”).</w:t>
      </w:r>
    </w:p>
    <w:p>
      <w:pPr>
        <w:spacing w:after="0" w:line="1" w:lineRule="exact"/>
        <w:rPr>
          <w:sz w:val="20"/>
          <w:szCs w:val="20"/>
          <w:color w:val="auto"/>
        </w:rPr>
      </w:pPr>
    </w:p>
    <w:p>
      <w:pPr>
        <w:ind w:right="100" w:firstLine="240"/>
        <w:spacing w:after="0" w:line="264" w:lineRule="auto"/>
        <w:rPr>
          <w:sz w:val="20"/>
          <w:szCs w:val="20"/>
          <w:color w:val="auto"/>
        </w:rPr>
      </w:pPr>
      <w:r>
        <w:rPr>
          <w:rFonts w:ascii="Times New Roman" w:cs="Times New Roman" w:eastAsia="Times New Roman" w:hAnsi="Times New Roman"/>
          <w:sz w:val="13"/>
          <w:szCs w:val="13"/>
          <w:color w:val="auto"/>
        </w:rPr>
        <w:t xml:space="preserve">GreenBox was established on July 21, 2023, to build and automate supply chain networks globally by operating and financing the Company’s advanced artificial intelligence (“A.I.”) and automation technology for the warehouse. Symbotic Holdings and Sunlight own 35% and 65% of GreenBox, respectively. On July 23, 2023, GreenBox entered into the Commercial Agreement with Symbotic LLC with respect to the purchase of Symbotic’s automated case handling systems. The Company evaluated for VIEs upon the formation of GreenBox in accordance with ASC 810, </w:t>
      </w:r>
      <w:r>
        <w:rPr>
          <w:rFonts w:ascii="Times New Roman" w:cs="Times New Roman" w:eastAsia="Times New Roman" w:hAnsi="Times New Roman"/>
          <w:sz w:val="13"/>
          <w:szCs w:val="13"/>
          <w:i w:val="1"/>
          <w:iCs w:val="1"/>
          <w:color w:val="auto"/>
        </w:rPr>
        <w:t>Consolidation</w:t>
      </w:r>
      <w:r>
        <w:rPr>
          <w:rFonts w:ascii="Times New Roman" w:cs="Times New Roman" w:eastAsia="Times New Roman" w:hAnsi="Times New Roman"/>
          <w:sz w:val="13"/>
          <w:szCs w:val="13"/>
          <w:color w:val="auto"/>
        </w:rPr>
        <w:t>.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recorded investments in the unconsolidated VIE and related estimated maximum exposure to loss are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4"/>
          </w:tcPr>
          <w:p>
            <w:pPr>
              <w:ind w:left="1460"/>
              <w:spacing w:after="0"/>
              <w:rPr>
                <w:sz w:val="20"/>
                <w:szCs w:val="20"/>
                <w:color w:val="auto"/>
              </w:rPr>
            </w:pPr>
            <w:r>
              <w:rPr>
                <w:rFonts w:ascii="Times New Roman" w:cs="Times New Roman" w:eastAsia="Times New Roman" w:hAnsi="Times New Roman"/>
                <w:sz w:val="11"/>
                <w:szCs w:val="11"/>
                <w:b w:val="1"/>
                <w:bCs w:val="1"/>
                <w:color w:val="auto"/>
              </w:rPr>
              <w:t>September 28, 2024</w:t>
            </w:r>
          </w:p>
        </w:tc>
      </w:tr>
      <w:tr>
        <w:trPr>
          <w:trHeight w:val="160"/>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Investments in Unconsolidated VIE</w:t>
            </w:r>
          </w:p>
        </w:tc>
        <w:tc>
          <w:tcPr>
            <w:tcW w:w="80" w:type="dxa"/>
            <w:vAlign w:val="bottom"/>
          </w:tcPr>
          <w:p>
            <w:pPr>
              <w:spacing w:after="0"/>
              <w:rPr>
                <w:sz w:val="13"/>
                <w:szCs w:val="13"/>
                <w:color w:val="auto"/>
              </w:rPr>
            </w:pPr>
          </w:p>
        </w:tc>
        <w:tc>
          <w:tcPr>
            <w:tcW w:w="1920" w:type="dxa"/>
            <w:vAlign w:val="bottom"/>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Symbotic's Maximum Exposure to Loss</w:t>
            </w:r>
          </w:p>
        </w:tc>
      </w:tr>
      <w:tr>
        <w:trPr>
          <w:trHeight w:val="17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GreenBox Systems LLC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3"/>
                <w:szCs w:val="13"/>
                <w:color w:val="auto"/>
              </w:rPr>
              <w:t>81,289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1,639,942</w:t>
            </w:r>
          </w:p>
        </w:tc>
      </w:tr>
      <w:tr>
        <w:trPr>
          <w:trHeight w:val="30"/>
        </w:trPr>
        <w:tc>
          <w:tcPr>
            <w:tcW w:w="7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The Company calculated its maximum exposure to loss while considering its equity investment in the VIE, any amounts owed to the Company for services which may have been provided, and future funding commitments of $1,639.9 million. As of September 28, 2024, there is a $81.3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Commercial Agreement to reimburse the Company in the event of a termination. If the VIE’s commitment under the Commercial Agreement was taken into consideration, there would be no maximum exposure to loss presented as the VIE’s commitment under the Commercial Agreement exceeds the Company’s future funding commitments.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19. Equity</w:t>
      </w:r>
    </w:p>
    <w:p>
      <w:pPr>
        <w:spacing w:after="0" w:line="55"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Prior to the Business Combination, the Company had authorized five classes of membership interests, consisting of a class of common units of the Company known as the Class A Common Units (the “Class A Units”), a class of preferred units of the Company known as the Class B Preferred Units (the “Class B Units”), a class of preferred units of the Company known as the Class B-1 Preferred Units (the “Class B-1 Units”), a class of preferred units of the Company known as the Class B-2 Preferred Units (the “Class B-2 Units”, and together with the Class B Units and the Class B-1 Units, the “Preferred Units”) and an additional class of common units of the Company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3" w:lineRule="exact"/>
        <w:rPr>
          <w:sz w:val="20"/>
          <w:szCs w:val="20"/>
          <w:color w:val="auto"/>
        </w:rPr>
      </w:pPr>
    </w:p>
    <w:p>
      <w:pPr>
        <w:ind w:right="360" w:firstLine="240"/>
        <w:spacing w:after="0" w:line="289" w:lineRule="auto"/>
        <w:rPr>
          <w:sz w:val="20"/>
          <w:szCs w:val="20"/>
          <w:color w:val="auto"/>
        </w:rPr>
      </w:pPr>
      <w:r>
        <w:rPr>
          <w:rFonts w:ascii="Times New Roman" w:cs="Times New Roman" w:eastAsia="Times New Roman" w:hAnsi="Times New Roman"/>
          <w:sz w:val="13"/>
          <w:szCs w:val="13"/>
          <w:color w:val="auto"/>
        </w:rPr>
        <w:t>Following the Business Combination, the Company has three classes of common stock, Class A Common Stock, Class V-1 Common Stock, and Class V-3 Common Stock (and together, the “Common Stock”).</w:t>
      </w:r>
    </w:p>
    <w:p>
      <w:pPr>
        <w:spacing w:after="0" w:line="1"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As the Business Combination was accounted for as a reverse recapitalization, all periods prior to the Business Combination were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24,031,400.00 per share, and the Class C Units were converted into Common Stock using an exchange ratio of 58.15 per share. This is presented within the consolidated statements of changes in redeemable preferred and common units and equity (deficit).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 A Common Stock</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is authorized to issue 3,000,000,000 shares of Class A Common Stock, par value $0.0001 per share, of which 104,689,377 shares were issued and outstanding on September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08" w:name="page109"/>
    <w:bookmarkEnd w:id="10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33"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Each holder of Class A Common Stock is entitled to one vote for each share of Class A Common Stock held of record by such holder on all matters submitted to a vote of the stockholders. Holders of Class A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Company’s certificate of incorporation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Delaware General Corporation Law (“DGCL”).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Dividend Rights</w:t>
      </w:r>
    </w:p>
    <w:p>
      <w:pPr>
        <w:spacing w:after="0" w:line="43"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Subject to the rights and preferences of any holders of any outstanding series of preferred stock, the holders of Class A Common Stock will be entitled to the payment of dividends and other distributions of cash, stock or property on the Class A Common Stock when, as and if declared by the board of directors in accordance with law.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Liquidation Rights</w:t>
      </w:r>
    </w:p>
    <w:p>
      <w:pPr>
        <w:spacing w:after="0" w:line="33" w:lineRule="exact"/>
        <w:rPr>
          <w:sz w:val="20"/>
          <w:szCs w:val="20"/>
          <w:color w:val="auto"/>
        </w:rPr>
      </w:pPr>
    </w:p>
    <w:p>
      <w:pPr>
        <w:ind w:right="20" w:firstLine="240"/>
        <w:spacing w:after="0" w:line="276" w:lineRule="auto"/>
        <w:rPr>
          <w:sz w:val="20"/>
          <w:szCs w:val="20"/>
          <w:color w:val="auto"/>
        </w:rPr>
      </w:pPr>
      <w:r>
        <w:rPr>
          <w:rFonts w:ascii="Times New Roman" w:cs="Times New Roman" w:eastAsia="Times New Roman" w:hAnsi="Times New Roman"/>
          <w:sz w:val="13"/>
          <w:szCs w:val="13"/>
          <w:color w:val="auto"/>
        </w:rPr>
        <w:t>Subject to the rights and preferences of any holders of any shares of any outstanding series of preferred stock, in the event of any liquidation, dissolution or winding up, whether voluntary or involuntary, the Company’s funds and assets that may be legally distributed to its stockholders will be distributed among the holders of the then-outstanding Class A Common Stock pro rata in accordance with the number of shares of Class A Common Stock held by each such holder.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Rights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holders of Class A Common Stock have no preemptive or conversion rights or other subscription rights. There are no redemption or sinking fund provisions applicable to the Class A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rights, preferences, and privileges of holders of the Class A Common Stock will be subject to those of the holders of any shares of the preferred stock the Company may issue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 V-1 Common Stock and Class V-3 Common Stock</w:t>
      </w:r>
    </w:p>
    <w:p>
      <w:pPr>
        <w:spacing w:after="0" w:line="45"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 xml:space="preserve">The Company is authorized to issue 1,000,000,000 shares of Class V-1 Common Stock and 450,000,000 shares of Class V-3 Common Stock, both which have a par value of $0.0001 and all of which were issued to the Legacy Warehouse unitholders in connection with the Closing of the Business Combination, as described in Note 4, </w:t>
      </w:r>
      <w:r>
        <w:rPr>
          <w:rFonts w:ascii="Times New Roman" w:cs="Times New Roman" w:eastAsia="Times New Roman" w:hAnsi="Times New Roman"/>
          <w:sz w:val="13"/>
          <w:szCs w:val="13"/>
          <w:i w:val="1"/>
          <w:iCs w:val="1"/>
          <w:color w:val="auto"/>
        </w:rPr>
        <w:t>Mergers and Acquisitions</w:t>
      </w:r>
      <w:r>
        <w:rPr>
          <w:rFonts w:ascii="Times New Roman" w:cs="Times New Roman" w:eastAsia="Times New Roman" w:hAnsi="Times New Roman"/>
          <w:sz w:val="13"/>
          <w:szCs w:val="13"/>
          <w:color w:val="auto"/>
        </w:rPr>
        <w:t>. As of September 28, 2024 there were 76,965,386 shares of Class V-1 and 404,309,196 shares of Class V-3 Common Stock outstanding. For the year ended September 28, 2024, the Legacy Warehouse unitholders exchanged 5,836,122 and 3,219,745 shares of Class V-1 and Class V-3 Common Stock, respectively, together with a corresponding number of New Symbotic Holdings Common Units, into an equal number of Class A Common Stock. The Company did not receive any proceeds as a result of this exchange.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33"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Each holder of Class V-1 Common Stock is entitled to one vote for each share of Class V-1 Common Stock held of record by such holder on all matters submitted to a vote of the stockholders, and each holder of Class V-3 Common Stock is entitled to three votes for each share of Class V-3 Common Stock held of record by such holder on all matters submitted to a vote of the stockholders. Holders of Class V-1 Common Stock and Class V-3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109" w:name="page110"/>
    <w:bookmarkEnd w:id="10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are entitled, either separately or together with the holders of one or more other such series, to vote thereon pursuant to the Charter (including any certificate of designation) or pursuant to the DGCL.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Dividend Rights</w:t>
      </w:r>
    </w:p>
    <w:p>
      <w:pPr>
        <w:spacing w:after="0" w:line="33" w:lineRule="exact"/>
        <w:rPr>
          <w:sz w:val="20"/>
          <w:szCs w:val="20"/>
          <w:color w:val="auto"/>
        </w:rPr>
      </w:pPr>
    </w:p>
    <w:p>
      <w:pPr>
        <w:ind w:right="200" w:firstLine="240"/>
        <w:spacing w:after="0" w:line="337" w:lineRule="auto"/>
        <w:rPr>
          <w:sz w:val="20"/>
          <w:szCs w:val="20"/>
          <w:color w:val="auto"/>
        </w:rPr>
      </w:pPr>
      <w:r>
        <w:rPr>
          <w:rFonts w:ascii="Times New Roman" w:cs="Times New Roman" w:eastAsia="Times New Roman" w:hAnsi="Times New Roman"/>
          <w:sz w:val="13"/>
          <w:szCs w:val="13"/>
          <w:color w:val="auto"/>
        </w:rPr>
        <w:t xml:space="preserve">Except as provided in the Charter with respect to certain stock adjustments, dividends of cash or property may not be declared or paid on shares of Class V-1 Common Stock or Class V-3 Common Stock. </w:t>
      </w:r>
      <w:r>
        <w:rPr>
          <w:rFonts w:ascii="Times New Roman" w:cs="Times New Roman" w:eastAsia="Times New Roman" w:hAnsi="Times New Roman"/>
          <w:sz w:val="13"/>
          <w:szCs w:val="13"/>
          <w:i w:val="1"/>
          <w:iCs w:val="1"/>
          <w:color w:val="auto"/>
        </w:rPr>
        <w:t>Liquidation Rights</w:t>
      </w:r>
    </w:p>
    <w:p>
      <w:pPr>
        <w:spacing w:after="0" w:line="1" w:lineRule="exact"/>
        <w:rPr>
          <w:sz w:val="20"/>
          <w:szCs w:val="20"/>
          <w:color w:val="auto"/>
        </w:rPr>
      </w:pPr>
    </w:p>
    <w:p>
      <w:pPr>
        <w:ind w:right="520" w:firstLine="240"/>
        <w:spacing w:after="0" w:line="294" w:lineRule="auto"/>
        <w:rPr>
          <w:sz w:val="20"/>
          <w:szCs w:val="20"/>
          <w:color w:val="auto"/>
        </w:rPr>
      </w:pPr>
      <w:r>
        <w:rPr>
          <w:rFonts w:ascii="Times New Roman" w:cs="Times New Roman" w:eastAsia="Times New Roman" w:hAnsi="Times New Roman"/>
          <w:sz w:val="13"/>
          <w:szCs w:val="13"/>
          <w:color w:val="auto"/>
        </w:rPr>
        <w:t>The holders of shares of Class V-1 Common Stock and Class V-3 Common Stock will not be entitled to receive any of the Company’s assets in the event of any voluntary or involuntary liquidation, dissolution or winding up of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Rights</w:t>
      </w:r>
    </w:p>
    <w:p>
      <w:pPr>
        <w:spacing w:after="0" w:line="33" w:lineRule="exact"/>
        <w:rPr>
          <w:sz w:val="20"/>
          <w:szCs w:val="20"/>
          <w:color w:val="auto"/>
        </w:rPr>
      </w:pPr>
    </w:p>
    <w:p>
      <w:pPr>
        <w:ind w:firstLine="240"/>
        <w:spacing w:after="0" w:line="269" w:lineRule="auto"/>
        <w:rPr>
          <w:sz w:val="20"/>
          <w:szCs w:val="20"/>
          <w:color w:val="auto"/>
        </w:rPr>
      </w:pPr>
      <w:r>
        <w:rPr>
          <w:rFonts w:ascii="Times New Roman" w:cs="Times New Roman" w:eastAsia="Times New Roman" w:hAnsi="Times New Roman"/>
          <w:sz w:val="13"/>
          <w:szCs w:val="13"/>
          <w:color w:val="auto"/>
        </w:rPr>
        <w:t>The holders of Class V-1 Common Stock and Class V-3 Common Stock have no preemptive or other subscription rights. There are no sinking fund provisions applicable to the Class V-1 Common Stock or Class V-3 Common Stock. The rights, preferences and privileges of holders of the Class V-1 Common Stock and Class V-3 Common Stock will be subject to those of the holders of any shares of the preferred stock the Company may issue in the future. Subject to the terms of the New Symbotic Holdings LLC Agreement, holders of New Symbotic Holdings Common Units may cause the Company to redeem all or any portion of such holder’s New Symbotic Holdings Common Units, and in connection with such redemption, the Company may be required to deliver Class A common stock to such holder.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Conversion of Class V-3 Common Stock</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V-3 Common Stock may convert into Class V-1 Common Stock in certain situations, including automatically seven years following the Business Combination.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Transfer of Class V-1 Common Stock and Class V-3 Common Stock</w:t>
      </w:r>
    </w:p>
    <w:p>
      <w:pPr>
        <w:spacing w:after="0" w:line="43" w:lineRule="exact"/>
        <w:rPr>
          <w:sz w:val="20"/>
          <w:szCs w:val="20"/>
          <w:color w:val="auto"/>
        </w:rPr>
      </w:pPr>
    </w:p>
    <w:p>
      <w:pPr>
        <w:ind w:right="20" w:firstLine="240"/>
        <w:spacing w:after="0" w:line="266" w:lineRule="auto"/>
        <w:rPr>
          <w:sz w:val="20"/>
          <w:szCs w:val="20"/>
          <w:color w:val="auto"/>
        </w:rPr>
      </w:pPr>
      <w:r>
        <w:rPr>
          <w:rFonts w:ascii="Times New Roman" w:cs="Times New Roman" w:eastAsia="Times New Roman" w:hAnsi="Times New Roman"/>
          <w:sz w:val="13"/>
          <w:szCs w:val="13"/>
          <w:color w:val="auto"/>
        </w:rPr>
        <w:t>No holder of Class V-1 Common Stock or Class V-3 Common Stock may transfer such shares to any person unless such holder also simultaneously transfers an equal number of such holder’s New Symbotic Holdings Common Units to the same person in accordance with the terms of the New Symbotic Holdings LLC Agreement. Upon a transfer of New Symbotic Holdings Common Units in accordance with the New Symbotic Holdings LLC Agreement, an equal number of shares of Class V-1 Common Stock and/or Class V-3 Common Stock that correspond to such New Symbotic Holdings Common Units will automatically and simultaneously be transferred to the same transferee of such New Symbotic Holdings Common Units. Any attempted or purported transfer of shares of Class V-1 Common Stock and Class V-3 Common Stock in violation of the foregoing restrictions will be null and void.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Cancellation of Class V-1 Common Stock and Class V-3 Common Stock</w:t>
      </w:r>
    </w:p>
    <w:p>
      <w:pPr>
        <w:spacing w:after="0" w:line="33"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In the event that any outstanding share of Class V-1 Common Stock or Class V-3 Common Stock ceases to be held directly or indirectly by a holder of a New Symbotic Holdings Common Units, such share will automatically be transferred to Symbotic and cancelled for no consideration.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is authorized to issue 50,000,000 shares of undesignated preferred stock, par value $0.0001 per share, of which no shares were issued and outstanding on September 28,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Legacy Warehouse Membership Interests</w:t>
      </w:r>
    </w:p>
    <w:p>
      <w:pPr>
        <w:spacing w:after="0" w:line="45" w:lineRule="exact"/>
        <w:rPr>
          <w:sz w:val="20"/>
          <w:szCs w:val="20"/>
          <w:color w:val="auto"/>
        </w:rPr>
      </w:pPr>
    </w:p>
    <w:p>
      <w:pPr>
        <w:ind w:firstLine="240"/>
        <w:spacing w:after="0" w:line="289" w:lineRule="auto"/>
        <w:rPr>
          <w:sz w:val="20"/>
          <w:szCs w:val="20"/>
          <w:color w:val="auto"/>
        </w:rPr>
      </w:pPr>
      <w:r>
        <w:rPr>
          <w:rFonts w:ascii="Times New Roman" w:cs="Times New Roman" w:eastAsia="Times New Roman" w:hAnsi="Times New Roman"/>
          <w:sz w:val="13"/>
          <w:szCs w:val="13"/>
          <w:color w:val="auto"/>
        </w:rPr>
        <w:t>Prior to the Business Combination and under the Legacy Warehouse Membership Interests, the Company was authorized to issue up to 6,426,208 Units in the aggregate, of which 5,997,632 are designated as Class A Units, one Unit is designated as a Class B Unit, two Units are designated as Class B-1 Units, two Units are designated as Class B-2 Units and 428,571 Units are designated as Class C Units.</w:t>
      </w:r>
    </w:p>
    <w:p>
      <w:pPr>
        <w:spacing w:after="0" w:line="1" w:lineRule="exact"/>
        <w:rPr>
          <w:sz w:val="20"/>
          <w:szCs w:val="20"/>
          <w:color w:val="auto"/>
        </w:rPr>
      </w:pPr>
    </w:p>
    <w:p>
      <w:pPr>
        <w:ind w:firstLine="240"/>
        <w:spacing w:after="0" w:line="289" w:lineRule="auto"/>
        <w:rPr>
          <w:sz w:val="20"/>
          <w:szCs w:val="20"/>
          <w:color w:val="auto"/>
        </w:rPr>
      </w:pPr>
      <w:r>
        <w:rPr>
          <w:rFonts w:ascii="Times New Roman" w:cs="Times New Roman" w:eastAsia="Times New Roman" w:hAnsi="Times New Roman"/>
          <w:sz w:val="13"/>
          <w:szCs w:val="13"/>
          <w:color w:val="auto"/>
        </w:rPr>
        <w:t>As of September 25, 2021, there were 5,997,632 Class A Units, one Class B Unit, one Class B-1 Unit and 428,571 Class C Units outstanding. As discussed above, these outstanding units were converted into Common Stock as part of the Business Combination during fiscal year 2022.</w:t>
      </w:r>
    </w:p>
    <w:p>
      <w:pPr>
        <w:spacing w:after="0" w:line="1" w:lineRule="exact"/>
        <w:rPr>
          <w:sz w:val="20"/>
          <w:szCs w:val="20"/>
          <w:color w:val="auto"/>
        </w:rPr>
      </w:pPr>
    </w:p>
    <w:p>
      <w:pPr>
        <w:ind w:right="20" w:firstLine="240"/>
        <w:spacing w:after="0" w:line="289" w:lineRule="auto"/>
        <w:rPr>
          <w:sz w:val="20"/>
          <w:szCs w:val="20"/>
          <w:color w:val="auto"/>
        </w:rPr>
      </w:pPr>
      <w:r>
        <w:rPr>
          <w:rFonts w:ascii="Times New Roman" w:cs="Times New Roman" w:eastAsia="Times New Roman" w:hAnsi="Times New Roman"/>
          <w:sz w:val="13"/>
          <w:szCs w:val="13"/>
          <w:color w:val="auto"/>
        </w:rPr>
        <w:t>During the period ended September 24, 2022, the Company received no member contributions from the holder of the Class B-1 Unit. The Company recorded a cumulative preferred return with respect to the holder of the Class B-1 Unit and B Unit of $8.1 million and $16.1 million, respectively, for the year ended September 24, 2022.</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conditions applied to the classes of membership interests authorized prior to the Business Combination: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0" w:name="page111"/>
    <w:bookmarkEnd w:id="11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40" w:firstLine="240"/>
        <w:spacing w:after="0" w:line="294" w:lineRule="auto"/>
        <w:rPr>
          <w:sz w:val="20"/>
          <w:szCs w:val="20"/>
          <w:color w:val="auto"/>
        </w:rPr>
      </w:pPr>
      <w:r>
        <w:rPr>
          <w:rFonts w:ascii="Times New Roman" w:cs="Times New Roman" w:eastAsia="Times New Roman" w:hAnsi="Times New Roman"/>
          <w:sz w:val="13"/>
          <w:szCs w:val="13"/>
          <w:color w:val="auto"/>
        </w:rPr>
        <w:t>Each holder of Class A Units and Class C Units shall have the right to one vote per the Class A Unit or Class C Unit, respectively. Except as required by law, the Preferred Units do not have any voting rights.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Preferred Return</w:t>
      </w:r>
    </w:p>
    <w:p>
      <w:pPr>
        <w:spacing w:after="0" w:line="33" w:lineRule="exact"/>
        <w:rPr>
          <w:sz w:val="20"/>
          <w:szCs w:val="20"/>
          <w:color w:val="auto"/>
        </w:rPr>
      </w:pPr>
    </w:p>
    <w:p>
      <w:pPr>
        <w:ind w:right="200" w:firstLine="240"/>
        <w:spacing w:after="0" w:line="294" w:lineRule="auto"/>
        <w:rPr>
          <w:sz w:val="20"/>
          <w:szCs w:val="20"/>
          <w:color w:val="auto"/>
        </w:rPr>
      </w:pPr>
      <w:r>
        <w:rPr>
          <w:rFonts w:ascii="Times New Roman" w:cs="Times New Roman" w:eastAsia="Times New Roman" w:hAnsi="Times New Roman"/>
          <w:sz w:val="13"/>
          <w:szCs w:val="13"/>
          <w:color w:val="auto"/>
        </w:rPr>
        <w:t>The holder of the Preferred Units shall be entitled to receive, in preference to the holders of the Class A Units and the Class C Units, a cumulative preferred return at a rate per annum of 5%, compounded annually, on the unreturned preferred capital of the holder’s Preferred Units (the “Preferred Return”). The Class A Units and Class C Units have no stated returns or dividends.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Liquidation Rights</w:t>
      </w:r>
    </w:p>
    <w:p>
      <w:pPr>
        <w:spacing w:after="0" w:line="43" w:lineRule="exact"/>
        <w:rPr>
          <w:sz w:val="20"/>
          <w:szCs w:val="20"/>
          <w:color w:val="auto"/>
        </w:rPr>
      </w:pPr>
    </w:p>
    <w:p>
      <w:pPr>
        <w:ind w:right="20" w:firstLine="240"/>
        <w:spacing w:after="0" w:line="262" w:lineRule="auto"/>
        <w:rPr>
          <w:sz w:val="20"/>
          <w:szCs w:val="20"/>
          <w:color w:val="auto"/>
        </w:rPr>
      </w:pPr>
      <w:r>
        <w:rPr>
          <w:rFonts w:ascii="Times New Roman" w:cs="Times New Roman" w:eastAsia="Times New Roman" w:hAnsi="Times New Roman"/>
          <w:sz w:val="13"/>
          <w:szCs w:val="13"/>
          <w:color w:val="auto"/>
        </w:rPr>
        <w:t xml:space="preserve">In the event of liquidation, dissolution, or winding up of the Company, the five classes of membership interests rank in the following order of priority: the Class B-2 Units are the most senior, followed by Class B-1 Unit, then the Class B Unit, and then both the Class A Units and Class C Units treated as a single class. The holders of the Preferred Units are entitled to a liquidation preference equal to the sum of the Unreturned Preferred Capital (defined as the initial investment and subsequent contributions, less distributions, if any) and the applicable unpaid Preferred Return (collectively, the “Liquidation Preference”) in the order described in the preceding sentence, prior to any distribution to holders of the Class A Units and Class C Units. Upon the payment in full of the Liquidation Preference, any remaining assets available for distribution shall be distributed ratably to the holders of the Class A Units and Class C Units, however, for the Class C Units only to the extent that the value exceeds the applicable Hurdle Value (see Note 21, </w:t>
      </w:r>
      <w:r>
        <w:rPr>
          <w:rFonts w:ascii="Times New Roman" w:cs="Times New Roman" w:eastAsia="Times New Roman" w:hAnsi="Times New Roman"/>
          <w:sz w:val="13"/>
          <w:szCs w:val="13"/>
          <w:i w:val="1"/>
          <w:iCs w:val="1"/>
          <w:color w:val="auto"/>
        </w:rPr>
        <w:t>Stock-Based Compensation and Warrant Units</w:t>
      </w:r>
      <w:r>
        <w:rPr>
          <w:rFonts w:ascii="Times New Roman" w:cs="Times New Roman" w:eastAsia="Times New Roman" w:hAnsi="Times New Roman"/>
          <w:sz w:val="13"/>
          <w:szCs w:val="13"/>
          <w:color w:val="auto"/>
        </w:rPr>
        <w:t>). Any remaining value that does not exceed the Hurdle Value for any particular Class C Unit shall be distributed to the holders of Class A Units (and any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Class C Units entitled to share in the distribution) based on their respective pro rata holdings of all such Class A (and Class C) Units. The Company classified its redeemable Preferred Units (Class B, B-1, and B-2 Units) as mezzanine equity, or outside of members’ deficit, because the units contain liquidation features that are not solely within the Company’s control.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Redemption Rights</w:t>
      </w:r>
    </w:p>
    <w:p>
      <w:pPr>
        <w:spacing w:after="0" w:line="33" w:lineRule="exact"/>
        <w:rPr>
          <w:sz w:val="20"/>
          <w:szCs w:val="20"/>
          <w:color w:val="auto"/>
        </w:rPr>
      </w:pPr>
    </w:p>
    <w:p>
      <w:pPr>
        <w:ind w:right="60" w:firstLine="240"/>
        <w:spacing w:after="0" w:line="269" w:lineRule="auto"/>
        <w:rPr>
          <w:sz w:val="20"/>
          <w:szCs w:val="20"/>
          <w:color w:val="auto"/>
        </w:rPr>
      </w:pPr>
      <w:r>
        <w:rPr>
          <w:rFonts w:ascii="Times New Roman" w:cs="Times New Roman" w:eastAsia="Times New Roman" w:hAnsi="Times New Roman"/>
          <w:sz w:val="13"/>
          <w:szCs w:val="13"/>
          <w:color w:val="auto"/>
        </w:rPr>
        <w:t xml:space="preserve">Upon written notice by the holders of a majority of a class of Preferred Units, the Company shall redeem all of the outstanding Preferred Units of such class. The redemption price payable to each holder of the class of Preferred Units shall equal the Liquidation Preference of the Preferred Units being redeemed. The Class C Units are subject to a put feature that allow holders to redeem vested Class C Units, subject to certain terms and conditions (see Note 21, </w:t>
      </w:r>
      <w:r>
        <w:rPr>
          <w:rFonts w:ascii="Times New Roman" w:cs="Times New Roman" w:eastAsia="Times New Roman" w:hAnsi="Times New Roman"/>
          <w:sz w:val="13"/>
          <w:szCs w:val="13"/>
          <w:i w:val="1"/>
          <w:iCs w:val="1"/>
          <w:color w:val="auto"/>
        </w:rPr>
        <w:t>Stock-Based Compensation and Warrant Units</w:t>
      </w:r>
      <w:r>
        <w:rPr>
          <w:rFonts w:ascii="Times New Roman" w:cs="Times New Roman" w:eastAsia="Times New Roman" w:hAnsi="Times New Roman"/>
          <w:sz w:val="13"/>
          <w:szCs w:val="13"/>
          <w:color w:val="auto"/>
        </w:rPr>
        <w:t>). The Class A Units do not have any redemption rights. Accordingly, the Preferred Units and the Class C Units are classified outside of permanent members’ deficit because they are redeemable by the holders.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 Net Loss per Share</w:t>
      </w:r>
    </w:p>
    <w:p>
      <w:pPr>
        <w:spacing w:after="0" w:line="5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1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Prior to the Business Combination, the membership structure of Legacy Warehouse included units which shared in the profits and losses of Legacy Warehouse. The Company analyzed the calculation of earnings per unit for periods prior to the Business Combination and determined that it resulted in values that would not be meaningful to the users of these consolidated financial statements. Therefore, earnings per share information has not been presented for periods prior to the Business Combination on June 7, 2022. The basic and diluted earnings per share for the period ended September 24, 2022 represent only the period of June 8, 2022 to September 24,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1" w:name="page112"/>
    <w:bookmarkEnd w:id="11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80"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sets forth reconciliations of the numerators and denominators used to compute basic and diluted earnings per share of Class A Common Stock (in thousands, except per share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7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 - basic and diluted</w:t>
            </w: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(207,894)</w:t>
            </w:r>
          </w:p>
        </w:tc>
        <w:tc>
          <w:tcPr>
            <w:tcW w:w="8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(139,089)</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 Warehouse Technologies LLC unitholders prior to the Business Combination</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(72,134)</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 the noncontrolling interest post Business Combination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(71,182)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(60,092)</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common shareholders</w:t>
            </w: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(6,863)</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 - basic and diluted</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 outstanding</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95,697,368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64,338,580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54,086,381</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per share of Class A Common Stock - basic and diluted</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(0.13)</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560" w:firstLine="240"/>
        <w:spacing w:after="0" w:line="289" w:lineRule="auto"/>
        <w:rPr>
          <w:sz w:val="20"/>
          <w:szCs w:val="20"/>
          <w:color w:val="auto"/>
        </w:rPr>
      </w:pPr>
      <w:r>
        <w:rPr>
          <w:rFonts w:ascii="Times New Roman" w:cs="Times New Roman" w:eastAsia="Times New Roman" w:hAnsi="Times New Roman"/>
          <w:sz w:val="13"/>
          <w:szCs w:val="13"/>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1" w:lineRule="exact"/>
        <w:rPr>
          <w:sz w:val="20"/>
          <w:szCs w:val="20"/>
          <w:color w:val="auto"/>
        </w:rPr>
      </w:pPr>
    </w:p>
    <w:p>
      <w:pPr>
        <w:jc w:val="both"/>
        <w:ind w:right="140" w:firstLine="240"/>
        <w:spacing w:after="0" w:line="276" w:lineRule="auto"/>
        <w:rPr>
          <w:sz w:val="20"/>
          <w:szCs w:val="20"/>
          <w:color w:val="auto"/>
        </w:rPr>
      </w:pPr>
      <w:r>
        <w:rPr>
          <w:rFonts w:ascii="Times New Roman" w:cs="Times New Roman" w:eastAsia="Times New Roman" w:hAnsi="Times New Roman"/>
          <w:sz w:val="13"/>
          <w:szCs w:val="13"/>
          <w:color w:val="auto"/>
        </w:rPr>
        <w:t>The Company uses the treasury stock method and the average market price per share during the period for calculating any potential dilutive effect of the restricted stock units (“RSUs”), ESPP, and Warrant Units (defined below). The average stock price for the year ended September 28, 2024 was $38.79. For the year ended September 28, 2024, there were 5,636,703 potentially dilutive common stock equivalents related to the RSUs. The Warrant Units and ESPP shares were not included as they created an anti-dilutive effect.</w:t>
      </w:r>
    </w:p>
    <w:p>
      <w:pPr>
        <w:spacing w:after="0" w:line="5" w:lineRule="exact"/>
        <w:rPr>
          <w:sz w:val="20"/>
          <w:szCs w:val="20"/>
          <w:color w:val="auto"/>
        </w:rPr>
      </w:pPr>
    </w:p>
    <w:p>
      <w:pPr>
        <w:ind w:right="360" w:firstLine="240"/>
        <w:spacing w:after="0" w:line="294" w:lineRule="auto"/>
        <w:rPr>
          <w:sz w:val="20"/>
          <w:szCs w:val="20"/>
          <w:color w:val="auto"/>
        </w:rPr>
      </w:pPr>
      <w:r>
        <w:rPr>
          <w:rFonts w:ascii="Times New Roman" w:cs="Times New Roman" w:eastAsia="Times New Roman" w:hAnsi="Times New Roman"/>
          <w:sz w:val="13"/>
          <w:szCs w:val="13"/>
          <w:color w:val="auto"/>
        </w:rPr>
        <w:t>The average stock price for the year ended September 30, 2023 was $25.30. For the year ended September 30, 2023, there were 7,635,238 and 9,598,620 potentially dilutive common stock equivalents related to the RSUs and Warrant Units, respectively. The ESPP shares were not included as they created an anti-dilutive effect.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21. Stock-Based Compensation and Warrant Units</w:t>
      </w:r>
    </w:p>
    <w:p>
      <w:pPr>
        <w:spacing w:after="0" w:line="5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3"/>
          <w:szCs w:val="13"/>
          <w:color w:val="auto"/>
        </w:rPr>
        <w:t>In June 2022, the Company’s stockholders approved the Symbotic Inc. 2022 Omnibus Incentive Compensation Plan (“2022 Plan”). The 2022 Plan allows for the issuance of stock options, stock appreciation rights, restricted shares, restricted stock units, dividend equivalent rights, and other equity-based or equity-like awards that the Compensation Committee of the Board of Directors determines to be consistent with the purposes of the 2022 Plan and the interests of the Company for up to 75,485,491 shares of Class A Common Stock to employees, directors, and consultants of the Company. Additionally, up to 8,500,000 shares may be issued in connection with the exchange of awards under the 2012 Value Appreciation Plan (described below) or the Amended and Restated 2018 Long Term Incentive Plan (“Legacy Plans”). The Company will no longer issue new awards under the Legacy Plans as all future grants will be issued under the 2022 Plan, or another equity plan that is approved by the Compensation Committee of the Board of Directors. Awards issued under the 2022 Plan have a maximum term of 10 years.</w:t>
      </w:r>
    </w:p>
    <w:p>
      <w:pPr>
        <w:spacing w:after="0" w:line="15" w:lineRule="exact"/>
        <w:rPr>
          <w:sz w:val="20"/>
          <w:szCs w:val="20"/>
          <w:color w:val="auto"/>
        </w:rPr>
      </w:pPr>
    </w:p>
    <w:p>
      <w:pPr>
        <w:ind w:right="200" w:firstLine="240"/>
        <w:spacing w:after="0" w:line="294" w:lineRule="auto"/>
        <w:rPr>
          <w:sz w:val="20"/>
          <w:szCs w:val="20"/>
          <w:color w:val="auto"/>
        </w:rPr>
      </w:pPr>
      <w:r>
        <w:rPr>
          <w:rFonts w:ascii="Times New Roman" w:cs="Times New Roman" w:eastAsia="Times New Roman" w:hAnsi="Times New Roman"/>
          <w:sz w:val="13"/>
          <w:szCs w:val="13"/>
          <w:color w:val="auto"/>
        </w:rPr>
        <w:t>The following two tables show stock-based compensation expense by award type and where the stock-based compensation expense is recorded in the Company’s consolidated statements of operations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RSUs (service-based and performance-based)</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26,858</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2" w:name="page113"/>
    <w:bookmarkEnd w:id="11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Effect of stock-based compensation expense on income by line item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0"/>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18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18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 Systems</w:t>
            </w: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 Software maintenance and support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 Operation services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9,671</w:t>
            </w:r>
          </w:p>
        </w:tc>
      </w:tr>
      <w:tr>
        <w:trPr>
          <w:trHeight w:val="30"/>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79,716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17,187</w:t>
            </w:r>
          </w:p>
        </w:tc>
      </w:tr>
      <w:tr>
        <w:trPr>
          <w:trHeight w:val="195"/>
        </w:trPr>
        <w:tc>
          <w:tcPr>
            <w:tcW w:w="6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112,208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154,227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26,858</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100" w:firstLine="240"/>
        <w:spacing w:after="0" w:line="289" w:lineRule="auto"/>
        <w:rPr>
          <w:sz w:val="20"/>
          <w:szCs w:val="20"/>
          <w:color w:val="auto"/>
        </w:rPr>
      </w:pPr>
      <w:r>
        <w:rPr>
          <w:rFonts w:ascii="Times New Roman" w:cs="Times New Roman" w:eastAsia="Times New Roman" w:hAnsi="Times New Roman"/>
          <w:sz w:val="13"/>
          <w:szCs w:val="13"/>
          <w:color w:val="auto"/>
        </w:rPr>
        <w:t>Total stock-based compensation expense for the year ended September 28, 2024 decreased as compared to the year ended September 30, 2023 as a result of the issuance of restricted stock to our employees in August 2022 following the Business Combination with application of the graded-vesting method of expense recognition. There was no such grant in the same period of fiscal year 2023.</w:t>
      </w:r>
    </w:p>
    <w:p>
      <w:pPr>
        <w:spacing w:after="0" w:line="1"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RSUs represent the right to receive one share of the Company’s common stock upon vesting. RSUs are granted at the discretion of the Board of Directors, a committee thereof or, subject to defined limitations, the Chief Executive Officer of the Company, acting as a committee of one director, to whom such authority has been delegated. The Company has issued RSUs that vest based on the passage of time assuming continued service with the Company, and RSUs that vest only upon the achievement of defined performance metrics tied primarily to revenue and earnings targets.</w:t>
      </w:r>
    </w:p>
    <w:p>
      <w:pPr>
        <w:spacing w:after="0" w:line="5" w:lineRule="exact"/>
        <w:rPr>
          <w:sz w:val="20"/>
          <w:szCs w:val="20"/>
          <w:color w:val="auto"/>
        </w:rPr>
      </w:pPr>
    </w:p>
    <w:p>
      <w:pPr>
        <w:ind w:firstLine="240"/>
        <w:spacing w:after="0" w:line="266" w:lineRule="auto"/>
        <w:rPr>
          <w:sz w:val="20"/>
          <w:szCs w:val="20"/>
          <w:color w:val="auto"/>
        </w:rPr>
      </w:pPr>
      <w:r>
        <w:rPr>
          <w:rFonts w:ascii="Times New Roman" w:cs="Times New Roman" w:eastAsia="Times New Roman" w:hAnsi="Times New Roman"/>
          <w:sz w:val="13"/>
          <w:szCs w:val="13"/>
          <w:color w:val="auto"/>
        </w:rPr>
        <w:t>For RSUs with service-based vesting conditions, the fair value is calculated based on the Company’s closing stock price on the grant date, and the stock-based compensation expense is being recognized over the vesting period. Most RSUs with service-based vesting provisions vest in installments over a three-year period following the grant date. For RSUs with performance-based vesting conditions (“PSU”), management measures compensation expense based upon a review of the Company’s expected achievement against specified financial performance targets. Such compensation cost is being recorded to the extent management has deemed that such awards are probable of vesting based upon the expected achievement against the specified targets. On a periodic basis, management reviews the Company’s expected performance and adjusts the compensation cost, if needed, at such time.</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RSU activity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w w:val="97"/>
              </w:rPr>
              <w:t>Weighted Average Grant Date Fair Value</w:t>
            </w:r>
          </w:p>
        </w:tc>
      </w:tr>
      <w:tr>
        <w:trPr>
          <w:trHeight w:val="189"/>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September 24,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12,365,587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w:t>
            </w:r>
          </w:p>
        </w:tc>
      </w:tr>
      <w:tr>
        <w:trPr>
          <w:trHeight w:val="180"/>
        </w:trPr>
        <w:tc>
          <w:tcPr>
            <w:tcW w:w="8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7,625,784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30"/>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0"/>
        </w:trPr>
        <w:tc>
          <w:tcPr>
            <w:tcW w:w="8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(4,187,313)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w:t>
            </w:r>
          </w:p>
        </w:tc>
      </w:tr>
      <w:tr>
        <w:trPr>
          <w:trHeight w:val="180"/>
        </w:trPr>
        <w:tc>
          <w:tcPr>
            <w:tcW w:w="8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(2,920,043)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w:t>
            </w:r>
          </w:p>
        </w:tc>
      </w:tr>
      <w:tr>
        <w:trPr>
          <w:trHeight w:val="30"/>
        </w:trPr>
        <w:tc>
          <w:tcPr>
            <w:tcW w:w="67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8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September 30, 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12,884,015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w:t>
            </w:r>
          </w:p>
        </w:tc>
      </w:tr>
      <w:tr>
        <w:trPr>
          <w:trHeight w:val="180"/>
        </w:trPr>
        <w:tc>
          <w:tcPr>
            <w:tcW w:w="8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3,102,298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44.44</w:t>
            </w:r>
          </w:p>
        </w:tc>
      </w:tr>
      <w:tr>
        <w:trPr>
          <w:trHeight w:val="30"/>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0"/>
        </w:trPr>
        <w:tc>
          <w:tcPr>
            <w:tcW w:w="8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(6,863,457)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w:t>
            </w:r>
          </w:p>
        </w:tc>
      </w:tr>
      <w:tr>
        <w:trPr>
          <w:trHeight w:val="180"/>
        </w:trPr>
        <w:tc>
          <w:tcPr>
            <w:tcW w:w="8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(1,190,356)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r>
      <w:tr>
        <w:trPr>
          <w:trHeight w:val="30"/>
        </w:trPr>
        <w:tc>
          <w:tcPr>
            <w:tcW w:w="67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September 28,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ind w:right="60" w:firstLine="240"/>
        <w:spacing w:after="0" w:line="269" w:lineRule="auto"/>
        <w:rPr>
          <w:sz w:val="20"/>
          <w:szCs w:val="20"/>
          <w:color w:val="auto"/>
        </w:rPr>
      </w:pPr>
      <w:r>
        <w:rPr>
          <w:rFonts w:ascii="Times New Roman" w:cs="Times New Roman" w:eastAsia="Times New Roman" w:hAnsi="Times New Roman"/>
          <w:sz w:val="13"/>
          <w:szCs w:val="13"/>
          <w:color w:val="auto"/>
        </w:rPr>
        <w:t>The total fair value of RSUs that vested during the years ended September 28, 2024, September 30, 2023 and September 24, 2022 was $295.5 million, $90.7 million, and $29.0 million, respectively. For the years ended September 28, 2024, September 30, 2023, and September 24, 2022, the weighted-average fair value of RSU awards granted was $44.44, $15.72, and $15.81 per share, respectively. As of September 28, 2024, 7.9 million RSUs were outstanding and unvested, with an aggregate value of $202.4 million and a weighted average remaining vesting period of approximately 0.82 years. These RSUs are expected to vest on various dates through 2027.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3" w:name="page114"/>
    <w:bookmarkEnd w:id="113"/>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PSU activity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w w:val="97"/>
              </w:rPr>
              <w:t>Weighted Average Grant Date Fair Value</w:t>
            </w:r>
          </w:p>
        </w:tc>
      </w:tr>
      <w:tr>
        <w:trPr>
          <w:trHeight w:val="18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September 24, 2022</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r>
      <w:tr>
        <w:trPr>
          <w:trHeight w:val="180"/>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337,986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r>
      <w:tr>
        <w:trPr>
          <w:trHeight w:val="30"/>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0"/>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r>
      <w:tr>
        <w:trPr>
          <w:trHeight w:val="180"/>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0"/>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8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September 30,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337,986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w:t>
            </w:r>
          </w:p>
        </w:tc>
      </w:tr>
      <w:tr>
        <w:trPr>
          <w:trHeight w:val="180"/>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w:t>
            </w:r>
          </w:p>
        </w:tc>
      </w:tr>
      <w:tr>
        <w:trPr>
          <w:trHeight w:val="30"/>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0"/>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r>
      <w:tr>
        <w:trPr>
          <w:trHeight w:val="180"/>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r>
      <w:tr>
        <w:trPr>
          <w:trHeight w:val="30"/>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at September 28,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Employee Stock Purchase Plan</w:t>
      </w:r>
    </w:p>
    <w:p>
      <w:pPr>
        <w:spacing w:after="0" w:line="33" w:lineRule="exact"/>
        <w:rPr>
          <w:sz w:val="20"/>
          <w:szCs w:val="20"/>
          <w:color w:val="auto"/>
        </w:rPr>
      </w:pPr>
    </w:p>
    <w:p>
      <w:pPr>
        <w:ind w:right="40" w:firstLine="240"/>
        <w:spacing w:after="0" w:line="264" w:lineRule="auto"/>
        <w:rPr>
          <w:sz w:val="20"/>
          <w:szCs w:val="20"/>
          <w:color w:val="auto"/>
        </w:rPr>
      </w:pPr>
      <w:r>
        <w:rPr>
          <w:rFonts w:ascii="Times New Roman" w:cs="Times New Roman" w:eastAsia="Times New Roman" w:hAnsi="Times New Roman"/>
          <w:sz w:val="13"/>
          <w:szCs w:val="13"/>
          <w:color w:val="auto"/>
        </w:rPr>
        <w:t>On June 3, 2022, the Company’s stockholders approved, and on June 7, 2022, the Company’s board of directors adopted the ESPP. The ESPP authorizes the issuance of up to a total of 2,702,515 shares of Class A Common Stock to participating employees, and allows eligible employees to purchase shares of Class A Common Stock at a 15% discount from the fair market value of the stock as determined on specific dates, which are typically at six-month intervals. The offering periods for the ESPP generally start on the first trading day on or after February 28th and August 31st of each year. However, the first offering period for the ESPP commenced on the first trading day after October 1, 2022 and ended on December 31, 2022, the second offering period commenced on the first trading day after January 1, 2023 and ended on June 30, 2023, the third offering period commenced on the first trading day after July 1, 2023 and ended on February 28, 2024, the fourth offering period commenced on March 1, 2024 and ended on August 31, 2024, and the fifth and current offering period commenced on the first trading day after September 1, 2024 and ends on February 28, 2025.</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fair value of the ESPP is estimated using the Black-Scholes option-pricing model with the following assumptions: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840" w:type="dxa"/>
            <w:vAlign w:val="bottom"/>
          </w:tcPr>
          <w:p>
            <w:pPr>
              <w:spacing w:after="0"/>
              <w:rPr>
                <w:sz w:val="13"/>
                <w:szCs w:val="13"/>
                <w:color w:val="auto"/>
              </w:rPr>
            </w:pPr>
          </w:p>
        </w:tc>
        <w:tc>
          <w:tcPr>
            <w:tcW w:w="208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360" w:type="dxa"/>
            <w:vAlign w:val="bottom"/>
            <w:tcBorders>
              <w:bottom w:val="single" w:sz="8" w:color="auto"/>
            </w:tcBorders>
          </w:tcPr>
          <w:p>
            <w:pPr>
              <w:spacing w:after="0"/>
              <w:rPr>
                <w:sz w:val="13"/>
                <w:szCs w:val="13"/>
                <w:color w:val="auto"/>
              </w:rPr>
            </w:pPr>
          </w:p>
        </w:tc>
      </w:tr>
      <w:tr>
        <w:trPr>
          <w:trHeight w:val="160"/>
        </w:trPr>
        <w:tc>
          <w:tcPr>
            <w:tcW w:w="7840" w:type="dxa"/>
            <w:vAlign w:val="bottom"/>
          </w:tcPr>
          <w:p>
            <w:pPr>
              <w:spacing w:after="0"/>
              <w:rPr>
                <w:sz w:val="13"/>
                <w:szCs w:val="13"/>
                <w:color w:val="auto"/>
              </w:rPr>
            </w:pPr>
          </w:p>
        </w:tc>
        <w:tc>
          <w:tcPr>
            <w:tcW w:w="208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1360" w:type="dxa"/>
            <w:vAlign w:val="bottom"/>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89"/>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Risk-free interest rate (%)</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0.03 - 0.05</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term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0.25 - 0.66</w:t>
            </w:r>
          </w:p>
        </w:tc>
      </w:tr>
      <w:tr>
        <w:trPr>
          <w:trHeight w:val="30"/>
        </w:trPr>
        <w:tc>
          <w:tcPr>
            <w:tcW w:w="7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Volatility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63.54 - 73.27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63.67 - 76.21</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dividends</w:t>
            </w:r>
          </w:p>
        </w:tc>
        <w:tc>
          <w:tcPr>
            <w:tcW w:w="2080" w:type="dxa"/>
            <w:vAlign w:val="bottom"/>
            <w:gridSpan w:val="3"/>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28" w:lineRule="exact"/>
        <w:rPr>
          <w:sz w:val="20"/>
          <w:szCs w:val="20"/>
          <w:color w:val="auto"/>
        </w:rPr>
      </w:pPr>
    </w:p>
    <w:p>
      <w:pPr>
        <w:jc w:val="both"/>
        <w:ind w:right="300" w:firstLine="240"/>
        <w:spacing w:after="0" w:line="276" w:lineRule="auto"/>
        <w:rPr>
          <w:sz w:val="20"/>
          <w:szCs w:val="20"/>
          <w:color w:val="auto"/>
        </w:rPr>
      </w:pPr>
      <w:r>
        <w:rPr>
          <w:rFonts w:ascii="Times New Roman" w:cs="Times New Roman" w:eastAsia="Times New Roman" w:hAnsi="Times New Roman"/>
          <w:sz w:val="13"/>
          <w:szCs w:val="13"/>
          <w:color w:val="auto"/>
        </w:rPr>
        <w:t>The interest rate is based on the U.S. Treasury bond rate at the date of grant with a maturity approximately equal to the expected term. The expected term was based on terms of the offering period. The expected volatility for the Company’s common stock is based on an average of the historical volatility of a peer group of similar public companies. The assumed dividend yield is based upon the Company’s expectation of not paying dividends in the foreseeable future. The fair value of the Company’s common stock is the closing price of the stock on the date the offering period starts.</w:t>
      </w:r>
    </w:p>
    <w:p>
      <w:pPr>
        <w:spacing w:after="0" w:line="5" w:lineRule="exact"/>
        <w:rPr>
          <w:sz w:val="20"/>
          <w:szCs w:val="20"/>
          <w:color w:val="auto"/>
        </w:rPr>
      </w:pPr>
    </w:p>
    <w:p>
      <w:pPr>
        <w:ind w:right="80" w:firstLine="240"/>
        <w:spacing w:after="0" w:line="276" w:lineRule="auto"/>
        <w:rPr>
          <w:sz w:val="20"/>
          <w:szCs w:val="20"/>
          <w:color w:val="auto"/>
        </w:rPr>
      </w:pPr>
      <w:r>
        <w:rPr>
          <w:rFonts w:ascii="Times New Roman" w:cs="Times New Roman" w:eastAsia="Times New Roman" w:hAnsi="Times New Roman"/>
          <w:sz w:val="13"/>
          <w:szCs w:val="13"/>
          <w:color w:val="auto"/>
        </w:rPr>
        <w:t>For the year ended September 28, 2024, 230,548 shares of common stock were issued to employees who participated in the plan with a weighted average purchase price of $24.00 per share for total cash proceeds of $5.5 million, net of taxes. For the year ended September 30, 2023, 225,788 shares of common stock were issued to employees who participated in the plan with a weighted average purchase price of $10.20 per share for total cash proceeds of $2.6 million, net of taxes.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Class C Units</w:t>
      </w:r>
    </w:p>
    <w:p>
      <w:pPr>
        <w:spacing w:after="0" w:line="33"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Prior to the Business Combination, the Company periodically granted Class C Units to employees, officers, and directors which vest over a period of up to five years, as determined by the Board of Managers. Each issuance of Class C Units entitles its holder to share in the appreciation in the fair market value (“FMV”) of the Company from the date of issuance, subject to any preferences or priorities payable to the Preferred Units. The Board shall establish a “Hurdle Value”, which shall not be less than the FMV on the date of such issuance of such Class C Unit and such units shall share only in appreciation of the FMV in excess of the Hurdle Value. Any distributions made with respect to Class C Units that have not yet become vested are held in a separate account for the benefit of the holder of the unvested units until such time as the units vest. The Class C Units are subject to a put feature that allow holders to redeem vested Class C Units. The put feature requires the holder 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4" w:name="page115"/>
    <w:bookmarkEnd w:id="11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13"/>
          <w:szCs w:val="13"/>
          <w:color w:val="auto"/>
        </w:rPr>
        <w:t xml:space="preserve">hold the units for at least six months from the date the Class C Units vest to the earliest date the put feature can be exercised. Accordingly, since the holder is exposed to the economic risks and rewards of unit ownership, the Class C Units are treated as equity classified awards. However, because redemption of the Class C Units is outside of the control of the Company: (i) the Class C Units are classified outside of permanent members’ deficit, and (ii) the carrying value of Class C Units is adjusted to redemption value at each reporting period through a charge to members’ deficit (until such time as the Class C Units are redeemed or forfeited). As further described in Note 19, </w:t>
      </w:r>
      <w:r>
        <w:rPr>
          <w:rFonts w:ascii="Times New Roman" w:cs="Times New Roman" w:eastAsia="Times New Roman" w:hAnsi="Times New Roman"/>
          <w:sz w:val="13"/>
          <w:szCs w:val="13"/>
          <w:i w:val="1"/>
          <w:iCs w:val="1"/>
          <w:color w:val="auto"/>
        </w:rPr>
        <w:t>Equity</w:t>
      </w:r>
      <w:r>
        <w:rPr>
          <w:rFonts w:ascii="Times New Roman" w:cs="Times New Roman" w:eastAsia="Times New Roman" w:hAnsi="Times New Roman"/>
          <w:sz w:val="13"/>
          <w:szCs w:val="13"/>
          <w:color w:val="auto"/>
        </w:rPr>
        <w:t>, the Class C Units were converted into Common Stock upon consummation of the Business Combination.</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is a summary of Class C Units outstanding and vested immediately prior to the consummation of the Business Combination: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820" w:type="dxa"/>
            <w:vAlign w:val="bottom"/>
          </w:tcPr>
          <w:p>
            <w:pPr>
              <w:spacing w:after="0"/>
              <w:rPr>
                <w:sz w:val="12"/>
                <w:szCs w:val="12"/>
                <w:color w:val="auto"/>
              </w:rPr>
            </w:pPr>
          </w:p>
        </w:tc>
        <w:tc>
          <w:tcPr>
            <w:tcW w:w="146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Class C</w:t>
            </w:r>
          </w:p>
        </w:tc>
      </w:tr>
      <w:tr>
        <w:trPr>
          <w:trHeight w:val="150"/>
        </w:trPr>
        <w:tc>
          <w:tcPr>
            <w:tcW w:w="98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Units</w:t>
            </w:r>
          </w:p>
        </w:tc>
      </w:tr>
      <w:tr>
        <w:trPr>
          <w:trHeight w:val="189"/>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25,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428,571</w:t>
            </w:r>
          </w:p>
        </w:tc>
      </w:tr>
      <w:tr>
        <w:trPr>
          <w:trHeight w:val="180"/>
        </w:trPr>
        <w:tc>
          <w:tcPr>
            <w:tcW w:w="9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18,107</w:t>
            </w:r>
          </w:p>
        </w:tc>
      </w:tr>
      <w:tr>
        <w:trPr>
          <w:trHeight w:val="30"/>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9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Redeemed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9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(18,107)</w:t>
            </w:r>
          </w:p>
        </w:tc>
      </w:tr>
      <w:tr>
        <w:trPr>
          <w:trHeight w:val="30"/>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7,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428,571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98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Vested at June 7, 2022</w:t>
            </w:r>
          </w:p>
        </w:tc>
        <w:tc>
          <w:tcPr>
            <w:tcW w:w="14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375,930</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Valuation of Class C Units</w:t>
      </w:r>
    </w:p>
    <w:p>
      <w:pPr>
        <w:spacing w:after="0" w:line="33"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The fair value of Class C Units was determined by the Company’s Board of Managers based on enterprise valuations performed by management with the assistance of a third-party valuation firm. For fiscal year 2022 leading up to the Business Combination, the Company’s total equity value was determined using a combination of the income approach and market approach under the Hybrid Method. Under this approach, a probability-weighted expected return method was applied where two types of future event scenarios were considered: an IPO scenario and a non-IPO scenario for all other potential future exits.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 The resulting equity value was then allocated to outstanding equity instruments using an option pricing model.</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fair value of each Class C Unit grant was estimated on the date of the award using a Black-Scholes option pricing model with the following assumptions: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58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June 7, 2022</w:t>
            </w:r>
          </w:p>
        </w:tc>
      </w:tr>
      <w:tr>
        <w:trPr>
          <w:trHeight w:val="209"/>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 yield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0 %</w:t>
            </w:r>
          </w:p>
        </w:tc>
      </w:tr>
      <w:tr>
        <w:trPr>
          <w:trHeight w:val="210"/>
        </w:trPr>
        <w:tc>
          <w:tcPr>
            <w:tcW w:w="9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Volatility(a)</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45.0 %</w:t>
            </w:r>
          </w:p>
        </w:tc>
      </w:tr>
      <w:tr>
        <w:trPr>
          <w:trHeight w:val="210"/>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Risk-free interest rate(b)</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2.30 %</w:t>
            </w:r>
          </w:p>
        </w:tc>
      </w:tr>
      <w:tr>
        <w:trPr>
          <w:trHeight w:val="210"/>
        </w:trPr>
        <w:tc>
          <w:tcPr>
            <w:tcW w:w="9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Expected term (years)(c)</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r>
    </w:tbl>
    <w:p>
      <w:pPr>
        <w:spacing w:after="0" w:line="97" w:lineRule="exact"/>
        <w:rPr>
          <w:sz w:val="20"/>
          <w:szCs w:val="20"/>
          <w:color w:val="auto"/>
        </w:rPr>
      </w:pPr>
    </w:p>
    <w:p>
      <w:pPr>
        <w:ind w:left="360" w:hanging="360"/>
        <w:spacing w:after="0"/>
        <w:tabs>
          <w:tab w:leader="none" w:pos="3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volatility is estimated based on the historical volatility of a select peer group of similar publicly traded companies for a term that is consistent with the expected term of the Class C Units.</w:t>
      </w:r>
    </w:p>
    <w:p>
      <w:pPr>
        <w:spacing w:after="0" w:line="50" w:lineRule="exact"/>
        <w:rPr>
          <w:rFonts w:ascii="Times New Roman" w:cs="Times New Roman" w:eastAsia="Times New Roman" w:hAnsi="Times New Roman"/>
          <w:sz w:val="13"/>
          <w:szCs w:val="13"/>
          <w:color w:val="auto"/>
        </w:rPr>
      </w:pPr>
    </w:p>
    <w:p>
      <w:pPr>
        <w:ind w:left="360" w:hanging="360"/>
        <w:spacing w:after="0"/>
        <w:tabs>
          <w:tab w:leader="none" w:pos="3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risk-free interest rate is based on the U.S. Treasury constant maturity interest rate whose term is consistent with the expected term of the Class C Units.</w:t>
      </w:r>
    </w:p>
    <w:p>
      <w:pPr>
        <w:spacing w:after="0" w:line="50" w:lineRule="exact"/>
        <w:rPr>
          <w:rFonts w:ascii="Times New Roman" w:cs="Times New Roman" w:eastAsia="Times New Roman" w:hAnsi="Times New Roman"/>
          <w:sz w:val="13"/>
          <w:szCs w:val="13"/>
          <w:color w:val="auto"/>
        </w:rPr>
      </w:pPr>
    </w:p>
    <w:p>
      <w:pPr>
        <w:ind w:left="360" w:hanging="360"/>
        <w:spacing w:after="0"/>
        <w:tabs>
          <w:tab w:leader="none" w:pos="3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term is based on estimated liquidity event timing as further described above.</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fair value per unit for the Class C Units granted was determined to be the following for each of the periods presented:</w:t>
      </w:r>
    </w:p>
    <w:p>
      <w:pPr>
        <w:spacing w:after="0" w:line="51" w:lineRule="exact"/>
        <w:rPr>
          <w:sz w:val="20"/>
          <w:szCs w:val="20"/>
          <w:color w:val="auto"/>
        </w:rPr>
      </w:pPr>
    </w:p>
    <w:p>
      <w:pPr>
        <w:ind w:left="480" w:hanging="239"/>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$451.81 for the period December 26, 2021 through June 7, 2022</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$415.75 for the period September 26, 2021 through December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5" w:name="page116"/>
    <w:bookmarkEnd w:id="11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Value Appreciation Units</w:t>
      </w:r>
    </w:p>
    <w:p>
      <w:pPr>
        <w:spacing w:after="0" w:line="33" w:lineRule="exact"/>
        <w:rPr>
          <w:sz w:val="20"/>
          <w:szCs w:val="20"/>
          <w:color w:val="auto"/>
        </w:rPr>
      </w:pPr>
    </w:p>
    <w:p>
      <w:pPr>
        <w:ind w:right="20" w:firstLine="240"/>
        <w:spacing w:after="0" w:line="262" w:lineRule="auto"/>
        <w:rPr>
          <w:sz w:val="20"/>
          <w:szCs w:val="20"/>
          <w:color w:val="auto"/>
        </w:rPr>
      </w:pPr>
      <w:r>
        <w:rPr>
          <w:rFonts w:ascii="Times New Roman" w:cs="Times New Roman" w:eastAsia="Times New Roman" w:hAnsi="Times New Roman"/>
          <w:sz w:val="13"/>
          <w:szCs w:val="13"/>
          <w:color w:val="auto"/>
        </w:rPr>
        <w:t>The Company historically granted VAP Units to employees, officers, and directors that vested over a period of up to five years, as determined by the Board of Managers. No VAP Units were granted during the year ended September 24, 2022. Following the Business Combination and in the fourth quarter of fiscal year 2022, all outstanding VAP Units for 20 employees were converted into the Company’s restricted stock units. The Company issued 2,350,795 RSUs to the legacy VAP Unit holders. The conversion of the VAP Units into RSUs was treated as a modification in accordance with ASC 718, and resulted in a charge of $24.4 million to additional paid-in capital on the date of the modification. This included a step-up in grant date fair value charge of $0.7 million, which was principally due to the difference between the VAP Units grant date hurdle rates and the Company’s stock price as of the modification date. Prior to the Business Combination, to the extent vested and exercisable, each VAP Unit could be exercised for a cash payment equal to the appreciation in the FMV of 1/100th of a Class C Unit. The following exercisability triggers must be met before any vested award may be exercised, with the achievement of each trigger allowing one third of the vested award to be exercised: (i) the end of the first fiscal year in which the Company meets or exceeds annual revenue (on a cash accounting basis) of $100 million, (ii) the end of the first fiscal year in which the Company becomes cash flow positive, and (iii) the end of the first fiscal year in which the Company generates positive earnings before interest, taxes, depreciation, and amortization (“EBITDA”).</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is a summary of VAP Units outstanding which were converted to restricted stock units in the fourth quarter of fiscal year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8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VAP Units</w:t>
            </w:r>
          </w:p>
        </w:tc>
      </w:tr>
      <w:tr>
        <w:trPr>
          <w:trHeight w:val="189"/>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25,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4,039,620</w:t>
            </w:r>
          </w:p>
        </w:tc>
      </w:tr>
      <w:tr>
        <w:trPr>
          <w:trHeight w:val="180"/>
        </w:trPr>
        <w:tc>
          <w:tcPr>
            <w:tcW w:w="9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9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(255,845)</w:t>
            </w:r>
          </w:p>
        </w:tc>
      </w:tr>
      <w:tr>
        <w:trPr>
          <w:trHeight w:val="180"/>
        </w:trPr>
        <w:tc>
          <w:tcPr>
            <w:tcW w:w="9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(92,664)</w:t>
            </w:r>
          </w:p>
        </w:tc>
      </w:tr>
      <w:tr>
        <w:trPr>
          <w:trHeight w:val="30"/>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August 16,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3,691,111</w:t>
            </w:r>
          </w:p>
        </w:tc>
      </w:tr>
      <w:tr>
        <w:trPr>
          <w:trHeight w:val="180"/>
        </w:trPr>
        <w:tc>
          <w:tcPr>
            <w:tcW w:w="9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Converted to 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(3,691,111)</w:t>
            </w:r>
          </w:p>
        </w:tc>
      </w:tr>
      <w:tr>
        <w:trPr>
          <w:trHeight w:val="30"/>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24,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80" w:firstLine="240"/>
        <w:spacing w:after="0" w:line="266" w:lineRule="auto"/>
        <w:rPr>
          <w:sz w:val="20"/>
          <w:szCs w:val="20"/>
          <w:color w:val="auto"/>
        </w:rPr>
      </w:pPr>
      <w:r>
        <w:rPr>
          <w:rFonts w:ascii="Times New Roman" w:cs="Times New Roman" w:eastAsia="Times New Roman" w:hAnsi="Times New Roman"/>
          <w:sz w:val="13"/>
          <w:szCs w:val="13"/>
          <w:color w:val="auto"/>
        </w:rPr>
        <w:t>Because the VAP Units were settleable in cash, they were treated as liability classified awards. Accordingly, the carrying value of the liability was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As of the conversion date, the performance conditions relating to annual revenue and cash flows were considered probable of achievement. The performance condition relating to EBITDA was not considered probable of achievement for any of the periods presented and up to the date of conversion of the VAP Units to restricted stock units.</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recognized $13.2 million as compensation expense associated with the VAP Units for the year ended September 24,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Warrant Units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GreenBox Warrant</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July 23, 2023, in connection with the Commercial Agreement, the Company issued Sunlight the GreenBox Warrant to acquire up to an aggregate of 11,434,360 shares of the Company’s Class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Common Stock, subject to certain vesting conditions. The GreenBox Warrant had a grant date fair value of $19.90 per unit. The GreenBox Warrant may vest in connection with conditions defined by the terms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GreenBox Warrant, as GreenBox makes additional expenditures to the Company in connection with the Framework Agreement. There are up to eight tranches based on increments of expenditures where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approximately 1,429,295 additional shares may vest per tranche, subject to certain conditions defined by the terms of the GreenBox Warrant. Upon vesting, the shares may be acquired at an exercise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$41.9719. The GreenBox Warrant contains customary anti-dilution, down-round, and change-in-control provisions. The right to purchase shares pursuant to the GreenBox Warrant expires 36 months following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end of the initial term of the Framework Agreement, which is July 23, 2027, or, if applicable, the extension term of the Framework Agreement, which is July 23, 2029. As of September 28, 2024, none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GreenBox Warrant units had vested.</w:t>
      </w:r>
    </w:p>
    <w:p>
      <w:pPr>
        <w:spacing w:after="0" w:line="38" w:lineRule="exact"/>
        <w:rPr>
          <w:sz w:val="20"/>
          <w:szCs w:val="20"/>
          <w:color w:val="auto"/>
        </w:rPr>
      </w:pPr>
    </w:p>
    <w:p>
      <w:pPr>
        <w:ind w:right="380" w:firstLine="240"/>
        <w:spacing w:after="0" w:line="294" w:lineRule="auto"/>
        <w:rPr>
          <w:sz w:val="20"/>
          <w:szCs w:val="20"/>
          <w:color w:val="auto"/>
        </w:rPr>
      </w:pPr>
      <w:r>
        <w:rPr>
          <w:rFonts w:ascii="Times New Roman" w:cs="Times New Roman" w:eastAsia="Times New Roman" w:hAnsi="Times New Roman"/>
          <w:sz w:val="13"/>
          <w:szCs w:val="13"/>
          <w:color w:val="auto"/>
        </w:rPr>
        <w:t>Non-cash share-based payment expense associated with the GreenBox Warrant is recognized as vesting conditions are achieved, based on the grant date fair value of the warrants. The fair value of the GreenBox Warrant was determined as of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6" w:name="page117"/>
    <w:bookmarkEnd w:id="116"/>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3"/>
          <w:szCs w:val="13"/>
          <w:color w:val="auto"/>
        </w:rPr>
        <w:t xml:space="preserve">grant date in accordance with ASC Topic 718, </w:t>
      </w:r>
      <w:r>
        <w:rPr>
          <w:rFonts w:ascii="Times New Roman" w:cs="Times New Roman" w:eastAsia="Times New Roman" w:hAnsi="Times New Roman"/>
          <w:sz w:val="13"/>
          <w:szCs w:val="13"/>
          <w:i w:val="1"/>
          <w:iCs w:val="1"/>
          <w:color w:val="auto"/>
        </w:rPr>
        <w:t>Compensation – Stock Compensation</w:t>
      </w:r>
      <w:r>
        <w:rPr>
          <w:rFonts w:ascii="Times New Roman" w:cs="Times New Roman" w:eastAsia="Times New Roman" w:hAnsi="Times New Roman"/>
          <w:sz w:val="13"/>
          <w:szCs w:val="13"/>
          <w:color w:val="auto"/>
        </w:rPr>
        <w:t>, using the Monte Carlo simulation model. The Monte Carlo simulation model utilizes multiple input variables that determine the probability of satisfying the vesting conditions stipulated in the warrant agreement in a large number of simulated scenarios. Additionally, the Black-Scholes pricing model was applied to determine the fair value of the GreenBox warrant after vesting. Key assumptions for the Monte Carlo simulation and Black-Scholes models include risk-free interest rate and historical stock price volatility of peer company shares. The Black-Scholes assumptions utilized in determining the grant date fair value of the GreenBox Warrant after vesting are included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80" w:type="dxa"/>
            <w:vAlign w:val="bottom"/>
            <w:tcBorders>
              <w:bottom w:val="single" w:sz="8" w:color="CEF0FC"/>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jc w:val="right"/>
              <w:ind w:right="1716"/>
              <w:spacing w:after="0"/>
              <w:rPr>
                <w:sz w:val="20"/>
                <w:szCs w:val="20"/>
                <w:color w:val="auto"/>
              </w:rPr>
            </w:pPr>
            <w:r>
              <w:rPr>
                <w:rFonts w:ascii="Times New Roman" w:cs="Times New Roman" w:eastAsia="Times New Roman" w:hAnsi="Times New Roman"/>
                <w:sz w:val="11"/>
                <w:szCs w:val="11"/>
                <w:b w:val="1"/>
                <w:bCs w:val="1"/>
                <w:color w:val="auto"/>
              </w:rPr>
              <w:t>Selected Assumption</w:t>
            </w:r>
          </w:p>
        </w:tc>
      </w:tr>
      <w:tr>
        <w:trPr>
          <w:trHeight w:val="189"/>
        </w:trPr>
        <w:tc>
          <w:tcPr>
            <w:tcW w:w="678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3"/>
                <w:szCs w:val="13"/>
                <w:color w:val="auto"/>
              </w:rPr>
              <w:t>Strike price</w:t>
            </w:r>
          </w:p>
        </w:tc>
        <w:tc>
          <w:tcPr>
            <w:tcW w:w="92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3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41.972</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Volatility (a)</w:t>
            </w:r>
          </w:p>
        </w:tc>
        <w:tc>
          <w:tcPr>
            <w:tcW w:w="920" w:type="dxa"/>
            <w:vAlign w:val="bottom"/>
          </w:tcPr>
          <w:p>
            <w:pPr>
              <w:spacing w:after="0"/>
              <w:rPr>
                <w:sz w:val="15"/>
                <w:szCs w:val="15"/>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30"/>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190"/>
        </w:trPr>
        <w:tc>
          <w:tcPr>
            <w:tcW w:w="678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3"/>
                <w:szCs w:val="13"/>
                <w:color w:val="auto"/>
              </w:rPr>
              <w:t>Risk-free interest rate (b)</w:t>
            </w:r>
          </w:p>
        </w:tc>
        <w:tc>
          <w:tcPr>
            <w:tcW w:w="9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term (years) (c)</w:t>
            </w:r>
          </w:p>
        </w:tc>
        <w:tc>
          <w:tcPr>
            <w:tcW w:w="920" w:type="dxa"/>
            <w:vAlign w:val="bottom"/>
          </w:tcPr>
          <w:p>
            <w:pPr>
              <w:spacing w:after="0"/>
              <w:rPr>
                <w:sz w:val="15"/>
                <w:szCs w:val="15"/>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bl>
    <w:p>
      <w:pPr>
        <w:spacing w:after="0" w:line="128" w:lineRule="exact"/>
        <w:rPr>
          <w:sz w:val="20"/>
          <w:szCs w:val="20"/>
          <w:color w:val="auto"/>
        </w:rPr>
      </w:pPr>
    </w:p>
    <w:p>
      <w:pPr>
        <w:ind w:left="360" w:right="440" w:hanging="360"/>
        <w:spacing w:after="0" w:line="289" w:lineRule="auto"/>
        <w:tabs>
          <w:tab w:leader="none" w:pos="35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volatility is estimated based on the historical volatility of a select peer group of similar publicly traded companies for a term that is consistent with the expected term of the GreenBox Warrant.</w:t>
      </w:r>
    </w:p>
    <w:p>
      <w:pPr>
        <w:ind w:left="360" w:hanging="360"/>
        <w:spacing w:after="0"/>
        <w:tabs>
          <w:tab w:leader="none" w:pos="3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risk-free interest rate is based on the U.S. Treasury constant maturity interest rate whose term is consistent with the expected term of the GreenBox Warrant.</w:t>
      </w:r>
    </w:p>
    <w:p>
      <w:pPr>
        <w:spacing w:after="0" w:line="50" w:lineRule="exact"/>
        <w:rPr>
          <w:rFonts w:ascii="Times New Roman" w:cs="Times New Roman" w:eastAsia="Times New Roman" w:hAnsi="Times New Roman"/>
          <w:sz w:val="13"/>
          <w:szCs w:val="13"/>
          <w:color w:val="auto"/>
        </w:rPr>
      </w:pPr>
    </w:p>
    <w:p>
      <w:pPr>
        <w:ind w:left="360" w:hanging="360"/>
        <w:spacing w:after="0"/>
        <w:tabs>
          <w:tab w:leader="none" w:pos="3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term is based on the contractual term of the GreenBox Warrant.</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Walmart Warrants</w:t>
      </w:r>
    </w:p>
    <w:p>
      <w:pPr>
        <w:spacing w:after="0" w:line="5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3"/>
          <w:szCs w:val="13"/>
          <w:color w:val="auto"/>
        </w:rPr>
        <w:t>On April 30, 2021, in connection with its entry into a Subscription Agreement with Walmart, the Company issued Walmart warrants to acquire up to an aggregate of 714,022 shares of the Company’s Class A Units (the “Warrants”),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15" w:lineRule="exact"/>
        <w:rPr>
          <w:sz w:val="20"/>
          <w:szCs w:val="20"/>
          <w:color w:val="auto"/>
        </w:rPr>
      </w:pPr>
    </w:p>
    <w:p>
      <w:pPr>
        <w:jc w:val="both"/>
        <w:ind w:right="260" w:firstLine="240"/>
        <w:spacing w:after="0" w:line="276" w:lineRule="auto"/>
        <w:rPr>
          <w:sz w:val="20"/>
          <w:szCs w:val="20"/>
          <w:color w:val="auto"/>
        </w:rPr>
      </w:pPr>
      <w:r>
        <w:rPr>
          <w:rFonts w:ascii="Times New Roman" w:cs="Times New Roman" w:eastAsia="Times New Roman" w:hAnsi="Times New Roman"/>
          <w:sz w:val="13"/>
          <w:szCs w:val="13"/>
          <w:color w:val="auto"/>
        </w:rPr>
        <w:t>Non-cash share-based payment expense associated with the warrant units is recognized as vesting conditions are achieved, based on the grant date fair value of the warrants. The fair value of the warrant units was determined as of the grant date in accordance with ASC 718 using the Black-Scholes pricing model. The Black-Scholes pricing model is based, in part, upon assumptions for which management is required to use judgment. The assumptions made for purposes of estimating fair value under the Black-Scholes pricing model for the Warrants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00" w:type="dxa"/>
            <w:vAlign w:val="bottom"/>
            <w:tcBorders>
              <w:bottom w:val="single" w:sz="8" w:color="CCEEFF"/>
            </w:tcBorders>
          </w:tcPr>
          <w:p>
            <w:pPr>
              <w:spacing w:after="0"/>
              <w:rPr>
                <w:sz w:val="13"/>
                <w:szCs w:val="13"/>
                <w:color w:val="auto"/>
              </w:rPr>
            </w:pPr>
          </w:p>
        </w:tc>
        <w:tc>
          <w:tcPr>
            <w:tcW w:w="4580" w:type="dxa"/>
            <w:vAlign w:val="bottom"/>
            <w:tcBorders>
              <w:bottom w:val="single" w:sz="8" w:color="auto"/>
            </w:tcBorders>
          </w:tcPr>
          <w:p>
            <w:pPr>
              <w:jc w:val="right"/>
              <w:ind w:right="1756"/>
              <w:spacing w:after="0"/>
              <w:rPr>
                <w:sz w:val="20"/>
                <w:szCs w:val="20"/>
                <w:color w:val="auto"/>
              </w:rPr>
            </w:pPr>
            <w:r>
              <w:rPr>
                <w:rFonts w:ascii="Times New Roman" w:cs="Times New Roman" w:eastAsia="Times New Roman" w:hAnsi="Times New Roman"/>
                <w:sz w:val="11"/>
                <w:szCs w:val="11"/>
                <w:b w:val="1"/>
                <w:bCs w:val="1"/>
                <w:color w:val="auto"/>
              </w:rPr>
              <w:t>Selected Assumption</w:t>
            </w:r>
          </w:p>
        </w:tc>
      </w:tr>
      <w:tr>
        <w:trPr>
          <w:trHeight w:val="1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yield</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0 %</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Volatility(a)</w:t>
            </w:r>
          </w:p>
        </w:tc>
        <w:tc>
          <w:tcPr>
            <w:tcW w:w="4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43.0 %</w:t>
            </w:r>
          </w:p>
        </w:tc>
      </w:tr>
      <w:tr>
        <w:trPr>
          <w:trHeight w:val="30"/>
        </w:trPr>
        <w:tc>
          <w:tcPr>
            <w:tcW w:w="670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19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Risk-free interest rate(b)</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1.65 %</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term (years)(c)</w:t>
            </w:r>
          </w:p>
        </w:tc>
        <w:tc>
          <w:tcPr>
            <w:tcW w:w="4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bl>
    <w:p>
      <w:pPr>
        <w:spacing w:after="0" w:line="128" w:lineRule="exact"/>
        <w:rPr>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volatility is estimated based on the historical volatility of a select peer group of similar publicly traded companies for a term that is consistent with the expected term of the Warrants.</w:t>
      </w:r>
    </w:p>
    <w:p>
      <w:pPr>
        <w:spacing w:after="0" w:line="50" w:lineRule="exact"/>
        <w:rPr>
          <w:rFonts w:ascii="Times New Roman" w:cs="Times New Roman" w:eastAsia="Times New Roman" w:hAnsi="Times New Roman"/>
          <w:sz w:val="13"/>
          <w:szCs w:val="13"/>
          <w:color w:val="auto"/>
        </w:rPr>
      </w:pPr>
    </w:p>
    <w:p>
      <w:pPr>
        <w:ind w:left="360" w:hanging="360"/>
        <w:spacing w:after="0"/>
        <w:tabs>
          <w:tab w:leader="none" w:pos="3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risk-free interest rate is based on the U.S. Treasury constant maturity interest rate whose term is consistent with the expected term of the Warrants.</w:t>
      </w:r>
    </w:p>
    <w:p>
      <w:pPr>
        <w:spacing w:after="0" w:line="50" w:lineRule="exact"/>
        <w:rPr>
          <w:rFonts w:ascii="Times New Roman" w:cs="Times New Roman" w:eastAsia="Times New Roman" w:hAnsi="Times New Roman"/>
          <w:sz w:val="13"/>
          <w:szCs w:val="13"/>
          <w:color w:val="auto"/>
        </w:rPr>
      </w:pPr>
    </w:p>
    <w:p>
      <w:pPr>
        <w:ind w:left="360" w:hanging="360"/>
        <w:spacing w:after="0"/>
        <w:tabs>
          <w:tab w:leader="none" w:pos="3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term is based on the contractual term of the Warrants.</w:t>
      </w:r>
    </w:p>
    <w:p>
      <w:pPr>
        <w:spacing w:after="0" w:line="51" w:lineRule="exact"/>
        <w:rPr>
          <w:sz w:val="20"/>
          <w:szCs w:val="20"/>
          <w:color w:val="auto"/>
        </w:rPr>
      </w:pPr>
    </w:p>
    <w:p>
      <w:pPr>
        <w:ind w:right="280" w:firstLine="240"/>
        <w:spacing w:after="0" w:line="294" w:lineRule="auto"/>
        <w:rPr>
          <w:sz w:val="20"/>
          <w:szCs w:val="20"/>
          <w:color w:val="auto"/>
        </w:rPr>
      </w:pPr>
      <w:r>
        <w:rPr>
          <w:rFonts w:ascii="Times New Roman" w:cs="Times New Roman" w:eastAsia="Times New Roman" w:hAnsi="Times New Roman"/>
          <w:sz w:val="13"/>
          <w:szCs w:val="13"/>
          <w:color w:val="auto"/>
        </w:rPr>
        <w:t>In December 2021, Walmart elected to gross exercise the 446,741 vested Warrant Units for $173.8 million. As a result of this gross exercise, 446,741 Class A Common Units of Legacy Warehouse were issued to Walmart, which represented a 6.5% ownership in the Company’s outstanding and issuable Common Units. On May 20, 2022, in connection with its entry into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7" w:name="page118"/>
    <w:bookmarkEnd w:id="117"/>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3"/>
          <w:szCs w:val="13"/>
          <w:color w:val="auto"/>
        </w:rPr>
        <w:t>2nd A&amp;R MAA, Walmart's remaining 267,281 Warrant Units vested in accordance with the terms referenced above. Upon vesting, Walmart elected to gross exercise the 267,281 vested Warrant Units for $104.0 million. As a result of this gross exercise, 267,281 Class A Common Units of Legacy Warehouse were issued to Walmart, which represented, together with the December 2021 gross exercise, a combined total of 10.0% ownership in the Company's then outstanding and issuable Common Units.</w:t>
      </w:r>
    </w:p>
    <w:p>
      <w:pPr>
        <w:spacing w:after="0" w:line="5" w:lineRule="exact"/>
        <w:rPr>
          <w:sz w:val="20"/>
          <w:szCs w:val="20"/>
          <w:color w:val="auto"/>
        </w:rPr>
      </w:pPr>
    </w:p>
    <w:p>
      <w:pPr>
        <w:ind w:right="40" w:firstLine="240"/>
        <w:spacing w:after="0" w:line="266" w:lineRule="auto"/>
        <w:rPr>
          <w:sz w:val="20"/>
          <w:szCs w:val="20"/>
          <w:color w:val="auto"/>
        </w:rPr>
      </w:pPr>
      <w:r>
        <w:rPr>
          <w:rFonts w:ascii="Times New Roman" w:cs="Times New Roman" w:eastAsia="Times New Roman" w:hAnsi="Times New Roman"/>
          <w:sz w:val="13"/>
          <w:szCs w:val="13"/>
          <w:color w:val="auto"/>
        </w:rPr>
        <w:t>Also in connection with its entry into the 2nd A&amp;R MAA with Walmart, the Company issued Walmart a new warrant to acquire up to an aggregate of 258,972 Legacy Warehouse Class A Units (“May 2022 Warrant”), subject to certain vesting conditions. The May 2022 Warrants had a grant date fair value of $224.45. In connection with the Closing, the May 2022 Warrant was converted into a new warrant to acquire up to an aggregate of 15,870,411 common units of Symbotic Holdings (“June 2022 Warrant” and, the common units of Symbotic Holdings issuable thereunder, the “Warrant Units”). The June 2022 Warrant vested in the second quarter of fiscal year 2023, as the installation commencement date for certain Systems which the Company is installing in Walmart's 42 regional distribution centers had occurred. In December 2023, Walmart elected to gross exercise the vested warrants for $158.7 million. As a result of this gross exercise, 15,870,411 shares of Class V-1 Common Stock were issued to Walmart.</w:t>
      </w:r>
    </w:p>
    <w:p>
      <w:pPr>
        <w:spacing w:after="0" w:line="13" w:lineRule="exact"/>
        <w:rPr>
          <w:sz w:val="20"/>
          <w:szCs w:val="20"/>
          <w:color w:val="auto"/>
        </w:rPr>
      </w:pPr>
    </w:p>
    <w:p>
      <w:pPr>
        <w:ind w:right="40" w:firstLine="240"/>
        <w:spacing w:after="0" w:line="273" w:lineRule="auto"/>
        <w:rPr>
          <w:sz w:val="20"/>
          <w:szCs w:val="20"/>
          <w:color w:val="auto"/>
        </w:rPr>
      </w:pPr>
      <w:r>
        <w:rPr>
          <w:rFonts w:ascii="Times New Roman" w:cs="Times New Roman" w:eastAsia="Times New Roman" w:hAnsi="Times New Roman"/>
          <w:sz w:val="13"/>
          <w:szCs w:val="13"/>
          <w:color w:val="auto"/>
        </w:rPr>
        <w:t xml:space="preserve">Non-cash share-based payment expense associated with the June 2022 Warrant is recognized as vesting conditions are achieved, based on the grant date fair value of the warrants. The fair value of the June 2022 Warrant was determined as of the grant date in accordance with ASC Topic 718, </w:t>
      </w:r>
      <w:r>
        <w:rPr>
          <w:rFonts w:ascii="Times New Roman" w:cs="Times New Roman" w:eastAsia="Times New Roman" w:hAnsi="Times New Roman"/>
          <w:sz w:val="13"/>
          <w:szCs w:val="13"/>
          <w:i w:val="1"/>
          <w:iCs w:val="1"/>
          <w:color w:val="auto"/>
        </w:rPr>
        <w:t>Compensation – Stock Compensation</w:t>
      </w:r>
      <w:r>
        <w:rPr>
          <w:rFonts w:ascii="Times New Roman" w:cs="Times New Roman" w:eastAsia="Times New Roman" w:hAnsi="Times New Roman"/>
          <w:sz w:val="13"/>
          <w:szCs w:val="13"/>
          <w:color w:val="auto"/>
        </w:rPr>
        <w:t>, using the Black-Scholes pricing model. The Black-Scholes pricing model is based, in part, upon assumptions for which management is required to use judgment. The assumptions made for purposes of estimating fair value under the Black-Scholes pricing model for the June 2022 Warrant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60" w:type="dxa"/>
            <w:vAlign w:val="bottom"/>
            <w:tcBorders>
              <w:bottom w:val="single" w:sz="8" w:color="CEF0FC"/>
            </w:tcBorders>
          </w:tcPr>
          <w:p>
            <w:pPr>
              <w:spacing w:after="0"/>
              <w:rPr>
                <w:sz w:val="13"/>
                <w:szCs w:val="13"/>
                <w:color w:val="auto"/>
              </w:rPr>
            </w:pPr>
          </w:p>
        </w:tc>
        <w:tc>
          <w:tcPr>
            <w:tcW w:w="4520" w:type="dxa"/>
            <w:vAlign w:val="bottom"/>
            <w:tcBorders>
              <w:bottom w:val="single" w:sz="8" w:color="auto"/>
            </w:tcBorders>
          </w:tcPr>
          <w:p>
            <w:pPr>
              <w:jc w:val="right"/>
              <w:ind w:right="1716"/>
              <w:spacing w:after="0"/>
              <w:rPr>
                <w:sz w:val="20"/>
                <w:szCs w:val="20"/>
                <w:color w:val="auto"/>
              </w:rPr>
            </w:pPr>
            <w:r>
              <w:rPr>
                <w:rFonts w:ascii="Times New Roman" w:cs="Times New Roman" w:eastAsia="Times New Roman" w:hAnsi="Times New Roman"/>
                <w:sz w:val="11"/>
                <w:szCs w:val="11"/>
                <w:b w:val="1"/>
                <w:bCs w:val="1"/>
                <w:color w:val="auto"/>
              </w:rPr>
              <w:t>Selected Assumption</w:t>
            </w:r>
          </w:p>
        </w:tc>
      </w:tr>
      <w:tr>
        <w:trPr>
          <w:trHeight w:val="189"/>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3"/>
                <w:szCs w:val="13"/>
                <w:color w:val="auto"/>
              </w:rPr>
              <w:t>Dividend yield</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Volatility (a)</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30"/>
        </w:trPr>
        <w:tc>
          <w:tcPr>
            <w:tcW w:w="676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90"/>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3"/>
                <w:szCs w:val="13"/>
                <w:color w:val="auto"/>
              </w:rPr>
              <w:t>Risk-free interest rate (b)</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term (years) (c)</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bl>
    <w:p>
      <w:pPr>
        <w:spacing w:after="0" w:line="168" w:lineRule="exact"/>
        <w:rPr>
          <w:sz w:val="20"/>
          <w:szCs w:val="20"/>
          <w:color w:val="auto"/>
        </w:rPr>
      </w:pPr>
    </w:p>
    <w:p>
      <w:pPr>
        <w:ind w:left="240" w:hanging="240"/>
        <w:spacing w:after="0"/>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volatility is estimated based on the historical volatility of a select peer group of similar publicly traded companies for a term that is consistent with the expected term of the June 2022 Warrant.</w:t>
      </w:r>
    </w:p>
    <w:p>
      <w:pPr>
        <w:spacing w:after="0" w:line="50"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risk-free interest rate is based on the U.S. Treasury constant maturity interest rate whose term is consistent with the expected term of the June 2022 Warrant.</w:t>
      </w:r>
    </w:p>
    <w:p>
      <w:pPr>
        <w:spacing w:after="0" w:line="50"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term is based on the contractual term of the June 2022 Warrant.</w:t>
      </w:r>
    </w:p>
    <w:p>
      <w:pPr>
        <w:spacing w:after="0" w:line="50"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summarizes the Company’s stock warrant activity for the year ended September 28, 2024: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48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Warrant Units</w:t>
            </w:r>
          </w:p>
        </w:tc>
      </w:tr>
      <w:tr>
        <w:trPr>
          <w:trHeight w:val="189"/>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and unvested at September 24, 2022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258,972</w:t>
            </w:r>
          </w:p>
        </w:tc>
      </w:tr>
      <w:tr>
        <w:trPr>
          <w:trHeight w:val="180"/>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11,434,360</w:t>
            </w:r>
          </w:p>
        </w:tc>
      </w:tr>
      <w:tr>
        <w:trPr>
          <w:trHeight w:val="30"/>
        </w:trPr>
        <w:tc>
          <w:tcPr>
            <w:tcW w:w="9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0"/>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(258,972)</w:t>
            </w:r>
          </w:p>
        </w:tc>
      </w:tr>
      <w:tr>
        <w:trPr>
          <w:trHeight w:val="170"/>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Outstanding and unvested at September 30, 2023</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11,434,360</w:t>
            </w:r>
          </w:p>
        </w:tc>
      </w:tr>
      <w:tr>
        <w:trPr>
          <w:trHeight w:val="30"/>
        </w:trPr>
        <w:tc>
          <w:tcPr>
            <w:tcW w:w="9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0"/>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94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0"/>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and unvested at September 28,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11,434,360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60" w:firstLine="240"/>
        <w:spacing w:after="0" w:line="294" w:lineRule="auto"/>
        <w:rPr>
          <w:sz w:val="20"/>
          <w:szCs w:val="20"/>
          <w:color w:val="auto"/>
        </w:rPr>
      </w:pPr>
      <w:r>
        <w:rPr>
          <w:rFonts w:ascii="Times New Roman" w:cs="Times New Roman" w:eastAsia="Times New Roman" w:hAnsi="Times New Roman"/>
          <w:sz w:val="13"/>
          <w:szCs w:val="13"/>
          <w:color w:val="auto"/>
        </w:rPr>
        <w:t>The amount of provision for warrants recorded as a reduction of transaction price during the twelve months ended September 28, 2024 was $227.5 million. As of September 28, 2024, the total warrant value related to the unvested GreenBox Warrants is $227.5 million and the remaining term of the agreement is 1.8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8" w:name="page119"/>
    <w:bookmarkEnd w:id="118"/>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22. Segment and Geographic Information</w:t>
      </w:r>
    </w:p>
    <w:p>
      <w:pPr>
        <w:spacing w:after="0" w:line="55" w:lineRule="exact"/>
        <w:rPr>
          <w:sz w:val="20"/>
          <w:szCs w:val="20"/>
          <w:color w:val="auto"/>
        </w:rPr>
      </w:pPr>
    </w:p>
    <w:p>
      <w:pPr>
        <w:ind w:right="220" w:firstLine="240"/>
        <w:spacing w:after="0" w:line="289" w:lineRule="auto"/>
        <w:rPr>
          <w:sz w:val="20"/>
          <w:szCs w:val="20"/>
          <w:color w:val="auto"/>
        </w:rPr>
      </w:pPr>
      <w:r>
        <w:rPr>
          <w:rFonts w:ascii="Times New Roman" w:cs="Times New Roman" w:eastAsia="Times New Roman" w:hAnsi="Times New Roman"/>
          <w:sz w:val="13"/>
          <w:szCs w:val="13"/>
          <w:color w:val="auto"/>
        </w:rPr>
        <w:t>As more fully described in the Company’s Summary of Significant Accounting Policies, the Company operates in one operating segment. Revenue and property and equipment, net by geographic region, based on physical location of the operations recording the sale or the assets are as follows: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Revenue by geographical region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60"/>
        </w:trPr>
        <w:tc>
          <w:tcPr>
            <w:tcW w:w="65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September 30, 2023</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189"/>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1,784,345</w:t>
            </w: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1,173,177</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589,944</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20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3,834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3,714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3,368</w:t>
            </w:r>
          </w:p>
        </w:tc>
      </w:tr>
      <w:tr>
        <w:trPr>
          <w:trHeight w:val="30"/>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1,788,179</w:t>
            </w: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1,176,891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593,312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65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Percentage of revenue generated outside of the United States</w:t>
            </w:r>
          </w:p>
        </w:tc>
        <w:tc>
          <w:tcPr>
            <w:tcW w:w="200" w:type="dxa"/>
            <w:vAlign w:val="bottom"/>
          </w:tcPr>
          <w:p>
            <w:pPr>
              <w:spacing w:after="0"/>
              <w:rPr>
                <w:sz w:val="12"/>
                <w:szCs w:val="12"/>
                <w:color w:val="auto"/>
              </w:rPr>
            </w:pPr>
          </w:p>
        </w:tc>
        <w:tc>
          <w:tcPr>
            <w:tcW w:w="13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1040"/>
              <w:spacing w:after="0" w:line="146" w:lineRule="exact"/>
              <w:rPr>
                <w:sz w:val="20"/>
                <w:szCs w:val="20"/>
                <w:color w:val="auto"/>
              </w:rPr>
            </w:pPr>
            <w:r>
              <w:rPr>
                <w:rFonts w:ascii="Times New Roman" w:cs="Times New Roman" w:eastAsia="Times New Roman" w:hAnsi="Times New Roman"/>
                <w:sz w:val="13"/>
                <w:szCs w:val="13"/>
                <w:color w:val="auto"/>
              </w:rPr>
              <w:t>— %</w:t>
            </w:r>
          </w:p>
        </w:tc>
        <w:tc>
          <w:tcPr>
            <w:tcW w:w="280" w:type="dxa"/>
            <w:vAlign w:val="bottom"/>
          </w:tcPr>
          <w:p>
            <w:pPr>
              <w:spacing w:after="0"/>
              <w:rPr>
                <w:sz w:val="12"/>
                <w:szCs w:val="12"/>
                <w:color w:val="auto"/>
              </w:rPr>
            </w:pPr>
          </w:p>
        </w:tc>
        <w:tc>
          <w:tcPr>
            <w:tcW w:w="12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1 %</w:t>
            </w:r>
          </w:p>
        </w:tc>
      </w:tr>
      <w:tr>
        <w:trPr>
          <w:trHeight w:val="321"/>
        </w:trPr>
        <w:tc>
          <w:tcPr>
            <w:tcW w:w="6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property and equipment, net by geographical region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2"/>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24"/>
                <w:szCs w:val="24"/>
                <w:color w:val="auto"/>
              </w:rPr>
            </w:pPr>
          </w:p>
        </w:tc>
      </w:tr>
      <w:tr>
        <w:trPr>
          <w:trHeight w:val="190"/>
        </w:trPr>
        <w:tc>
          <w:tcPr>
            <w:tcW w:w="65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5"/>
              </w:rPr>
              <w:t>September 28, 2024</w:t>
            </w:r>
          </w:p>
        </w:tc>
        <w:tc>
          <w:tcPr>
            <w:tcW w:w="8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w w:val="99"/>
              </w:rPr>
              <w:t>September 30, 2023</w:t>
            </w:r>
          </w:p>
        </w:tc>
      </w:tr>
      <w:tr>
        <w:trPr>
          <w:trHeight w:val="189"/>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96,802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33,828</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679</w:t>
            </w:r>
          </w:p>
        </w:tc>
      </w:tr>
      <w:tr>
        <w:trPr>
          <w:trHeight w:val="30"/>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97,109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34,507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65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Percentage of property and equipment, net held outside of the United States</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1040"/>
              <w:spacing w:after="0" w:line="146" w:lineRule="exact"/>
              <w:rPr>
                <w:sz w:val="20"/>
                <w:szCs w:val="20"/>
                <w:color w:val="auto"/>
              </w:rPr>
            </w:pPr>
            <w:r>
              <w:rPr>
                <w:rFonts w:ascii="Times New Roman" w:cs="Times New Roman" w:eastAsia="Times New Roman" w:hAnsi="Times New Roman"/>
                <w:sz w:val="13"/>
                <w:szCs w:val="13"/>
                <w:color w:val="auto"/>
              </w:rPr>
              <w:t>— %</w:t>
            </w:r>
          </w:p>
        </w:tc>
        <w:tc>
          <w:tcPr>
            <w:tcW w:w="280" w:type="dxa"/>
            <w:vAlign w:val="bottom"/>
          </w:tcPr>
          <w:p>
            <w:pPr>
              <w:spacing w:after="0"/>
              <w:rPr>
                <w:sz w:val="12"/>
                <w:szCs w:val="12"/>
                <w:color w:val="auto"/>
              </w:rPr>
            </w:pPr>
          </w:p>
        </w:tc>
        <w:tc>
          <w:tcPr>
            <w:tcW w:w="12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2 %</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23. Subsequent Events</w:t>
      </w:r>
    </w:p>
    <w:p>
      <w:pPr>
        <w:spacing w:after="0" w:line="55" w:lineRule="exact"/>
        <w:rPr>
          <w:sz w:val="20"/>
          <w:szCs w:val="20"/>
          <w:color w:val="auto"/>
        </w:rPr>
      </w:pPr>
    </w:p>
    <w:p>
      <w:pPr>
        <w:ind w:right="200" w:firstLine="240"/>
        <w:spacing w:after="0" w:line="289" w:lineRule="auto"/>
        <w:rPr>
          <w:sz w:val="20"/>
          <w:szCs w:val="20"/>
          <w:color w:val="auto"/>
        </w:rPr>
      </w:pPr>
      <w:r>
        <w:rPr>
          <w:rFonts w:ascii="Times New Roman" w:cs="Times New Roman" w:eastAsia="Times New Roman" w:hAnsi="Times New Roman"/>
          <w:sz w:val="13"/>
          <w:szCs w:val="13"/>
          <w:color w:val="auto"/>
        </w:rPr>
        <w:t>The Company evaluated subsequent events and transactions that occurred after the balance sheet date up to the date that the consolidated financial statements were issued. Other than as described in these consolidated financial statements and below, the Company did not identify any subsequent events that would have required adjustment or disclosure in the consolidated financial statements.</w:t>
      </w:r>
    </w:p>
    <w:p>
      <w:pPr>
        <w:spacing w:after="0" w:line="1" w:lineRule="exact"/>
        <w:rPr>
          <w:sz w:val="20"/>
          <w:szCs w:val="20"/>
          <w:color w:val="auto"/>
        </w:rPr>
      </w:pPr>
    </w:p>
    <w:p>
      <w:pPr>
        <w:ind w:right="20" w:firstLine="240"/>
        <w:spacing w:after="0" w:line="286" w:lineRule="auto"/>
        <w:rPr>
          <w:sz w:val="20"/>
          <w:szCs w:val="20"/>
          <w:color w:val="auto"/>
        </w:rPr>
      </w:pPr>
      <w:r>
        <w:rPr>
          <w:rFonts w:ascii="Times New Roman" w:cs="Times New Roman" w:eastAsia="Times New Roman" w:hAnsi="Times New Roman"/>
          <w:sz w:val="13"/>
          <w:szCs w:val="13"/>
          <w:color w:val="auto"/>
        </w:rPr>
        <w:t>On December 3, 2024, the Company entered into an Asset Purchase Agreement with OhmniLabs, Inc. (“OhmniLabs”), pursuant to which certain assets and certain liabilities of OhmniLabs were acquired by the Company. The total purchase price for this transaction was approximately $13.0 million and the transaction will be accounted for as an asset acquisition.</w:t>
      </w:r>
    </w:p>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Evaluation of Disclosure Controls and Procedures</w:t>
      </w:r>
    </w:p>
    <w:p>
      <w:pPr>
        <w:spacing w:after="0" w:line="43" w:lineRule="exact"/>
        <w:rPr>
          <w:sz w:val="20"/>
          <w:szCs w:val="20"/>
          <w:color w:val="auto"/>
        </w:rPr>
      </w:pPr>
    </w:p>
    <w:p>
      <w:pPr>
        <w:ind w:right="80" w:firstLine="240"/>
        <w:spacing w:after="0" w:line="262" w:lineRule="auto"/>
        <w:rPr>
          <w:sz w:val="20"/>
          <w:szCs w:val="20"/>
          <w:color w:val="auto"/>
        </w:rPr>
      </w:pPr>
      <w:r>
        <w:rPr>
          <w:rFonts w:ascii="Times New Roman" w:cs="Times New Roman" w:eastAsia="Times New Roman" w:hAnsi="Times New Roman"/>
          <w:sz w:val="13"/>
          <w:szCs w:val="13"/>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Annual Report on Form 10-K.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19" w:name="page120"/>
    <w:bookmarkEnd w:id="119"/>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firstLine="240"/>
        <w:spacing w:after="0" w:line="269" w:lineRule="auto"/>
        <w:rPr>
          <w:sz w:val="20"/>
          <w:szCs w:val="20"/>
          <w:color w:val="auto"/>
        </w:rPr>
      </w:pPr>
      <w:r>
        <w:rPr>
          <w:rFonts w:ascii="Times New Roman" w:cs="Times New Roman" w:eastAsia="Times New Roman" w:hAnsi="Times New Roman"/>
          <w:sz w:val="13"/>
          <w:szCs w:val="13"/>
          <w:color w:val="auto"/>
        </w:rPr>
        <w:t>Based on such evaluation, our Chief Executive Officer and Chief Financial Officer have concluded that as of September 28, 2024, our disclosure controls and procedures were not effective at the reasonable assurance level because of the existence of the material weaknesses described in Management’s Report on Internal Control over Financial Reporting.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1" w:lineRule="exact"/>
        <w:rPr>
          <w:sz w:val="20"/>
          <w:szCs w:val="20"/>
          <w:color w:val="auto"/>
        </w:rPr>
      </w:pPr>
    </w:p>
    <w:p>
      <w:pPr>
        <w:ind w:right="20" w:firstLine="240"/>
        <w:spacing w:after="0" w:line="273" w:lineRule="auto"/>
        <w:rPr>
          <w:sz w:val="20"/>
          <w:szCs w:val="20"/>
          <w:color w:val="auto"/>
        </w:rPr>
      </w:pPr>
      <w:r>
        <w:rPr>
          <w:rFonts w:ascii="Times New Roman" w:cs="Times New Roman" w:eastAsia="Times New Roman" w:hAnsi="Times New Roman"/>
          <w:sz w:val="13"/>
          <w:szCs w:val="13"/>
          <w:color w:val="auto"/>
        </w:rPr>
        <w:t>Notwithstanding the material weaknesses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Annual Report on Form 10-K, in conformity with U.S. GAAP. There can be no assurance that these material weaknesses will not result in a misstatement to the annual or interim consolidated financial statements for future periods that would not be prevented or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Management’s Report on Internal Control Over Financial Reporting</w:t>
      </w:r>
    </w:p>
    <w:p>
      <w:pPr>
        <w:spacing w:after="0" w:line="33" w:lineRule="exact"/>
        <w:rPr>
          <w:sz w:val="20"/>
          <w:szCs w:val="20"/>
          <w:color w:val="auto"/>
        </w:rPr>
      </w:pPr>
    </w:p>
    <w:p>
      <w:pPr>
        <w:ind w:right="20" w:firstLine="240"/>
        <w:spacing w:after="0" w:line="269" w:lineRule="auto"/>
        <w:rPr>
          <w:sz w:val="20"/>
          <w:szCs w:val="20"/>
          <w:color w:val="auto"/>
        </w:rPr>
      </w:pPr>
      <w:r>
        <w:rPr>
          <w:rFonts w:ascii="Times New Roman" w:cs="Times New Roman" w:eastAsia="Times New Roman" w:hAnsi="Times New Roman"/>
          <w:sz w:val="13"/>
          <w:szCs w:val="13"/>
          <w:color w:val="auto"/>
        </w:rPr>
        <w:t>Our management is responsible for establishing and maintaining adequate internal control over financial reporting for our company. Internal control over financial reporting is a process designed by, or under the supervision of, our Chief Executive Officer and Chief Financial Officer (our principal executive officer and principal financial officer, respectively) and effected by our board of directors, management, and other personnel to provide reasonable assurance regarding the reliability of financial reporting and the preparation of financial statements for external purposes in accordance with generally accepted accounting principles. Because of inherent limitations, internal controls over financial reporting may not prevent or detect misstatements.</w:t>
      </w:r>
    </w:p>
    <w:p>
      <w:pPr>
        <w:spacing w:after="0" w:line="11" w:lineRule="exact"/>
        <w:rPr>
          <w:sz w:val="20"/>
          <w:szCs w:val="20"/>
          <w:color w:val="auto"/>
        </w:rPr>
      </w:pPr>
    </w:p>
    <w:p>
      <w:pPr>
        <w:ind w:right="40" w:firstLine="240"/>
        <w:spacing w:after="0" w:line="269" w:lineRule="auto"/>
        <w:rPr>
          <w:sz w:val="20"/>
          <w:szCs w:val="20"/>
          <w:color w:val="auto"/>
        </w:rPr>
      </w:pPr>
      <w:r>
        <w:rPr>
          <w:rFonts w:ascii="Times New Roman" w:cs="Times New Roman" w:eastAsia="Times New Roman" w:hAnsi="Times New Roman"/>
          <w:sz w:val="13"/>
          <w:szCs w:val="13"/>
          <w:color w:val="auto"/>
        </w:rPr>
        <w:t>Our management has conducted an evaluation of the effectiveness of our internal control over financial reporting as of September 28, 2024. In conducting this evaluation, we used the criteria set forth by the Committee of Sponsoring Organizations of the Treadway Commission in Internal Control-Integrated Framework (2013). Based upon this evaluation and those criteria, management, including our Chief Executive Officer and Chief Financial Officer, concluded that, as of September 28, 2024, the Company’s internal control over financial reporting was not effective due to the identification of the material weaknesses described below.</w:t>
      </w:r>
    </w:p>
    <w:p>
      <w:pPr>
        <w:spacing w:after="0" w:line="11" w:lineRule="exact"/>
        <w:rPr>
          <w:sz w:val="20"/>
          <w:szCs w:val="20"/>
          <w:color w:val="auto"/>
        </w:rPr>
      </w:pPr>
    </w:p>
    <w:p>
      <w:pPr>
        <w:ind w:right="40" w:firstLine="240"/>
        <w:spacing w:after="0" w:line="276" w:lineRule="auto"/>
        <w:rPr>
          <w:sz w:val="20"/>
          <w:szCs w:val="20"/>
          <w:color w:val="auto"/>
        </w:rPr>
      </w:pPr>
      <w:r>
        <w:rPr>
          <w:rFonts w:ascii="Times New Roman" w:cs="Times New Roman" w:eastAsia="Times New Roman" w:hAnsi="Times New Roman"/>
          <w:sz w:val="13"/>
          <w:szCs w:val="13"/>
          <w:color w:val="auto"/>
        </w:rPr>
        <w:t>As of September 28, 2024,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This resulted in an overstatement of revenue during the fiscal year 2024.</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These deficiencies in internal control over financial reporting constituted material weaknesses as of September 28, 2024.</w:t>
      </w:r>
    </w:p>
    <w:p>
      <w:pPr>
        <w:spacing w:after="0" w:line="51"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3"/>
          <w:szCs w:val="13"/>
          <w:color w:val="auto"/>
        </w:rPr>
        <w:t>These material weaknesses did not result in a material misstatement to the Company’s consolidated financial statements for the year ended September 28, 2024. On December 3, 2024, the Company filed restated unaudited interim financial statements on Form 10-Q/A for the first, second and third quarters of fiscal year 2024 that were previously filed in the Company’s quarterly reports on Form 10-Q on February 8, 2024, May 7, 2024 and July 31, 2024, respectively.</w:t>
      </w:r>
    </w:p>
    <w:p>
      <w:pPr>
        <w:spacing w:after="0" w:line="5" w:lineRule="exact"/>
        <w:rPr>
          <w:sz w:val="20"/>
          <w:szCs w:val="20"/>
          <w:color w:val="auto"/>
        </w:rPr>
      </w:pPr>
    </w:p>
    <w:p>
      <w:pPr>
        <w:ind w:right="500" w:firstLine="240"/>
        <w:spacing w:after="0" w:line="289" w:lineRule="auto"/>
        <w:rPr>
          <w:sz w:val="20"/>
          <w:szCs w:val="20"/>
          <w:color w:val="auto"/>
        </w:rPr>
      </w:pPr>
      <w:r>
        <w:rPr>
          <w:rFonts w:ascii="Times New Roman" w:cs="Times New Roman" w:eastAsia="Times New Roman" w:hAnsi="Times New Roman"/>
          <w:sz w:val="13"/>
          <w:szCs w:val="13"/>
          <w:color w:val="auto"/>
        </w:rPr>
        <w:t>There can be no assurance that these material weaknesses will not result in a misstatement to the annual or interim consolidated financial statements for future periods that would not be prevented or detected.</w:t>
      </w:r>
    </w:p>
    <w:p>
      <w:pPr>
        <w:spacing w:after="0" w:line="1" w:lineRule="exact"/>
        <w:rPr>
          <w:sz w:val="20"/>
          <w:szCs w:val="20"/>
          <w:color w:val="auto"/>
        </w:rPr>
      </w:pPr>
    </w:p>
    <w:p>
      <w:pPr>
        <w:ind w:right="180" w:firstLine="240"/>
        <w:spacing w:after="0" w:line="294" w:lineRule="auto"/>
        <w:rPr>
          <w:sz w:val="20"/>
          <w:szCs w:val="20"/>
          <w:color w:val="auto"/>
        </w:rPr>
      </w:pPr>
      <w:r>
        <w:rPr>
          <w:rFonts w:ascii="Times New Roman" w:cs="Times New Roman" w:eastAsia="Times New Roman" w:hAnsi="Times New Roman"/>
          <w:sz w:val="13"/>
          <w:szCs w:val="13"/>
          <w:color w:val="auto"/>
        </w:rPr>
        <w:t>Our independent registered public accounting firm, Grant Thornton LLP, who audited the consolidated financial statements included in this Annual Report on Form 10-K, issued an adverse opinion on the effectiveness of the Company’s internal control over financial reporting.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Changes in Internal Control Over Financial Reporting</w:t>
      </w:r>
    </w:p>
    <w:p>
      <w:pPr>
        <w:spacing w:after="0" w:line="43" w:lineRule="exact"/>
        <w:rPr>
          <w:sz w:val="20"/>
          <w:szCs w:val="20"/>
          <w:color w:val="auto"/>
        </w:rPr>
      </w:pPr>
    </w:p>
    <w:p>
      <w:pPr>
        <w:ind w:right="20" w:firstLine="240"/>
        <w:spacing w:after="0" w:line="294" w:lineRule="auto"/>
        <w:rPr>
          <w:sz w:val="20"/>
          <w:szCs w:val="20"/>
          <w:color w:val="auto"/>
        </w:rPr>
      </w:pPr>
      <w:r>
        <w:rPr>
          <w:rFonts w:ascii="Times New Roman" w:cs="Times New Roman" w:eastAsia="Times New Roman" w:hAnsi="Times New Roman"/>
          <w:sz w:val="13"/>
          <w:szCs w:val="13"/>
          <w:color w:val="auto"/>
        </w:rPr>
        <w:t>Subject to the steps taken in connection with the remediation plan noted below, there have been no changes in our internal control over financial reporting for the three months ended September 28, 2024 that have materially affected, or are reasonably likely to materially affect, our internal control over financial reporting.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Material Weakness Remediation Plan</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Management has developed a remediation plan, which it began implementing as of the end of fiscal year 2024, that includes the following elements:</w:t>
      </w:r>
    </w:p>
    <w:p>
      <w:pPr>
        <w:spacing w:after="0" w:line="51" w:lineRule="exact"/>
        <w:rPr>
          <w:sz w:val="20"/>
          <w:szCs w:val="20"/>
          <w:color w:val="auto"/>
        </w:rPr>
      </w:pPr>
    </w:p>
    <w:p>
      <w:pPr>
        <w:ind w:left="480" w:hanging="239"/>
        <w:spacing w:after="0"/>
        <w:tabs>
          <w:tab w:leader="none" w:pos="4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Augmented compensating controls over the receipt of goods and services, with a focus on milestone related expenses;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12" w:lineRule="exact"/>
        <w:rPr>
          <w:rFonts w:ascii="Times New Roman" w:cs="Times New Roman" w:eastAsia="Times New Roman" w:hAnsi="Times New Roman"/>
          <w:sz w:val="13"/>
          <w:szCs w:val="13"/>
          <w:color w:val="auto"/>
        </w:rPr>
      </w:pPr>
    </w:p>
    <w:p>
      <w:pPr>
        <w:ind w:left="56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20" w:name="page121"/>
    <w:bookmarkEnd w:id="120"/>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hanging="239"/>
        <w:spacing w:after="0"/>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Implemented ERP system enhancements for goods and services receipts and enhanced documentation requirements for milestone related expenses;</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Training of the employees and redesign of the structure of the organization receiving goods and services; and</w:t>
      </w:r>
    </w:p>
    <w:p>
      <w:pPr>
        <w:spacing w:after="0" w:line="50"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Implemented compensating controls over revenue recognition for non-billable cost overruns.</w:t>
      </w:r>
    </w:p>
    <w:p>
      <w:pPr>
        <w:spacing w:after="0" w:line="51" w:lineRule="exact"/>
        <w:rPr>
          <w:sz w:val="20"/>
          <w:szCs w:val="20"/>
          <w:color w:val="auto"/>
        </w:rPr>
      </w:pPr>
    </w:p>
    <w:p>
      <w:pPr>
        <w:ind w:right="140" w:firstLine="240"/>
        <w:spacing w:after="0" w:line="266" w:lineRule="auto"/>
        <w:rPr>
          <w:sz w:val="20"/>
          <w:szCs w:val="20"/>
          <w:color w:val="auto"/>
        </w:rPr>
      </w:pPr>
      <w:r>
        <w:rPr>
          <w:rFonts w:ascii="Times New Roman" w:cs="Times New Roman" w:eastAsia="Times New Roman" w:hAnsi="Times New Roman"/>
          <w:sz w:val="13"/>
          <w:szCs w:val="13"/>
          <w:color w:val="auto"/>
        </w:rPr>
        <w:t>Management is committed to the completion of the remediation of these material weaknesses and expects to successfully implement enhanced control processes. Management has also engaged third-party consultants to evaluate and help simplify business processes around the receipts of goods and services.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these material weaknesses will be remediated, that additional actions will not be required to remediate these material weaknesses, or the costs of any such additional actions. These material weaknesses will not be considered remediated until the remediated controls operate for a sufficient period of time and management has concluded, through further testing, that these controls are operating effectively.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55" w:lineRule="exact"/>
        <w:rPr>
          <w:sz w:val="20"/>
          <w:szCs w:val="20"/>
          <w:color w:val="auto"/>
        </w:rPr>
      </w:pPr>
    </w:p>
    <w:p>
      <w:pPr>
        <w:ind w:right="60" w:firstLine="240"/>
        <w:spacing w:after="0" w:line="289" w:lineRule="auto"/>
        <w:rPr>
          <w:sz w:val="20"/>
          <w:szCs w:val="20"/>
          <w:color w:val="auto"/>
        </w:rPr>
      </w:pPr>
      <w:r>
        <w:rPr>
          <w:rFonts w:ascii="Times New Roman" w:cs="Times New Roman" w:eastAsia="Times New Roman" w:hAnsi="Times New Roman"/>
          <w:sz w:val="13"/>
          <w:szCs w:val="13"/>
          <w:color w:val="auto"/>
        </w:rPr>
        <w:t>During the fiscal quarter ended September 28, 2024, the following director(s) and officer(s), as defined in Rule 16a-1(f) under the Exchange Act, adopted or terminated a “Rule 10b5-1 trading arrangement” or a “non-Rule 10b5-1 trading arrangement,” as defined in Regulation S-K Item 408:</w:t>
      </w:r>
    </w:p>
    <w:p>
      <w:pPr>
        <w:spacing w:after="0" w:line="1" w:lineRule="exact"/>
        <w:rPr>
          <w:sz w:val="20"/>
          <w:szCs w:val="20"/>
          <w:color w:val="auto"/>
        </w:rPr>
      </w:pPr>
    </w:p>
    <w:p>
      <w:pPr>
        <w:ind w:right="20" w:firstLine="240"/>
        <w:spacing w:after="0" w:line="263" w:lineRule="auto"/>
        <w:rPr>
          <w:sz w:val="20"/>
          <w:szCs w:val="20"/>
          <w:color w:val="auto"/>
        </w:rPr>
      </w:pPr>
      <w:r>
        <w:rPr>
          <w:rFonts w:ascii="Times New Roman" w:cs="Times New Roman" w:eastAsia="Times New Roman" w:hAnsi="Times New Roman"/>
          <w:sz w:val="13"/>
          <w:szCs w:val="13"/>
          <w:color w:val="auto"/>
        </w:rPr>
        <w:t>On August 28, 2023, Corey Dufresne, the Company’s Senior Vice President and General Counsel, entered into a trading plan pursuant to Rule 10b5-1 of the Exchange Act. Mr. Dufresne’s Rule 10b5-1 trading plan provides for the sale of shares of Class A Common Stock that he has received or will receive following the vesting of various RSU grants. Mr. Dufresne’s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Dufresne’s 10b5-1 trading plan, can only be determined upon the occurrence of the future vesting events. For purposes of this disclosure, without subtracting any shares to be withheld upon future vesting events, the maximum aggregate number of shares that may be sold pursuant to Mr. Dufresne’s 10b5-1 trading plan is 62,362 shares of Class A Common Stock. Mr. Dufresne’s Rule 10b5-1 trading plan expires on August 31, 2025, or earlier if all transactions under the trading arrangement are completed. The trading arrangement is intended to satisfy the affirmative defense in Rule 10b5-1(c) under the Exchange Act.</w:t>
      </w:r>
    </w:p>
    <w:p>
      <w:pPr>
        <w:spacing w:after="0" w:line="15" w:lineRule="exact"/>
        <w:rPr>
          <w:sz w:val="20"/>
          <w:szCs w:val="20"/>
          <w:color w:val="auto"/>
        </w:rPr>
      </w:pPr>
    </w:p>
    <w:p>
      <w:pPr>
        <w:ind w:firstLine="240"/>
        <w:spacing w:after="0" w:line="263" w:lineRule="auto"/>
        <w:rPr>
          <w:sz w:val="20"/>
          <w:szCs w:val="20"/>
          <w:color w:val="auto"/>
        </w:rPr>
      </w:pPr>
      <w:r>
        <w:rPr>
          <w:rFonts w:ascii="Times New Roman" w:cs="Times New Roman" w:eastAsia="Times New Roman" w:hAnsi="Times New Roman"/>
          <w:sz w:val="13"/>
          <w:szCs w:val="13"/>
          <w:color w:val="auto"/>
        </w:rPr>
        <w:t>On August 29, 2023, William Boyd, the Company’s Chief Strategy Officer, entered into a trading plan pursuant to Rule 10b5-1 of the Exchange Act. Mr. Boyd’s Rule 10b5-1 trading plan provides for the sale of shares of Class A Common Stock held by him, as well as shares that he has received or will receive following the vesting of various RSU grants. Mr. Boyd’s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Boyd’s 10b5-1 trading plan, can only be determined upon the occurrence of the future vesting events. For purposes of this disclosure, without subtracting any shares to be withheld upon future vesting events, the maximum aggregate number of shares that may be sold pursuant to Mr. Boyd’s 10b5-1 trading plan is 105,665 shares of Class A Common Stock. Mr. Boyd’s Rule 10b5-1 trading plan expires on December 31, 2025, or earlier if all transactions under the trading arrangement are completed. The trading arrangement is intended to satisfy the affirmative defense in Rule 10b5-1(c) under the Exchange Act.</w:t>
      </w:r>
    </w:p>
    <w:p>
      <w:pPr>
        <w:spacing w:after="0" w:line="15" w:lineRule="exact"/>
        <w:rPr>
          <w:sz w:val="20"/>
          <w:szCs w:val="20"/>
          <w:color w:val="auto"/>
        </w:rPr>
      </w:pPr>
    </w:p>
    <w:p>
      <w:pPr>
        <w:ind w:right="80" w:firstLine="240"/>
        <w:spacing w:after="0" w:line="264" w:lineRule="auto"/>
        <w:rPr>
          <w:sz w:val="20"/>
          <w:szCs w:val="20"/>
          <w:color w:val="auto"/>
        </w:rPr>
      </w:pPr>
      <w:r>
        <w:rPr>
          <w:rFonts w:ascii="Times New Roman" w:cs="Times New Roman" w:eastAsia="Times New Roman" w:hAnsi="Times New Roman"/>
          <w:sz w:val="13"/>
          <w:szCs w:val="13"/>
          <w:color w:val="auto"/>
        </w:rPr>
        <w:t>On September 6, 2024, Michael Dunn, the Company’s Senior Vice President, Sales, Marketing and Product Strategy, entered into a trading plan pursuant to Rule 10b5-1 of the Exchange Act. Mr. Dunn’s Rule 10b5-1 trading plan provides for the sale of shares of Class A Common Stock that he has received or will receive following the vesting of various RSU grants. Mr. Dunn’s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Dunn’s 10b5-1 trading plan, can only be determined upon the occurrence of the future vesting events. For purposes of this disclosure, without subtracting any shares to be withheld upon future vesting events, the maximum aggregate number of shares that may be sold pursuant to Mr. Dunn’s 10b5-1 trading plan is 106,596. Mr. Dunn’s Rule 10b5-1 trading plan expires on June 30, 2025, or earlier if all transactions under the trading arrangement are completed. The trading arrangement is intended to satisfy the affirmative defense in Rule 10b5-1(c).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21" w:name="page122"/>
    <w:bookmarkEnd w:id="121"/>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20" w:firstLine="240"/>
        <w:spacing w:after="0" w:line="276" w:lineRule="auto"/>
        <w:rPr>
          <w:sz w:val="20"/>
          <w:szCs w:val="20"/>
          <w:color w:val="auto"/>
        </w:rPr>
      </w:pPr>
      <w:r>
        <w:rPr>
          <w:rFonts w:ascii="Times New Roman" w:cs="Times New Roman" w:eastAsia="Times New Roman" w:hAnsi="Times New Roman"/>
          <w:sz w:val="13"/>
          <w:szCs w:val="13"/>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55" w:lineRule="exact"/>
        <w:rPr>
          <w:sz w:val="20"/>
          <w:szCs w:val="20"/>
          <w:color w:val="auto"/>
        </w:rPr>
      </w:pPr>
    </w:p>
    <w:p>
      <w:pPr>
        <w:ind w:firstLine="240"/>
        <w:spacing w:after="0" w:line="289" w:lineRule="auto"/>
        <w:rPr>
          <w:sz w:val="20"/>
          <w:szCs w:val="20"/>
          <w:color w:val="auto"/>
        </w:rPr>
      </w:pPr>
      <w:r>
        <w:rPr>
          <w:rFonts w:ascii="Times New Roman" w:cs="Times New Roman" w:eastAsia="Times New Roman" w:hAnsi="Times New Roman"/>
          <w:sz w:val="13"/>
          <w:szCs w:val="13"/>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28, 2024.</w:t>
      </w:r>
    </w:p>
    <w:p>
      <w:pPr>
        <w:spacing w:after="0" w:line="1" w:lineRule="exact"/>
        <w:rPr>
          <w:sz w:val="20"/>
          <w:szCs w:val="20"/>
          <w:color w:val="auto"/>
        </w:rPr>
      </w:pPr>
    </w:p>
    <w:p>
      <w:pPr>
        <w:ind w:right="180" w:firstLine="240"/>
        <w:spacing w:after="0" w:line="269" w:lineRule="auto"/>
        <w:rPr>
          <w:sz w:val="20"/>
          <w:szCs w:val="20"/>
          <w:color w:val="auto"/>
        </w:rPr>
      </w:pPr>
      <w:r>
        <w:rPr>
          <w:rFonts w:ascii="Times New Roman" w:cs="Times New Roman" w:eastAsia="Times New Roman" w:hAnsi="Times New Roman"/>
          <w:sz w:val="13"/>
          <w:szCs w:val="13"/>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A copy of the code can be found at http:/ir.symbotic.com/corporate-governance/documents-charters under the link “Code of Business Conduct and Ethics.” In addition, we intend to post on our website all disclosures that are required by law or NASDAQ listing standards concerning any amendments to, or waivers from, any provision of the code of business conduct and ethics. The information on any of our websites is deemed not to be incorporated in this proxy statement or to be part of this proxy statement.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55" w:lineRule="exact"/>
        <w:rPr>
          <w:sz w:val="20"/>
          <w:szCs w:val="20"/>
          <w:color w:val="auto"/>
        </w:rPr>
      </w:pPr>
    </w:p>
    <w:p>
      <w:pPr>
        <w:ind w:firstLine="240"/>
        <w:spacing w:after="0" w:line="286" w:lineRule="auto"/>
        <w:rPr>
          <w:sz w:val="20"/>
          <w:szCs w:val="20"/>
          <w:color w:val="auto"/>
        </w:rPr>
      </w:pPr>
      <w:r>
        <w:rPr>
          <w:rFonts w:ascii="Times New Roman" w:cs="Times New Roman" w:eastAsia="Times New Roman" w:hAnsi="Times New Roman"/>
          <w:sz w:val="13"/>
          <w:szCs w:val="13"/>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28, 2024.</w:t>
      </w: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55" w:lineRule="exact"/>
        <w:rPr>
          <w:sz w:val="20"/>
          <w:szCs w:val="20"/>
          <w:color w:val="auto"/>
        </w:rPr>
      </w:pPr>
    </w:p>
    <w:p>
      <w:pPr>
        <w:ind w:firstLine="240"/>
        <w:spacing w:after="0" w:line="286" w:lineRule="auto"/>
        <w:rPr>
          <w:sz w:val="20"/>
          <w:szCs w:val="20"/>
          <w:color w:val="auto"/>
        </w:rPr>
      </w:pPr>
      <w:r>
        <w:rPr>
          <w:rFonts w:ascii="Times New Roman" w:cs="Times New Roman" w:eastAsia="Times New Roman" w:hAnsi="Times New Roman"/>
          <w:sz w:val="13"/>
          <w:szCs w:val="13"/>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28, 2024.</w:t>
      </w: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55" w:lineRule="exact"/>
        <w:rPr>
          <w:sz w:val="20"/>
          <w:szCs w:val="20"/>
          <w:color w:val="auto"/>
        </w:rPr>
      </w:pPr>
    </w:p>
    <w:p>
      <w:pPr>
        <w:ind w:firstLine="240"/>
        <w:spacing w:after="0" w:line="286" w:lineRule="auto"/>
        <w:rPr>
          <w:sz w:val="20"/>
          <w:szCs w:val="20"/>
          <w:color w:val="auto"/>
        </w:rPr>
      </w:pPr>
      <w:r>
        <w:rPr>
          <w:rFonts w:ascii="Times New Roman" w:cs="Times New Roman" w:eastAsia="Times New Roman" w:hAnsi="Times New Roman"/>
          <w:sz w:val="13"/>
          <w:szCs w:val="13"/>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28, 2024.</w:t>
      </w: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Accounting Fees and Services</w:t>
      </w:r>
    </w:p>
    <w:p>
      <w:pPr>
        <w:spacing w:after="0" w:line="55"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28, 2024.</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w:t>
      </w:r>
    </w:p>
    <w:p>
      <w:pPr>
        <w:spacing w:after="0" w:line="161" w:lineRule="exact"/>
        <w:rPr>
          <w:sz w:val="20"/>
          <w:szCs w:val="20"/>
          <w:color w:val="auto"/>
        </w:rPr>
      </w:pPr>
    </w:p>
    <w:p>
      <w:pPr>
        <w:ind w:left="620" w:hanging="139"/>
        <w:spacing w:after="0"/>
        <w:tabs>
          <w:tab w:leader="none" w:pos="6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Statements (included in Item 8 of this Annual Report on Form 10-K):</w:t>
      </w:r>
    </w:p>
    <w:p>
      <w:pPr>
        <w:spacing w:after="0" w:line="4" w:lineRule="exact"/>
        <w:rPr>
          <w:rFonts w:ascii="Times New Roman" w:cs="Times New Roman" w:eastAsia="Times New Roman" w:hAnsi="Times New Roman"/>
          <w:sz w:val="13"/>
          <w:szCs w:val="13"/>
          <w:color w:val="auto"/>
        </w:rPr>
      </w:pPr>
    </w:p>
    <w:p>
      <w:pPr>
        <w:ind w:left="960" w:hanging="239"/>
        <w:spacing w:after="0" w:line="209" w:lineRule="auto"/>
        <w:tabs>
          <w:tab w:leader="none" w:pos="960"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of Independent Registered Public Accounting Firm</w:t>
      </w:r>
    </w:p>
    <w:p>
      <w:pPr>
        <w:ind w:left="960" w:hanging="239"/>
        <w:spacing w:after="0" w:line="225" w:lineRule="auto"/>
        <w:tabs>
          <w:tab w:leader="none" w:pos="960"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Balance Sheets as of September 28, 2024 and September 30, 2023</w:t>
      </w:r>
    </w:p>
    <w:p>
      <w:pPr>
        <w:ind w:left="960" w:hanging="239"/>
        <w:spacing w:after="0" w:line="209" w:lineRule="auto"/>
        <w:tabs>
          <w:tab w:leader="none" w:pos="960"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Statements of Operations for the years ended September 28, 2024, September 30, 2023, and September 24, 2022</w:t>
      </w:r>
    </w:p>
    <w:p>
      <w:pPr>
        <w:ind w:left="960" w:hanging="239"/>
        <w:spacing w:after="0" w:line="209" w:lineRule="auto"/>
        <w:tabs>
          <w:tab w:leader="none" w:pos="960"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Statements of Comprehensive Loss for the years ended September 28, 2024, September 30, 2023, and September 24, 2022</w:t>
      </w:r>
    </w:p>
    <w:p>
      <w:pPr>
        <w:ind w:left="960" w:hanging="239"/>
        <w:spacing w:after="0"/>
        <w:tabs>
          <w:tab w:leader="none" w:pos="960"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Statements of Changes in Redeemable Preferred and Common Units and Equity (Deficit) for the years ended September 28, 2024, September 30, 2023, and September 24, 2022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20"/>
          </w:cols>
          <w:pgMar w:left="300" w:top="177" w:right="379" w:bottom="1440" w:gutter="0" w:footer="0" w:header="0"/>
        </w:sectPr>
      </w:pPr>
    </w:p>
    <w:bookmarkStart w:id="122" w:name="page123"/>
    <w:bookmarkEnd w:id="122"/>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hanging="239"/>
        <w:spacing w:after="0"/>
        <w:tabs>
          <w:tab w:leader="none" w:pos="9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Statements of Cash Flows for the years ended September 28, 2024, September 30, 2023, and September 24, 2022</w:t>
      </w:r>
    </w:p>
    <w:p>
      <w:pPr>
        <w:ind w:left="960" w:hanging="239"/>
        <w:spacing w:after="0"/>
        <w:tabs>
          <w:tab w:leader="none" w:pos="9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Notes to Consolidated Financial Statements</w:t>
      </w:r>
    </w:p>
    <w:p>
      <w:pPr>
        <w:spacing w:after="0" w:line="157" w:lineRule="exact"/>
        <w:rPr>
          <w:rFonts w:ascii="Times New Roman" w:cs="Times New Roman" w:eastAsia="Times New Roman" w:hAnsi="Times New Roman"/>
          <w:sz w:val="13"/>
          <w:szCs w:val="13"/>
          <w:color w:val="auto"/>
        </w:rPr>
      </w:pPr>
    </w:p>
    <w:p>
      <w:pPr>
        <w:ind w:left="620" w:hanging="139"/>
        <w:spacing w:after="0"/>
        <w:tabs>
          <w:tab w:leader="none" w:pos="6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Statement Schedules</w:t>
      </w:r>
    </w:p>
    <w:p>
      <w:pPr>
        <w:spacing w:after="0" w:line="1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Financial statements schedules are omitted as they are either not required or the information is otherwise included in the consolidated financial statements.</w:t>
      </w:r>
    </w:p>
    <w:p>
      <w:pPr>
        <w:spacing w:after="0" w:line="17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(b)</w:t>
        <w:tab/>
        <w:t>Exhibits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exhibits listed below are filed or incorporated by reference into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Incorporated by Reference</w:t>
            </w:r>
          </w:p>
        </w:tc>
        <w:tc>
          <w:tcPr>
            <w:tcW w:w="0" w:type="dxa"/>
            <w:vAlign w:val="bottom"/>
          </w:tcPr>
          <w:p>
            <w:pPr>
              <w:spacing w:after="0"/>
              <w:rPr>
                <w:sz w:val="1"/>
                <w:szCs w:val="1"/>
                <w:color w:val="auto"/>
              </w:rPr>
            </w:pPr>
          </w:p>
        </w:tc>
      </w:tr>
      <w:tr>
        <w:trPr>
          <w:trHeight w:val="30"/>
        </w:trPr>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Exhibit</w:t>
            </w: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100" w:type="dxa"/>
            <w:vAlign w:val="bottom"/>
            <w:gridSpan w:val="13"/>
            <w:vMerge w:val="restart"/>
          </w:tcPr>
          <w:p>
            <w:pPr>
              <w:ind w:left="100"/>
              <w:spacing w:after="0"/>
              <w:rPr>
                <w:sz w:val="20"/>
                <w:szCs w:val="20"/>
                <w:color w:val="auto"/>
              </w:rPr>
            </w:pPr>
            <w:r>
              <w:rPr>
                <w:rFonts w:ascii="Times New Roman" w:cs="Times New Roman" w:eastAsia="Times New Roman" w:hAnsi="Times New Roman"/>
                <w:sz w:val="13"/>
                <w:szCs w:val="13"/>
                <w:color w:val="auto"/>
              </w:rPr>
              <w:t>Description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gridSpan w:val="13"/>
            <w:vMerge w:val="continue"/>
          </w:tcPr>
          <w:p>
            <w:pPr>
              <w:spacing w:after="0"/>
              <w:rPr>
                <w:sz w:val="14"/>
                <w:szCs w:val="1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Form</w:t>
            </w:r>
          </w:p>
        </w:tc>
        <w:tc>
          <w:tcPr>
            <w:tcW w:w="8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Exhibit</w:t>
            </w:r>
          </w:p>
        </w:tc>
        <w:tc>
          <w:tcPr>
            <w:tcW w:w="1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Filing Date</w:t>
            </w:r>
          </w:p>
        </w:tc>
        <w:tc>
          <w:tcPr>
            <w:tcW w:w="0" w:type="dxa"/>
            <w:vAlign w:val="bottom"/>
          </w:tcPr>
          <w:p>
            <w:pPr>
              <w:spacing w:after="0"/>
              <w:rPr>
                <w:sz w:val="1"/>
                <w:szCs w:val="1"/>
                <w:color w:val="auto"/>
              </w:rPr>
            </w:pPr>
          </w:p>
        </w:tc>
      </w:tr>
      <w:tr>
        <w:trPr>
          <w:trHeight w:val="30"/>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20" w:type="dxa"/>
            <w:vAlign w:val="bottom"/>
            <w:tcBorders>
              <w:bottom w:val="single" w:sz="8" w:color="0000FF"/>
            </w:tcBorders>
            <w:gridSpan w:val="19"/>
          </w:tcPr>
          <w:p>
            <w:pPr>
              <w:spacing w:after="0" w:line="141"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Agreement and Plan of Merger, dated December 12, 2021, among SVF Investment Corp. 3, Warehouse Technologies LLC, Symbotic</w:t>
              </w:r>
            </w:hyperlink>
          </w:p>
        </w:tc>
        <w:tc>
          <w:tcPr>
            <w:tcW w:w="160" w:type="dxa"/>
            <w:vAlign w:val="bottom"/>
            <w:gridSpan w:val="3"/>
          </w:tcPr>
          <w:p>
            <w:pPr>
              <w:spacing w:after="0"/>
              <w:rPr>
                <w:sz w:val="12"/>
                <w:szCs w:val="12"/>
                <w:color w:val="auto"/>
              </w:rPr>
            </w:pPr>
          </w:p>
        </w:tc>
        <w:tc>
          <w:tcPr>
            <w:tcW w:w="7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2"/>
                <w:szCs w:val="12"/>
                <w:color w:val="auto"/>
              </w:rPr>
            </w:pPr>
          </w:p>
        </w:tc>
        <w:tc>
          <w:tcPr>
            <w:tcW w:w="11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12/13/2021</w:t>
            </w: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80" w:type="dxa"/>
            <w:vAlign w:val="bottom"/>
            <w:gridSpan w:val="22"/>
          </w:tcPr>
          <w:p>
            <w:pPr>
              <w:spacing w:after="0" w:line="141"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Holdings LLC and Saturn Acquisition (DE) Corp.</w:t>
              </w:r>
            </w:hyperlink>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Borders>
              <w:top w:val="single" w:sz="8" w:color="0000FF"/>
            </w:tcBorders>
            <w:gridSpan w:val="7"/>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Certificate of Incorporation of Symbotic Inc.</w:t>
              </w:r>
            </w:hyperlink>
          </w:p>
        </w:tc>
        <w:tc>
          <w:tcPr>
            <w:tcW w:w="4620" w:type="dxa"/>
            <w:vAlign w:val="bottom"/>
            <w:gridSpan w:val="15"/>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tcBorders>
              <w:top w:val="single" w:sz="8" w:color="0000FF"/>
            </w:tcBorders>
            <w:gridSpan w:val="6"/>
          </w:tcPr>
          <w:p>
            <w:pPr>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Bylaws of Symbotic Inc.</w:t>
              </w:r>
            </w:hyperlink>
          </w:p>
        </w:tc>
        <w:tc>
          <w:tcPr>
            <w:tcW w:w="4900" w:type="dxa"/>
            <w:vAlign w:val="bottom"/>
            <w:gridSpan w:val="16"/>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Warrant to Purchase Common Units, dated June 7, 2022, between Symbotic Holdings LLC and Walmart Inc.</w:t>
              </w:r>
            </w:hyperlink>
          </w:p>
        </w:tc>
        <w:tc>
          <w:tcPr>
            <w:tcW w:w="1460" w:type="dxa"/>
            <w:vAlign w:val="bottom"/>
            <w:gridSpan w:val="9"/>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8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Warrant to Purchase Class A Common Stock, dated July 23, 2023, between Symbotic Inc. and Sunlight Investment Corp.</w:t>
              </w:r>
            </w:hyperlink>
          </w:p>
        </w:tc>
        <w:tc>
          <w:tcPr>
            <w:tcW w:w="800" w:type="dxa"/>
            <w:vAlign w:val="bottom"/>
            <w:gridSpan w:val="6"/>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7/24/2023</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Description of Securities of Symbotic Inc.</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12/09/2022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Form of Indenture</w:t>
              </w:r>
            </w:hyperlink>
          </w:p>
        </w:tc>
        <w:tc>
          <w:tcPr>
            <w:tcW w:w="1260" w:type="dxa"/>
            <w:vAlign w:val="bottom"/>
            <w:tcBorders>
              <w:top w:val="single" w:sz="8" w:color="0000FF"/>
            </w:tcBorders>
            <w:gridSpan w:val="3"/>
          </w:tcPr>
          <w:p>
            <w:pPr>
              <w:spacing w:after="0"/>
              <w:rPr>
                <w:sz w:val="16"/>
                <w:szCs w:val="16"/>
                <w:color w:val="auto"/>
              </w:rPr>
            </w:pPr>
          </w:p>
        </w:tc>
        <w:tc>
          <w:tcPr>
            <w:tcW w:w="5040" w:type="dxa"/>
            <w:vAlign w:val="bottom"/>
            <w:gridSpan w:val="17"/>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7/24/2023</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8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Amended and Restated Registration Rights Agreement, dated June 7, 2022, among Symbotic Inc., SVF Sponsor III (DE) LLC, certain</w:t>
              </w:r>
            </w:hyperlink>
          </w:p>
        </w:tc>
        <w:tc>
          <w:tcPr>
            <w:tcW w:w="100" w:type="dxa"/>
            <w:vAlign w:val="bottom"/>
            <w:gridSpan w:val="2"/>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tcBorders>
              <w:bottom w:val="single" w:sz="8" w:color="0000FF"/>
            </w:tcBorders>
            <w:gridSpan w:val="13"/>
          </w:tcPr>
          <w:p>
            <w:pPr>
              <w:spacing w:after="0" w:line="141"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legacy directors of SVF Investment Corp. 3, and certain directors, officers and stockholders of Symbotic Inc.</w:t>
              </w:r>
            </w:hyperlink>
          </w:p>
        </w:tc>
        <w:tc>
          <w:tcPr>
            <w:tcW w:w="1460" w:type="dxa"/>
            <w:vAlign w:val="bottom"/>
            <w:gridSpan w:val="9"/>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Tax Receivable Agreement, dated June 7, 2022, among Symbotic Inc., Symbotic Holdings LLC and certain members of Symbotic</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tcPr>
          <w:p>
            <w:pPr>
              <w:spacing w:after="0" w:line="141"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Holdings LLC</w:t>
              </w:r>
            </w:hyperlink>
          </w:p>
        </w:tc>
        <w:tc>
          <w:tcPr>
            <w:tcW w:w="6160" w:type="dxa"/>
            <w:vAlign w:val="bottom"/>
            <w:tcBorders>
              <w:top w:val="single" w:sz="8" w:color="0000FF"/>
            </w:tcBorders>
            <w:gridSpan w:val="17"/>
          </w:tcPr>
          <w:p>
            <w:pPr>
              <w:spacing w:after="0"/>
              <w:rPr>
                <w:sz w:val="12"/>
                <w:szCs w:val="12"/>
                <w:color w:val="auto"/>
              </w:rPr>
            </w:pPr>
          </w:p>
        </w:tc>
        <w:tc>
          <w:tcPr>
            <w:tcW w:w="34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6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Second Amended and Restated Limited Liability Company Agreement of Symbotic Holdings LLC, dated June 7, 2022</w:t>
              </w:r>
            </w:hyperlink>
          </w:p>
        </w:tc>
        <w:tc>
          <w:tcPr>
            <w:tcW w:w="920" w:type="dxa"/>
            <w:vAlign w:val="bottom"/>
            <w:gridSpan w:val="8"/>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6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Form of Indemnification Agreement between Symbotic Inc. and each of its directors and executive officers.</w:t>
              </w:r>
            </w:hyperlink>
          </w:p>
        </w:tc>
        <w:tc>
          <w:tcPr>
            <w:tcW w:w="1520" w:type="dxa"/>
            <w:vAlign w:val="bottom"/>
            <w:gridSpan w:val="10"/>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Symbotic Inc. 2022 Omnibus Incentive Compensation Plan</w:t>
              </w:r>
            </w:hyperlink>
          </w:p>
        </w:tc>
        <w:tc>
          <w:tcPr>
            <w:tcW w:w="4100" w:type="dxa"/>
            <w:vAlign w:val="bottom"/>
            <w:gridSpan w:val="13"/>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Form of Restricted Stock Unit Award Agreement under the Symbotic Inc. 2022 Omnibus Incentive Compensation Plan</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8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Form of Performance-Based Restricted Stock Unit Award Agreement under the Symbotic Inc. 2022 Omnibus Incentive</w:t>
              </w:r>
            </w:hyperlink>
          </w:p>
        </w:tc>
        <w:tc>
          <w:tcPr>
            <w:tcW w:w="900" w:type="dxa"/>
            <w:vAlign w:val="bottom"/>
            <w:gridSpan w:val="7"/>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bottom w:val="single" w:sz="8" w:color="0000FF"/>
            </w:tcBorders>
            <w:gridSpan w:val="3"/>
          </w:tcPr>
          <w:p>
            <w:pPr>
              <w:spacing w:after="0" w:line="141"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Compensation Plan</w:t>
              </w:r>
            </w:hyperlink>
          </w:p>
        </w:tc>
        <w:tc>
          <w:tcPr>
            <w:tcW w:w="6240" w:type="dxa"/>
            <w:vAlign w:val="bottom"/>
            <w:gridSpan w:val="19"/>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Symbotic Inc. 2022 Employee Stock Purchase Plan</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6/13/2022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Symbotic LLC / Warehouse Technologies, LLC 2012 Value Appreciation Plan</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3/23/2022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Symbotic LLC / Symbotic Canada ULC / Warehouse Technologies LLC Amended and Restated 2018 Long Term Incentive Plan</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10.27</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3/23/2022</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00" w:type="dxa"/>
            <w:vAlign w:val="bottom"/>
            <w:tcBorders>
              <w:top w:val="single" w:sz="8" w:color="0000FF"/>
            </w:tcBorders>
            <w:gridSpan w:val="17"/>
          </w:tcPr>
          <w:p>
            <w:pPr>
              <w:spacing w:after="0"/>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Offer Letter, dated as of March 24, 2022, by and between Symbotic LLC and Michael J. Loparco</w:t>
              </w:r>
            </w:hyperlink>
          </w:p>
        </w:tc>
        <w:tc>
          <w:tcPr>
            <w:tcW w:w="380" w:type="dxa"/>
            <w:vAlign w:val="bottom"/>
            <w:gridSpan w:val="5"/>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10.28</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4/22/2022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11"/>
            <w:shd w:val="clear" w:color="auto" w:fill="0000FF"/>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80" w:type="dxa"/>
            <w:vAlign w:val="bottom"/>
            <w:gridSpan w:val="22"/>
          </w:tcPr>
          <w:p>
            <w:pPr>
              <w:spacing w:after="0"/>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Forward Purchase Agreement, dated March 8, 2021, between SVF Investment Corp. 3 and SVF II SPAC Investment 3 (DE) LLC</w:t>
              </w:r>
            </w:hyperlink>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7" w:right="319" w:bottom="1440" w:gutter="0" w:footer="0" w:header="0"/>
        </w:sectPr>
      </w:pPr>
    </w:p>
    <w:bookmarkStart w:id="123" w:name="page124"/>
    <w:bookmarkEnd w:id="123"/>
    <w:p>
      <w:pPr>
        <w:ind w:left="22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86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Unit Purchase Agreement, dated December 12, 2021, among SVF Investment Corp. 3, Warehouse Technologies LLC, Symbotic</w:t>
              </w:r>
            </w:hyperlink>
          </w:p>
        </w:tc>
        <w:tc>
          <w:tcPr>
            <w:tcW w:w="320" w:type="dxa"/>
            <w:vAlign w:val="bottom"/>
            <w:gridSpan w:val="8"/>
          </w:tcPr>
          <w:p>
            <w:pPr>
              <w:spacing w:after="0"/>
              <w:rPr>
                <w:sz w:val="12"/>
                <w:szCs w:val="1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10.5</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7"/>
              </w:rPr>
              <w:t>12/13/2021</w:t>
            </w:r>
          </w:p>
        </w:tc>
      </w:tr>
      <w:tr>
        <w:trPr>
          <w:trHeight w:val="150"/>
        </w:trPr>
        <w:tc>
          <w:tcPr>
            <w:tcW w:w="1060" w:type="dxa"/>
            <w:vAlign w:val="bottom"/>
          </w:tcPr>
          <w:p>
            <w:pPr>
              <w:spacing w:after="0"/>
              <w:rPr>
                <w:sz w:val="13"/>
                <w:szCs w:val="13"/>
                <w:color w:val="auto"/>
              </w:rPr>
            </w:pPr>
          </w:p>
        </w:tc>
        <w:tc>
          <w:tcPr>
            <w:tcW w:w="7180" w:type="dxa"/>
            <w:vAlign w:val="bottom"/>
            <w:gridSpan w:val="31"/>
          </w:tcPr>
          <w:p>
            <w:pPr>
              <w:spacing w:after="0"/>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Holdings LLC, RJJRP Holdings, Inc., RBC 2021 4 Year GRAT 4 (U/A March 31, 2021) and RBC Millennium Trust (U/A June 19,</w:t>
              </w:r>
            </w:hyperlink>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0"/>
        </w:trPr>
        <w:tc>
          <w:tcPr>
            <w:tcW w:w="1060" w:type="dxa"/>
            <w:vAlign w:val="bottom"/>
          </w:tcPr>
          <w:p>
            <w:pPr>
              <w:spacing w:after="0"/>
              <w:rPr>
                <w:sz w:val="12"/>
                <w:szCs w:val="12"/>
                <w:color w:val="auto"/>
              </w:rPr>
            </w:pPr>
          </w:p>
        </w:tc>
        <w:tc>
          <w:tcPr>
            <w:tcW w:w="300" w:type="dxa"/>
            <w:vAlign w:val="bottom"/>
            <w:tcBorders>
              <w:top w:val="single" w:sz="8" w:color="0000FF"/>
              <w:bottom w:val="single" w:sz="8" w:color="0000FF"/>
            </w:tcBorders>
            <w:gridSpan w:val="2"/>
          </w:tcPr>
          <w:p>
            <w:pPr>
              <w:spacing w:after="0" w:line="141" w:lineRule="exact"/>
              <w:rPr>
                <w:rFonts w:ascii="Times New Roman" w:cs="Times New Roman" w:eastAsia="Times New Roman" w:hAnsi="Times New Roman"/>
                <w:sz w:val="13"/>
                <w:szCs w:val="13"/>
                <w:color w:val="0000FF"/>
                <w:w w:val="92"/>
              </w:rPr>
            </w:pPr>
            <w:hyperlink r:id="rId160">
              <w:r>
                <w:rPr>
                  <w:rFonts w:ascii="Times New Roman" w:cs="Times New Roman" w:eastAsia="Times New Roman" w:hAnsi="Times New Roman"/>
                  <w:sz w:val="13"/>
                  <w:szCs w:val="13"/>
                  <w:color w:val="0000FF"/>
                  <w:w w:val="92"/>
                </w:rPr>
                <w:t>2000)</w:t>
              </w:r>
            </w:hyperlink>
          </w:p>
        </w:tc>
        <w:tc>
          <w:tcPr>
            <w:tcW w:w="7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7180" w:type="dxa"/>
            <w:vAlign w:val="bottom"/>
            <w:gridSpan w:val="31"/>
          </w:tcPr>
          <w:p>
            <w:pPr>
              <w:spacing w:after="0"/>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Second Amended and Restated Master Automation Agreement, dated May 20, 2022, among Walmart Inc., Symbotic LLC and</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S-4</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10.32</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5/23/2022</w:t>
            </w:r>
          </w:p>
        </w:tc>
      </w:tr>
      <w:tr>
        <w:trPr>
          <w:trHeight w:val="150"/>
        </w:trPr>
        <w:tc>
          <w:tcPr>
            <w:tcW w:w="106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Warehouse Technologies LLC</w:t>
              </w:r>
            </w:hyperlink>
          </w:p>
        </w:tc>
        <w:tc>
          <w:tcPr>
            <w:tcW w:w="5120" w:type="dxa"/>
            <w:vAlign w:val="bottom"/>
            <w:tcBorders>
              <w:top w:val="single" w:sz="8" w:color="0000FF"/>
            </w:tcBorders>
            <w:gridSpan w:val="17"/>
          </w:tcPr>
          <w:p>
            <w:pPr>
              <w:spacing w:after="0"/>
              <w:rPr>
                <w:sz w:val="13"/>
                <w:szCs w:val="13"/>
                <w:color w:val="auto"/>
              </w:rPr>
            </w:pPr>
          </w:p>
        </w:tc>
        <w:tc>
          <w:tcPr>
            <w:tcW w:w="44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448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Offer Letter, dated as of April 21, 2017, between Symbotic LLC and Michael Dunn</w:t>
              </w:r>
            </w:hyperlink>
          </w:p>
        </w:tc>
        <w:tc>
          <w:tcPr>
            <w:tcW w:w="2700" w:type="dxa"/>
            <w:vAlign w:val="bottom"/>
            <w:gridSpan w:val="17"/>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10.17</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6/13/2022</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440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Offer Letter, dated September 1, 2020, between Symbotic LLC and Thomas Ernst</w:t>
              </w:r>
            </w:hyperlink>
          </w:p>
        </w:tc>
        <w:tc>
          <w:tcPr>
            <w:tcW w:w="2780" w:type="dxa"/>
            <w:vAlign w:val="bottom"/>
            <w:gridSpan w:val="19"/>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10.18</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6/13/2022</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428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Offer Letter, dated January 13, 2023 between Symbotic LLC and Walter Odisho</w:t>
              </w:r>
            </w:hyperlink>
          </w:p>
        </w:tc>
        <w:tc>
          <w:tcPr>
            <w:tcW w:w="2900" w:type="dxa"/>
            <w:vAlign w:val="bottom"/>
            <w:gridSpan w:val="22"/>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10-Q</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2/08/2024</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7180" w:type="dxa"/>
            <w:vAlign w:val="bottom"/>
            <w:gridSpan w:val="31"/>
          </w:tcPr>
          <w:p>
            <w:pPr>
              <w:spacing w:after="0"/>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Investment and Subscription Agreement, dated as of December 12, 2021, between Warehouse Technologies LLC and Walmart, Inc.</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S-4</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10.33</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5/23/2022</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696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Framework Agreement, dated July 23, 2023, among Symbotic Inc., Symbotic Holdings LLC, Symbotic LLC, Sunlight Investment</w:t>
              </w:r>
            </w:hyperlink>
          </w:p>
        </w:tc>
        <w:tc>
          <w:tcPr>
            <w:tcW w:w="60" w:type="dxa"/>
            <w:vAlign w:val="bottom"/>
            <w:tcBorders>
              <w:top w:val="single" w:sz="8" w:color="0000FF"/>
            </w:tcBorders>
            <w:gridSpan w:val="2"/>
          </w:tcPr>
          <w:p>
            <w:pPr>
              <w:spacing w:after="0"/>
              <w:rPr>
                <w:sz w:val="16"/>
                <w:szCs w:val="16"/>
                <w:color w:val="auto"/>
              </w:rPr>
            </w:pPr>
          </w:p>
        </w:tc>
        <w:tc>
          <w:tcPr>
            <w:tcW w:w="160" w:type="dxa"/>
            <w:vAlign w:val="bottom"/>
            <w:gridSpan w:val="4"/>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7/24/2023</w:t>
            </w:r>
          </w:p>
        </w:tc>
      </w:tr>
      <w:tr>
        <w:trPr>
          <w:trHeight w:val="150"/>
        </w:trPr>
        <w:tc>
          <w:tcPr>
            <w:tcW w:w="1060" w:type="dxa"/>
            <w:vAlign w:val="bottom"/>
          </w:tcPr>
          <w:p>
            <w:pPr>
              <w:spacing w:after="0"/>
              <w:rPr>
                <w:sz w:val="13"/>
                <w:szCs w:val="13"/>
                <w:color w:val="auto"/>
              </w:rPr>
            </w:pPr>
          </w:p>
        </w:tc>
        <w:tc>
          <w:tcPr>
            <w:tcW w:w="7180" w:type="dxa"/>
            <w:vAlign w:val="bottom"/>
            <w:gridSpan w:val="31"/>
          </w:tcPr>
          <w:p>
            <w:pPr>
              <w:spacing w:after="0"/>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Corp., SVF II Strategic Investments AIV LLC and GreenBox Systems LLC</w:t>
              </w:r>
            </w:hyperlink>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Amended and Restated Limited Liability Company Agreement of GreenBox Systems LLC, dated September 25, 2024, among</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0"/>
        </w:trPr>
        <w:tc>
          <w:tcPr>
            <w:tcW w:w="106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GreenBox Systems LLC, Symbotic Holdings LLC and Sunlight Investment Corp.</w:t>
            </w:r>
          </w:p>
        </w:tc>
        <w:tc>
          <w:tcPr>
            <w:tcW w:w="2360" w:type="dxa"/>
            <w:vAlign w:val="bottom"/>
            <w:tcBorders>
              <w:top w:val="single" w:sz="8" w:color="0000FF"/>
            </w:tcBorders>
            <w:gridSpan w:val="10"/>
          </w:tcPr>
          <w:p>
            <w:pPr>
              <w:spacing w:after="0"/>
              <w:rPr>
                <w:sz w:val="13"/>
                <w:szCs w:val="13"/>
                <w:color w:val="auto"/>
              </w:rPr>
            </w:pPr>
          </w:p>
        </w:tc>
        <w:tc>
          <w:tcPr>
            <w:tcW w:w="440" w:type="dxa"/>
            <w:vAlign w:val="bottom"/>
            <w:gridSpan w:val="10"/>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684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Master Services, License and Equipment Agreement, dated July 23, 2023, between GreenBox Systems LLC and Symbotic LLC</w:t>
              </w:r>
            </w:hyperlink>
          </w:p>
        </w:tc>
        <w:tc>
          <w:tcPr>
            <w:tcW w:w="340" w:type="dxa"/>
            <w:vAlign w:val="bottom"/>
            <w:gridSpan w:val="9"/>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7/24/2023</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692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Separation Agreement and General Release of Claims, dated November 19, 2022, between Symbotic Inc. and Michael J. Loparco</w:t>
              </w:r>
            </w:hyperlink>
          </w:p>
        </w:tc>
        <w:tc>
          <w:tcPr>
            <w:tcW w:w="260" w:type="dxa"/>
            <w:vAlign w:val="bottom"/>
            <w:gridSpan w:val="7"/>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7"/>
              </w:rPr>
              <w:t>11/21/2022</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7180" w:type="dxa"/>
            <w:vAlign w:val="bottom"/>
            <w:gridSpan w:val="31"/>
          </w:tcPr>
          <w:p>
            <w:pPr>
              <w:spacing w:after="0"/>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Transition Agreement, dated October 1, 2023, between Symbotic LLC and Thomas Ernst</w:t>
              </w:r>
            </w:hyperlink>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7"/>
              </w:rPr>
              <w:t>10/02/2023</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446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Offer Letter, dated September 17, 2023, between Symbotic LLC and Carol Hibbard</w:t>
              </w:r>
            </w:hyperlink>
          </w:p>
        </w:tc>
        <w:tc>
          <w:tcPr>
            <w:tcW w:w="300" w:type="dxa"/>
            <w:vAlign w:val="bottom"/>
            <w:tcBorders>
              <w:top w:val="single" w:sz="8" w:color="0000FF"/>
            </w:tcBorders>
            <w:gridSpan w:val="2"/>
          </w:tcPr>
          <w:p>
            <w:pPr>
              <w:spacing w:after="0"/>
              <w:rPr>
                <w:sz w:val="16"/>
                <w:szCs w:val="16"/>
                <w:color w:val="auto"/>
              </w:rPr>
            </w:pPr>
          </w:p>
        </w:tc>
        <w:tc>
          <w:tcPr>
            <w:tcW w:w="2420" w:type="dxa"/>
            <w:vAlign w:val="bottom"/>
            <w:gridSpan w:val="16"/>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7"/>
              </w:rPr>
              <w:t>10/02/2023</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0000FF"/>
              </w:rPr>
              <w:t>Offer Letter, dated February 10, 2020, between Symbotic LLC and William Boyd</w:t>
            </w:r>
          </w:p>
        </w:tc>
        <w:tc>
          <w:tcPr>
            <w:tcW w:w="2820" w:type="dxa"/>
            <w:vAlign w:val="bottom"/>
            <w:gridSpan w:val="21"/>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4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rPr>
              <w:t>Offer Letter, dated June 17, 2020, between Symbotic LLC and George Dramalis</w:t>
            </w:r>
          </w:p>
        </w:tc>
        <w:tc>
          <w:tcPr>
            <w:tcW w:w="2900" w:type="dxa"/>
            <w:vAlign w:val="bottom"/>
            <w:gridSpan w:val="22"/>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Offer Letter, dated November 7, 2011, between Symbotic LLC (f/k/a CasePick Systems, LLC) and Corey Dufresne</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55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3"/>
                <w:szCs w:val="13"/>
                <w:color w:val="0000FF"/>
              </w:rPr>
              <w:t>Separation and Severance Agreement, dated April 1, 2014, between Symbotic LLC and Corey Dufresne</w:t>
            </w:r>
          </w:p>
        </w:tc>
        <w:tc>
          <w:tcPr>
            <w:tcW w:w="1620" w:type="dxa"/>
            <w:vAlign w:val="bottom"/>
            <w:gridSpan w:val="12"/>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19.1</w:t>
            </w:r>
          </w:p>
        </w:tc>
        <w:tc>
          <w:tcPr>
            <w:tcW w:w="1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Symbotic Inc. Insider Trading Policy</w:t>
            </w:r>
          </w:p>
        </w:tc>
        <w:tc>
          <w:tcPr>
            <w:tcW w:w="5200" w:type="dxa"/>
            <w:vAlign w:val="bottom"/>
            <w:gridSpan w:val="24"/>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List of Subsidiaries of Symbotic Inc.</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1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rPr>
              <w:t>Consent of Grant Thornton LLP</w:t>
            </w:r>
          </w:p>
        </w:tc>
        <w:tc>
          <w:tcPr>
            <w:tcW w:w="240" w:type="dxa"/>
            <w:vAlign w:val="bottom"/>
            <w:tcBorders>
              <w:top w:val="single" w:sz="8" w:color="0000FF"/>
            </w:tcBorders>
          </w:tcPr>
          <w:p>
            <w:pPr>
              <w:spacing w:after="0"/>
              <w:rPr>
                <w:sz w:val="16"/>
                <w:szCs w:val="16"/>
                <w:color w:val="auto"/>
              </w:rPr>
            </w:pPr>
          </w:p>
        </w:tc>
        <w:tc>
          <w:tcPr>
            <w:tcW w:w="5220" w:type="dxa"/>
            <w:vAlign w:val="bottom"/>
            <w:gridSpan w:val="25"/>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Certification of the Chief Executive Officer pursuant to Rules 13a-14 and 15d-14 promulgated under the Securities Exchange Act of</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2"/>
              </w:rPr>
              <w:t>1934</w:t>
            </w: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Certification of the Chief Financial Officer pursuant to Rules 13a-14 and 15d-14 promulgated under the Securities Exchange Act of</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0"/>
        </w:trPr>
        <w:tc>
          <w:tcPr>
            <w:tcW w:w="106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2"/>
              </w:rPr>
              <w:t>1934</w:t>
            </w: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Certification of the Chief Executive Officer pursuant to 18 U.S.C. Section 1350, as adopted pursuant to Section 906 of the Sarbanes-</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0"/>
        </w:trPr>
        <w:tc>
          <w:tcPr>
            <w:tcW w:w="106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Oxley Act of 2002</w:t>
            </w:r>
          </w:p>
        </w:tc>
        <w:tc>
          <w:tcPr>
            <w:tcW w:w="6080" w:type="dxa"/>
            <w:vAlign w:val="bottom"/>
            <w:tcBorders>
              <w:top w:val="single" w:sz="8" w:color="0000FF"/>
            </w:tcBorders>
            <w:gridSpan w:val="27"/>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7180" w:type="dxa"/>
            <w:vAlign w:val="bottom"/>
            <w:gridSpan w:val="31"/>
          </w:tcPr>
          <w:p>
            <w:pPr>
              <w:spacing w:after="0"/>
              <w:rPr>
                <w:sz w:val="20"/>
                <w:szCs w:val="20"/>
                <w:color w:val="auto"/>
              </w:rPr>
            </w:pPr>
            <w:r>
              <w:rPr>
                <w:rFonts w:ascii="Times New Roman" w:cs="Times New Roman" w:eastAsia="Times New Roman" w:hAnsi="Times New Roman"/>
                <w:sz w:val="13"/>
                <w:szCs w:val="13"/>
                <w:color w:val="0000FF"/>
              </w:rPr>
              <w:t>Certification of the Chief Financial Officer pursuant to 18 U.S.C. Section 1350, as adopted pursuant to Section 906 of the Sarbanes-</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0"/>
        </w:trPr>
        <w:tc>
          <w:tcPr>
            <w:tcW w:w="106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Oxley Act of 2002</w:t>
            </w:r>
          </w:p>
        </w:tc>
        <w:tc>
          <w:tcPr>
            <w:tcW w:w="6040" w:type="dxa"/>
            <w:vAlign w:val="bottom"/>
            <w:tcBorders>
              <w:top w:val="single" w:sz="8" w:color="0000FF"/>
            </w:tcBorders>
            <w:gridSpan w:val="25"/>
          </w:tcPr>
          <w:p>
            <w:pPr>
              <w:spacing w:after="0"/>
              <w:rPr>
                <w:sz w:val="13"/>
                <w:szCs w:val="13"/>
                <w:color w:val="auto"/>
              </w:rPr>
            </w:pPr>
          </w:p>
        </w:tc>
        <w:tc>
          <w:tcPr>
            <w:tcW w:w="14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97.1</w:t>
            </w:r>
          </w:p>
        </w:tc>
        <w:tc>
          <w:tcPr>
            <w:tcW w:w="532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Symbotic Inc. Clawback Policy: Recovery of Erroneously Awarded Incentive-Based Compensation</w:t>
              </w:r>
            </w:hyperlink>
          </w:p>
        </w:tc>
        <w:tc>
          <w:tcPr>
            <w:tcW w:w="1860" w:type="dxa"/>
            <w:vAlign w:val="bottom"/>
            <w:gridSpan w:val="13"/>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10-K</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97.1</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7"/>
              </w:rPr>
              <w:t>12/11/2023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-1614805</wp:posOffset>
            </wp:positionV>
            <wp:extent cx="209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209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53340</wp:posOffset>
            </wp:positionV>
            <wp:extent cx="719328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720"/>
          </w:cols>
          <w:pgMar w:left="320" w:top="177" w:right="859" w:bottom="1440" w:gutter="0" w:footer="0" w:header="0"/>
        </w:sectPr>
      </w:pPr>
    </w:p>
    <w:bookmarkStart w:id="124" w:name="page125"/>
    <w:bookmarkEnd w:id="124"/>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Inline Instance Document</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Inline Taxonomy Extension Schema Document</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Inline Taxonomy Extension Calculation Linkbase Document</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Inline Taxonomy Extension Definition Linkbase Document</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Inline Taxonomy Extension Label Linkbase Document</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Inline Taxonomy Extension Presentation Linkbase Document</w:t>
            </w: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168" w:lineRule="exact"/>
        <w:rPr>
          <w:sz w:val="20"/>
          <w:szCs w:val="20"/>
          <w:color w:val="auto"/>
        </w:rPr>
      </w:pPr>
    </w:p>
    <w:p>
      <w:pPr>
        <w:ind w:left="460" w:hanging="413"/>
        <w:spacing w:after="0"/>
        <w:tabs>
          <w:tab w:leader="none" w:pos="4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management contract or compensatory plan</w:t>
      </w:r>
    </w:p>
    <w:p>
      <w:pPr>
        <w:spacing w:after="0" w:line="61" w:lineRule="exact"/>
        <w:rPr>
          <w:sz w:val="20"/>
          <w:szCs w:val="20"/>
          <w:color w:val="auto"/>
        </w:rPr>
      </w:pPr>
    </w:p>
    <w:p>
      <w:pPr>
        <w:ind w:left="460" w:right="180" w:hanging="413"/>
        <w:spacing w:after="0" w:line="294" w:lineRule="auto"/>
        <w:tabs>
          <w:tab w:leader="none" w:pos="4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the exhibits and schedules have been omitted in accordance with Item 601(a)(5) of Regulation S-K. We agree to furnish a copy of all omitted exhibits and schedules to the SEC upon its request.</w:t>
      </w:r>
    </w:p>
    <w:p>
      <w:pPr>
        <w:spacing w:after="0" w:line="4" w:lineRule="exact"/>
        <w:rPr>
          <w:sz w:val="20"/>
          <w:szCs w:val="20"/>
          <w:color w:val="auto"/>
        </w:rPr>
      </w:pPr>
    </w:p>
    <w:p>
      <w:pPr>
        <w:ind w:left="460" w:hanging="413"/>
        <w:spacing w:after="0" w:line="294" w:lineRule="auto"/>
        <w:tabs>
          <w:tab w:leader="none" w:pos="4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marked by brackets and asterisks, has been omitted pursuant to Item 601(b)(10)(iv) of Regulation S-K because we customarily and actually treat such information as private or confidential and the omitted information is not material.</w:t>
      </w:r>
    </w:p>
    <w:p>
      <w:pPr>
        <w:spacing w:after="0" w:line="225" w:lineRule="exact"/>
        <w:rPr>
          <w:sz w:val="20"/>
          <w:szCs w:val="20"/>
          <w:color w:val="auto"/>
        </w:rPr>
      </w:pPr>
    </w:p>
    <w:p>
      <w:pPr>
        <w:ind w:left="280" w:hanging="280"/>
        <w:spacing w:after="0"/>
        <w:tabs>
          <w:tab w:leader="none" w:pos="2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 Form 10-K Summary</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328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060"/>
          </w:cols>
          <w:pgMar w:left="300" w:top="177" w:right="539" w:bottom="1440" w:gutter="0" w:footer="0" w:header="0"/>
        </w:sectPr>
      </w:pPr>
    </w:p>
    <w:bookmarkStart w:id="125" w:name="page126"/>
    <w:bookmarkEnd w:id="125"/>
    <w:p>
      <w:pPr>
        <w:ind w:left="240"/>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5"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920" w:type="dxa"/>
            <w:vAlign w:val="bottom"/>
          </w:tcPr>
          <w:p>
            <w:pPr>
              <w:spacing w:after="0"/>
              <w:rPr>
                <w:sz w:val="15"/>
                <w:szCs w:val="15"/>
                <w:color w:val="auto"/>
              </w:rPr>
            </w:pPr>
          </w:p>
        </w:tc>
        <w:tc>
          <w:tcPr>
            <w:tcW w:w="274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SYMBOTIC INC.</w:t>
            </w:r>
          </w:p>
        </w:tc>
        <w:tc>
          <w:tcPr>
            <w:tcW w:w="5600" w:type="dxa"/>
            <w:vAlign w:val="bottom"/>
          </w:tcPr>
          <w:p>
            <w:pPr>
              <w:spacing w:after="0"/>
              <w:rPr>
                <w:sz w:val="15"/>
                <w:szCs w:val="15"/>
                <w:color w:val="auto"/>
              </w:rPr>
            </w:pPr>
          </w:p>
        </w:tc>
      </w:tr>
      <w:tr>
        <w:trPr>
          <w:trHeight w:val="411"/>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Date: December 4, 2024</w:t>
            </w:r>
          </w:p>
        </w:tc>
        <w:tc>
          <w:tcPr>
            <w:tcW w:w="27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By:</w:t>
            </w:r>
          </w:p>
        </w:tc>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Maria G. Freve</w:t>
            </w:r>
          </w:p>
        </w:tc>
      </w:tr>
      <w:tr>
        <w:trPr>
          <w:trHeight w:val="30"/>
        </w:trPr>
        <w:tc>
          <w:tcPr>
            <w:tcW w:w="2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170"/>
        </w:trPr>
        <w:tc>
          <w:tcPr>
            <w:tcW w:w="2920" w:type="dxa"/>
            <w:vAlign w:val="bottom"/>
          </w:tcPr>
          <w:p>
            <w:pPr>
              <w:spacing w:after="0"/>
              <w:rPr>
                <w:sz w:val="14"/>
                <w:szCs w:val="14"/>
                <w:color w:val="auto"/>
              </w:rPr>
            </w:pPr>
          </w:p>
        </w:tc>
        <w:tc>
          <w:tcPr>
            <w:tcW w:w="27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Name:</w:t>
            </w:r>
          </w:p>
        </w:tc>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Maria G. Freve</w:t>
            </w:r>
          </w:p>
        </w:tc>
      </w:tr>
      <w:tr>
        <w:trPr>
          <w:trHeight w:val="208"/>
        </w:trPr>
        <w:tc>
          <w:tcPr>
            <w:tcW w:w="2920" w:type="dxa"/>
            <w:vAlign w:val="bottom"/>
          </w:tcPr>
          <w:p>
            <w:pPr>
              <w:spacing w:after="0"/>
              <w:rPr>
                <w:sz w:val="18"/>
                <w:szCs w:val="18"/>
                <w:color w:val="auto"/>
              </w:rPr>
            </w:pPr>
          </w:p>
        </w:tc>
        <w:tc>
          <w:tcPr>
            <w:tcW w:w="27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Title:</w:t>
            </w:r>
          </w:p>
        </w:tc>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Vice President, Controller and Chief Accounting Officer</w:t>
            </w:r>
          </w:p>
        </w:tc>
      </w:tr>
      <w:tr>
        <w:trPr>
          <w:trHeight w:val="173"/>
        </w:trPr>
        <w:tc>
          <w:tcPr>
            <w:tcW w:w="2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Accounting Officer)</w:t>
            </w:r>
          </w:p>
        </w:tc>
      </w:tr>
    </w:tbl>
    <w:p>
      <w:pPr>
        <w:spacing w:after="0" w:line="200" w:lineRule="exact"/>
        <w:rPr>
          <w:sz w:val="20"/>
          <w:szCs w:val="20"/>
          <w:color w:val="auto"/>
        </w:rPr>
      </w:pPr>
    </w:p>
    <w:p>
      <w:pPr>
        <w:spacing w:after="0" w:line="22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as amended,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240" w:type="dxa"/>
            <w:vAlign w:val="bottom"/>
          </w:tcPr>
          <w:p>
            <w:pPr>
              <w:spacing w:after="0"/>
              <w:rPr>
                <w:sz w:val="15"/>
                <w:szCs w:val="15"/>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30"/>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36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Richard B. Cohen</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Chief Executive Officer,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Richard B. Cohen</w:t>
            </w:r>
          </w:p>
        </w:tc>
        <w:tc>
          <w:tcPr>
            <w:tcW w:w="240" w:type="dxa"/>
            <w:vAlign w:val="bottom"/>
          </w:tcPr>
          <w:p>
            <w:pPr>
              <w:spacing w:after="0"/>
              <w:rPr>
                <w:sz w:val="14"/>
                <w:szCs w:val="1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Carol Hibbard</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Carol Hibbard</w:t>
            </w:r>
          </w:p>
        </w:tc>
        <w:tc>
          <w:tcPr>
            <w:tcW w:w="240" w:type="dxa"/>
            <w:vAlign w:val="bottom"/>
          </w:tcPr>
          <w:p>
            <w:pPr>
              <w:spacing w:after="0"/>
              <w:rPr>
                <w:sz w:val="14"/>
                <w:szCs w:val="1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(Principal Financial Officer)</w:t>
            </w: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Maria G. Freve</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Vice President, Controller and Chief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Maria G. Freve</w:t>
            </w:r>
          </w:p>
        </w:tc>
        <w:tc>
          <w:tcPr>
            <w:tcW w:w="240" w:type="dxa"/>
            <w:vAlign w:val="bottom"/>
          </w:tcPr>
          <w:p>
            <w:pPr>
              <w:spacing w:after="0"/>
              <w:rPr>
                <w:sz w:val="14"/>
                <w:szCs w:val="1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(Principal Accounting Officer)</w:t>
            </w: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Rollin Ford</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Rollin Ford</w:t>
            </w:r>
          </w:p>
        </w:tc>
        <w:tc>
          <w:tcPr>
            <w:tcW w:w="2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Charles Kane</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Charles Kane</w:t>
            </w:r>
          </w:p>
        </w:tc>
        <w:tc>
          <w:tcPr>
            <w:tcW w:w="2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Todd Krasnow</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Todd Krasnow</w:t>
            </w:r>
          </w:p>
        </w:tc>
        <w:tc>
          <w:tcPr>
            <w:tcW w:w="2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Vikas J. Parekh</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Vikas J. Parekh</w:t>
            </w:r>
          </w:p>
        </w:tc>
        <w:tc>
          <w:tcPr>
            <w:tcW w:w="2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Daniela Rus</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Daniela Rus</w:t>
            </w:r>
          </w:p>
        </w:tc>
        <w:tc>
          <w:tcPr>
            <w:tcW w:w="2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01"/>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Merline Saintil</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4, 2024</w:t>
            </w:r>
          </w:p>
        </w:tc>
      </w:tr>
      <w:tr>
        <w:trPr>
          <w:trHeight w:val="30"/>
        </w:trPr>
        <w:tc>
          <w:tcPr>
            <w:tcW w:w="3340" w:type="dxa"/>
            <w:vAlign w:val="bottom"/>
            <w:tcBorders>
              <w:bottom w:val="single" w:sz="8" w:color="929292"/>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Merline Saintil</w:t>
            </w:r>
          </w:p>
        </w:tc>
        <w:tc>
          <w:tcPr>
            <w:tcW w:w="2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123</w:t>
      </w:r>
    </w:p>
    <w:p>
      <w:pPr>
        <w:sectPr>
          <w:pgSz w:w="11900" w:h="16838" w:orient="portrait"/>
          <w:cols w:equalWidth="0" w:num="1">
            <w:col w:w="11280"/>
          </w:cols>
          <w:pgMar w:left="300" w:top="177"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6"/>
          <w:szCs w:val="16"/>
          <w:b w:val="1"/>
          <w:bCs w:val="1"/>
          <w:color w:val="auto"/>
        </w:rPr>
        <w:t>Exhibit 10.21</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20"/>
        <w:spacing w:after="0" w:line="231" w:lineRule="auto"/>
        <w:rPr>
          <w:sz w:val="20"/>
          <w:szCs w:val="20"/>
          <w:color w:val="auto"/>
        </w:rPr>
      </w:pPr>
      <w:r>
        <w:rPr>
          <w:rFonts w:ascii="Times New Roman" w:cs="Times New Roman" w:eastAsia="Times New Roman" w:hAnsi="Times New Roman"/>
          <w:sz w:val="16"/>
          <w:szCs w:val="16"/>
          <w:b w:val="1"/>
          <w:bCs w:val="1"/>
          <w:color w:val="auto"/>
        </w:rPr>
        <w:t>CERTAIN CONFIDENTIAL INFORMATION CONTAINED IN THIS DOCUMENT, MARKED BY [***], HAS BEEN OMITTED AS PERMITTED BY THE RULES OF THE SECURITIES AND EXCHANGE COMMISSION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7880"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6788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7167880"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AMENDED AND RESTATED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LIMITED LIABILITY COMPANY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GREENBOX SYSTEMS LLC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DATED AS OF SEPTEMBER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167880"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6788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278130</wp:posOffset>
            </wp:positionV>
            <wp:extent cx="7167880"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EACH OF THE UNITS REPRESENTED BY THIS AGREEMENT (EACH, A “</w:t>
      </w:r>
      <w:r>
        <w:rPr>
          <w:rFonts w:ascii="Times New Roman" w:cs="Times New Roman" w:eastAsia="Times New Roman" w:hAnsi="Times New Roman"/>
          <w:sz w:val="16"/>
          <w:szCs w:val="16"/>
          <w:u w:val="single" w:color="auto"/>
          <w:color w:val="auto"/>
        </w:rPr>
        <w:t>SECURITY</w:t>
      </w:r>
      <w:r>
        <w:rPr>
          <w:rFonts w:ascii="Times New Roman" w:cs="Times New Roman" w:eastAsia="Times New Roman" w:hAnsi="Times New Roman"/>
          <w:sz w:val="16"/>
          <w:szCs w:val="16"/>
          <w:color w:val="auto"/>
        </w:rPr>
        <w:t>”) HAS NOT BEEN REGISTERED WITH THE U.S. SECURITIES AND EXCHANGE COMMISSION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IN RELIANCE UPON ONE OR MORE EXEMPTIONS FROM THE REGISTRATION REQUIREMENTS OF THE SECURITIES ACT. ANY TRANSFER OF SUCH UNITS IS SUBJECT TO COMPLIANCE WITH, OR THE AVAILABILITY OF EXEMPTIONS FROM, THE REGISTRATION AND QUALIFICATION REQUIREMENTS OF THE SECURITIES ACT AND ANY APPLICABLE STATE SECURITIES LAWS. CERTAIN OF THE SECURITIES REPRESENTED BY THIS AGREEMENT ARE SUBJECT TO RESTRICTIONS ON TRANSFER, PURCHASE OPTIONS, FORFEITURE AND OTHER OBLIGATIONS AND LIMITATIONS AS SET FORTH HEREIN. A COPY OF THIS AGREEMENT MAY BE OBTAINED BY THE HOLDER OF SUCH SECURITIES UPON WRITTEN REQUEST TO THE COMPANY WITHOUT CHARGE. THE COMPANY RESERVES THE RIGHT TO REFUSE THE TRANSFER OF A SECURITY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27" w:right="319" w:bottom="1440" w:gutter="0" w:footer="0" w:header="0"/>
        </w:sectPr>
      </w:pPr>
    </w:p>
    <w:bookmarkStart w:id="127" w:name="page128"/>
    <w:bookmarkEnd w:id="127"/>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CONDITIONS FOR TRANSFER SET FORTH HEREIN HAVE BEEN FULFILLED WITH RESPECT TO SUCH TRANSFER.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0159"/>
          </w:cols>
          <w:pgMar w:left="300" w:top="1440" w:right="1440" w:bottom="1440" w:gutter="0" w:footer="0" w:header="0"/>
        </w:sectPr>
      </w:pPr>
    </w:p>
    <w:bookmarkStart w:id="128" w:name="page129"/>
    <w:bookmarkEnd w:id="128"/>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1.1</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w w:val="99"/>
              </w:rPr>
              <w:t>Certain References</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1.2</w:t>
            </w: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w w:val="99"/>
              </w:rPr>
              <w:t>General Interpretive Principles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31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ARTICLE II ORGANIZATIONAL MATTERS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2.1</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Formation; Term</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2.2</w:t>
            </w: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0000FF"/>
              </w:rPr>
              <w:t>Limited Liability Company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tcPr>
          <w:p>
            <w:pPr>
              <w:spacing w:after="0"/>
              <w:rPr>
                <w:sz w:val="23"/>
                <w:szCs w:val="23"/>
                <w:color w:val="auto"/>
              </w:rPr>
            </w:pP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2.3</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 xml:space="preserve">Name  </w:t>
            </w:r>
            <w:r>
              <w:rPr>
                <w:rFonts w:ascii="Times New Roman" w:cs="Times New Roman" w:eastAsia="Times New Roman" w:hAnsi="Times New Roman"/>
                <w:sz w:val="16"/>
                <w:szCs w:val="16"/>
                <w:color w:val="000000"/>
              </w:rPr>
              <w:t>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2.4</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Purpose and Authority</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2.5</w:t>
            </w: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0000FF"/>
              </w:rPr>
              <w:t xml:space="preserve">Registered Office; Registered Agent  </w:t>
            </w:r>
            <w:r>
              <w:rPr>
                <w:rFonts w:ascii="Times New Roman" w:cs="Times New Roman" w:eastAsia="Times New Roman" w:hAnsi="Times New Roman"/>
                <w:sz w:val="16"/>
                <w:szCs w:val="16"/>
                <w:color w:val="000000"/>
              </w:rPr>
              <w:t>4</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2.6</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Foreign Qualifications</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2.7</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Partnership Treatment</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4</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2.8</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 xml:space="preserve">Expenses  </w:t>
            </w:r>
            <w:r>
              <w:rPr>
                <w:rFonts w:ascii="Times New Roman" w:cs="Times New Roman" w:eastAsia="Times New Roman" w:hAnsi="Times New Roman"/>
                <w:sz w:val="16"/>
                <w:szCs w:val="16"/>
                <w:color w:val="000000"/>
              </w:rPr>
              <w:t>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 xml:space="preserve">ARTICLE III UNITS AND CAPITAL CONTRIBUTIONS  </w:t>
            </w:r>
            <w:r>
              <w:rPr>
                <w:rFonts w:ascii="Times New Roman" w:cs="Times New Roman" w:eastAsia="Times New Roman" w:hAnsi="Times New Roman"/>
                <w:sz w:val="16"/>
                <w:szCs w:val="16"/>
                <w:color w:val="000000"/>
              </w:rPr>
              <w:t>5</w:t>
            </w: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Authorized Units</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3.2</w:t>
            </w: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0000FF"/>
              </w:rPr>
              <w:t>Initial Capitalization; Member Schedule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3.3</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Capital Calls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6</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3.4</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Credit Support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3.5</w:t>
            </w: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Issuance of Additional Units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12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3.6</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w w:val="99"/>
              </w:rPr>
              <w:t>Preemptive Rights.</w:t>
            </w: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13</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3.7</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Capital Accounts</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3.8</w:t>
            </w: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 xml:space="preserve">Negative Capital Accounts  </w:t>
            </w:r>
            <w:r>
              <w:rPr>
                <w:rFonts w:ascii="Times New Roman" w:cs="Times New Roman" w:eastAsia="Times New Roman" w:hAnsi="Times New Roman"/>
                <w:sz w:val="16"/>
                <w:szCs w:val="16"/>
                <w:color w:val="000000"/>
              </w:rPr>
              <w:t>16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3.9</w:t>
            </w: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No Withdrawal or Interest Rights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16</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3.10</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Loans from Members</w:t>
            </w: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3.11</w:t>
            </w:r>
          </w:p>
        </w:tc>
        <w:tc>
          <w:tcPr>
            <w:tcW w:w="4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0000FF"/>
              </w:rPr>
              <w:t xml:space="preserve">Adjustments to Capital Accounts for Distributions in Kind  </w:t>
            </w:r>
            <w:r>
              <w:rPr>
                <w:rFonts w:ascii="Times New Roman" w:cs="Times New Roman" w:eastAsia="Times New Roman" w:hAnsi="Times New Roman"/>
                <w:sz w:val="16"/>
                <w:szCs w:val="16"/>
                <w:color w:val="000000"/>
              </w:rPr>
              <w:t>16</w:t>
            </w: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3.12</w:t>
            </w:r>
          </w:p>
        </w:tc>
        <w:tc>
          <w:tcPr>
            <w:tcW w:w="20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rPr>
              <w:t>Transfer of Capital Accounts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3.13</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Adjustments to Units</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3.14</w:t>
            </w:r>
          </w:p>
        </w:tc>
        <w:tc>
          <w:tcPr>
            <w:tcW w:w="288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0000FF"/>
              </w:rPr>
              <w:t>Member Representations and Warranties</w:t>
            </w:r>
          </w:p>
        </w:tc>
        <w:tc>
          <w:tcPr>
            <w:tcW w:w="1300" w:type="dxa"/>
            <w:vAlign w:val="bottom"/>
          </w:tcPr>
          <w:p>
            <w:pPr>
              <w:jc w:val="right"/>
              <w:ind w:right="1040"/>
              <w:spacing w:after="0"/>
              <w:rPr>
                <w:sz w:val="20"/>
                <w:szCs w:val="20"/>
                <w:color w:val="auto"/>
              </w:rPr>
            </w:pPr>
            <w:r>
              <w:rPr>
                <w:rFonts w:ascii="Times New Roman" w:cs="Times New Roman" w:eastAsia="Times New Roman" w:hAnsi="Times New Roman"/>
                <w:sz w:val="16"/>
                <w:szCs w:val="16"/>
                <w:color w:val="auto"/>
                <w:w w:val="99"/>
              </w:rPr>
              <w:t>17</w:t>
            </w: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3.15</w:t>
            </w:r>
          </w:p>
        </w:tc>
        <w:tc>
          <w:tcPr>
            <w:tcW w:w="4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0000FF"/>
              </w:rPr>
              <w:t xml:space="preserve">Covered Member Notice of Disqualification Event  </w:t>
            </w:r>
            <w:r>
              <w:rPr>
                <w:rFonts w:ascii="Times New Roman" w:cs="Times New Roman" w:eastAsia="Times New Roman" w:hAnsi="Times New Roman"/>
                <w:sz w:val="16"/>
                <w:szCs w:val="16"/>
                <w:color w:val="000000"/>
              </w:rPr>
              <w:t>18</w:t>
            </w:r>
          </w:p>
        </w:tc>
      </w:tr>
      <w:tr>
        <w:trPr>
          <w:trHeight w:val="270"/>
        </w:trPr>
        <w:tc>
          <w:tcPr>
            <w:tcW w:w="3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ARTICLE IV DISTRIBUTIONS AND ALLOCATIONS</w:t>
            </w:r>
          </w:p>
        </w:tc>
        <w:tc>
          <w:tcPr>
            <w:tcW w:w="130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4.1</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Tax Distributions</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18</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20"/>
          </w:cols>
          <w:pgMar w:left="300" w:top="127" w:right="379"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Distributions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Allocations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w w:val="99"/>
              </w:rPr>
              <w:t>Regulatory Allocations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w w:val="99"/>
              </w:rPr>
              <w:t>Tax Allocations.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5380" w:type="dxa"/>
            <w:vAlign w:val="bottom"/>
            <w:gridSpan w:val="10"/>
          </w:tcPr>
          <w:p>
            <w:pPr>
              <w:ind w:left="80"/>
              <w:spacing w:after="0"/>
              <w:rPr>
                <w:sz w:val="20"/>
                <w:szCs w:val="20"/>
                <w:color w:val="auto"/>
              </w:rPr>
            </w:pPr>
            <w:r>
              <w:rPr>
                <w:rFonts w:ascii="Times New Roman" w:cs="Times New Roman" w:eastAsia="Times New Roman" w:hAnsi="Times New Roman"/>
                <w:sz w:val="16"/>
                <w:szCs w:val="16"/>
                <w:color w:val="0000FF"/>
              </w:rPr>
              <w:t xml:space="preserve">Indemnification and Reimbursement for Payments on Behalf of a Member  </w:t>
            </w:r>
            <w:r>
              <w:rPr>
                <w:rFonts w:ascii="Times New Roman" w:cs="Times New Roman" w:eastAsia="Times New Roman" w:hAnsi="Times New Roman"/>
                <w:sz w:val="16"/>
                <w:szCs w:val="16"/>
                <w:color w:val="000000"/>
              </w:rPr>
              <w:t>21</w:t>
            </w:r>
          </w:p>
        </w:tc>
      </w:tr>
      <w:tr>
        <w:trPr>
          <w:trHeight w:val="280"/>
        </w:trPr>
        <w:tc>
          <w:tcPr>
            <w:tcW w:w="27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ARTICLE V BOARD; MANAGEMENT</w:t>
            </w: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Authority of Board</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22</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w:t>
            </w:r>
          </w:p>
        </w:tc>
        <w:tc>
          <w:tcPr>
            <w:tcW w:w="182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0000FF"/>
              </w:rPr>
              <w:t>Composition of the Board</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w:t>
            </w: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Board Actions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w:t>
            </w:r>
          </w:p>
        </w:tc>
        <w:tc>
          <w:tcPr>
            <w:tcW w:w="3460" w:type="dxa"/>
            <w:vAlign w:val="bottom"/>
            <w:gridSpan w:val="9"/>
          </w:tcPr>
          <w:p>
            <w:pPr>
              <w:ind w:left="80"/>
              <w:spacing w:after="0"/>
              <w:rPr>
                <w:sz w:val="20"/>
                <w:szCs w:val="20"/>
                <w:color w:val="auto"/>
              </w:rPr>
            </w:pPr>
            <w:r>
              <w:rPr>
                <w:rFonts w:ascii="Times New Roman" w:cs="Times New Roman" w:eastAsia="Times New Roman" w:hAnsi="Times New Roman"/>
                <w:sz w:val="16"/>
                <w:szCs w:val="16"/>
                <w:color w:val="0000FF"/>
                <w:w w:val="99"/>
              </w:rPr>
              <w:t>Actions Requiring Unanimous Consent of the Board</w:t>
            </w:r>
          </w:p>
        </w:tc>
        <w:tc>
          <w:tcPr>
            <w:tcW w:w="1920" w:type="dxa"/>
            <w:vAlign w:val="bottom"/>
          </w:tcPr>
          <w:p>
            <w:pPr>
              <w:jc w:val="right"/>
              <w:ind w:right="1540"/>
              <w:spacing w:after="0"/>
              <w:rPr>
                <w:sz w:val="20"/>
                <w:szCs w:val="20"/>
                <w:color w:val="auto"/>
              </w:rPr>
            </w:pPr>
            <w:r>
              <w:rPr>
                <w:rFonts w:ascii="Times New Roman" w:cs="Times New Roman" w:eastAsia="Times New Roman" w:hAnsi="Times New Roman"/>
                <w:sz w:val="16"/>
                <w:szCs w:val="16"/>
                <w:color w:val="auto"/>
              </w:rPr>
              <w:t>27</w:t>
            </w:r>
          </w:p>
        </w:tc>
      </w:tr>
      <w:tr>
        <w:trPr>
          <w:trHeight w:val="28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Officers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w:t>
            </w:r>
          </w:p>
        </w:tc>
        <w:tc>
          <w:tcPr>
            <w:tcW w:w="182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0000FF"/>
                <w:w w:val="98"/>
              </w:rPr>
              <w:t>Operating Plan and Budget</w:t>
            </w:r>
          </w:p>
        </w:tc>
        <w:tc>
          <w:tcPr>
            <w:tcW w:w="160" w:type="dxa"/>
            <w:vAlign w:val="bottom"/>
          </w:tcPr>
          <w:p>
            <w:pPr>
              <w:spacing w:after="0"/>
              <w:rPr>
                <w:sz w:val="23"/>
                <w:szCs w:val="23"/>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87"/>
              </w:rPr>
              <w:t>30</w:t>
            </w: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w:t>
            </w:r>
          </w:p>
        </w:tc>
        <w:tc>
          <w:tcPr>
            <w:tcW w:w="198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0000FF"/>
                <w:w w:val="99"/>
              </w:rPr>
              <w:t>Indemnification; Exculpation</w:t>
            </w: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w:t>
            </w:r>
          </w:p>
        </w:tc>
        <w:tc>
          <w:tcPr>
            <w:tcW w:w="238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0000FF"/>
              </w:rPr>
              <w:t>Dispute and Deadlock Resolution</w:t>
            </w:r>
          </w:p>
        </w:tc>
        <w:tc>
          <w:tcPr>
            <w:tcW w:w="10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34</w:t>
            </w: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w w:val="99"/>
              </w:rPr>
              <w:t>Additional Financing</w:t>
            </w:r>
          </w:p>
        </w:tc>
        <w:tc>
          <w:tcPr>
            <w:tcW w:w="1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6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 xml:space="preserve">ARTICLE VI RIGHTS AND OBLIGATIONS OF MEMBERS; MEMBERS’ MEETINGS  </w:t>
            </w:r>
            <w:r>
              <w:rPr>
                <w:rFonts w:ascii="Times New Roman" w:cs="Times New Roman" w:eastAsia="Times New Roman" w:hAnsi="Times New Roman"/>
                <w:sz w:val="16"/>
                <w:szCs w:val="16"/>
                <w:color w:val="000000"/>
              </w:rPr>
              <w:t>34</w:t>
            </w:r>
          </w:p>
        </w:tc>
      </w:tr>
      <w:tr>
        <w:trPr>
          <w:trHeight w:val="28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w:t>
            </w:r>
          </w:p>
        </w:tc>
        <w:tc>
          <w:tcPr>
            <w:tcW w:w="2380" w:type="dxa"/>
            <w:vAlign w:val="bottom"/>
            <w:gridSpan w:val="8"/>
          </w:tcPr>
          <w:p>
            <w:pPr>
              <w:ind w:left="80"/>
              <w:spacing w:after="0"/>
              <w:rPr>
                <w:sz w:val="20"/>
                <w:szCs w:val="20"/>
                <w:color w:val="auto"/>
              </w:rPr>
            </w:pPr>
            <w:r>
              <w:rPr>
                <w:rFonts w:ascii="Times New Roman" w:cs="Times New Roman" w:eastAsia="Times New Roman" w:hAnsi="Times New Roman"/>
                <w:sz w:val="16"/>
                <w:szCs w:val="16"/>
                <w:color w:val="0000FF"/>
              </w:rPr>
              <w:t>Limitation of Liability of Members</w:t>
            </w:r>
          </w:p>
        </w:tc>
        <w:tc>
          <w:tcPr>
            <w:tcW w:w="10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rPr>
              <w:t>34</w:t>
            </w:r>
          </w:p>
        </w:tc>
        <w:tc>
          <w:tcPr>
            <w:tcW w:w="1920" w:type="dxa"/>
            <w:vAlign w:val="bottom"/>
          </w:tcPr>
          <w:p>
            <w:pPr>
              <w:spacing w:after="0"/>
              <w:rPr>
                <w:sz w:val="24"/>
                <w:szCs w:val="24"/>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w:t>
            </w: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w w:val="99"/>
              </w:rPr>
              <w:t>Members’ Right to Act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w:t>
            </w:r>
          </w:p>
        </w:tc>
        <w:tc>
          <w:tcPr>
            <w:tcW w:w="3460" w:type="dxa"/>
            <w:vAlign w:val="bottom"/>
            <w:gridSpan w:val="9"/>
          </w:tcPr>
          <w:p>
            <w:pPr>
              <w:ind w:left="80"/>
              <w:spacing w:after="0"/>
              <w:rPr>
                <w:sz w:val="20"/>
                <w:szCs w:val="20"/>
                <w:color w:val="auto"/>
              </w:rPr>
            </w:pPr>
            <w:r>
              <w:rPr>
                <w:rFonts w:ascii="Times New Roman" w:cs="Times New Roman" w:eastAsia="Times New Roman" w:hAnsi="Times New Roman"/>
                <w:sz w:val="16"/>
                <w:szCs w:val="16"/>
                <w:color w:val="0000FF"/>
              </w:rPr>
              <w:t xml:space="preserve">Actions Requiring Member Consent.  </w:t>
            </w:r>
            <w:r>
              <w:rPr>
                <w:rFonts w:ascii="Times New Roman" w:cs="Times New Roman" w:eastAsia="Times New Roman" w:hAnsi="Times New Roman"/>
                <w:sz w:val="16"/>
                <w:szCs w:val="16"/>
                <w:color w:val="000000"/>
              </w:rPr>
              <w:t>37</w:t>
            </w: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No Right of Partition</w:t>
            </w:r>
          </w:p>
        </w:tc>
        <w:tc>
          <w:tcPr>
            <w:tcW w:w="1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w:t>
            </w:r>
          </w:p>
        </w:tc>
        <w:tc>
          <w:tcPr>
            <w:tcW w:w="3460" w:type="dxa"/>
            <w:vAlign w:val="bottom"/>
            <w:gridSpan w:val="9"/>
          </w:tcPr>
          <w:p>
            <w:pPr>
              <w:ind w:left="80"/>
              <w:spacing w:after="0"/>
              <w:rPr>
                <w:sz w:val="20"/>
                <w:szCs w:val="20"/>
                <w:color w:val="auto"/>
              </w:rPr>
            </w:pPr>
            <w:r>
              <w:rPr>
                <w:rFonts w:ascii="Times New Roman" w:cs="Times New Roman" w:eastAsia="Times New Roman" w:hAnsi="Times New Roman"/>
                <w:sz w:val="16"/>
                <w:szCs w:val="16"/>
                <w:color w:val="0000FF"/>
              </w:rPr>
              <w:t>Investment Opportunities and Conflicts of Interest</w:t>
            </w:r>
          </w:p>
        </w:tc>
        <w:tc>
          <w:tcPr>
            <w:tcW w:w="1920" w:type="dxa"/>
            <w:vAlign w:val="bottom"/>
          </w:tcPr>
          <w:p>
            <w:pPr>
              <w:jc w:val="right"/>
              <w:ind w:right="1680"/>
              <w:spacing w:after="0"/>
              <w:rPr>
                <w:sz w:val="20"/>
                <w:szCs w:val="20"/>
                <w:color w:val="auto"/>
              </w:rPr>
            </w:pPr>
            <w:r>
              <w:rPr>
                <w:rFonts w:ascii="Times New Roman" w:cs="Times New Roman" w:eastAsia="Times New Roman" w:hAnsi="Times New Roman"/>
                <w:sz w:val="16"/>
                <w:szCs w:val="16"/>
                <w:color w:val="auto"/>
                <w:w w:val="87"/>
              </w:rPr>
              <w:t>39</w:t>
            </w:r>
          </w:p>
        </w:tc>
      </w:tr>
      <w:tr>
        <w:trPr>
          <w:trHeight w:val="28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Confidentiality</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Legal Requirements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6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 xml:space="preserve">ARTICLE VII BOOKS, RECORDS, ACCOUNTING AND REPORTS  </w:t>
            </w:r>
            <w:r>
              <w:rPr>
                <w:rFonts w:ascii="Times New Roman" w:cs="Times New Roman" w:eastAsia="Times New Roman" w:hAnsi="Times New Roman"/>
                <w:sz w:val="16"/>
                <w:szCs w:val="16"/>
                <w:color w:val="000000"/>
              </w:rPr>
              <w:t>42</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w:t>
            </w:r>
          </w:p>
        </w:tc>
        <w:tc>
          <w:tcPr>
            <w:tcW w:w="182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0000FF"/>
              </w:rPr>
              <w:t>Records and Accounting</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87"/>
              </w:rPr>
              <w:t>42</w:t>
            </w: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Reports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43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8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9"/>
              </w:rPr>
              <w:t>Reporting</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w:t>
            </w:r>
          </w:p>
        </w:tc>
        <w:tc>
          <w:tcPr>
            <w:tcW w:w="198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0000FF"/>
                <w:w w:val="98"/>
              </w:rPr>
              <w:t>Waiver of Information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ii</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20"/>
          </w:cols>
          <w:pgMar w:left="300" w:top="127" w:right="379" w:bottom="1440" w:gutter="0" w:footer="0" w:header="0"/>
        </w:sectPr>
      </w:pPr>
    </w:p>
    <w:bookmarkStart w:id="130" w:name="page131"/>
    <w:bookmarkEnd w:id="13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ARTICLE VIII TAX MATTERS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8.1</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Preparation of Tax Returns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8.2</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Tax Elections</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8.3</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Tax Controversies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8.4</w:t>
            </w:r>
          </w:p>
        </w:tc>
        <w:tc>
          <w:tcPr>
            <w:tcW w:w="32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0000FF"/>
              </w:rPr>
              <w:t xml:space="preserve">Distribution of Warrant to Initial SB Member  </w:t>
            </w:r>
            <w:r>
              <w:rPr>
                <w:rFonts w:ascii="Times New Roman" w:cs="Times New Roman" w:eastAsia="Times New Roman" w:hAnsi="Times New Roman"/>
                <w:sz w:val="16"/>
                <w:szCs w:val="16"/>
                <w:color w:val="000000"/>
              </w:rPr>
              <w:t>45</w:t>
            </w:r>
          </w:p>
        </w:tc>
      </w:tr>
      <w:tr>
        <w:trPr>
          <w:trHeight w:val="280"/>
        </w:trPr>
        <w:tc>
          <w:tcPr>
            <w:tcW w:w="26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ARTICLE IX TRANSFER OF UNITS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46</w:t>
            </w:r>
          </w:p>
        </w:tc>
        <w:tc>
          <w:tcPr>
            <w:tcW w:w="1100" w:type="dxa"/>
            <w:vAlign w:val="bottom"/>
          </w:tcPr>
          <w:p>
            <w:pPr>
              <w:spacing w:after="0"/>
              <w:rPr>
                <w:sz w:val="24"/>
                <w:szCs w:val="24"/>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9.1</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Overview of Transfers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46</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9.2</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Right of First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9.3</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Drag Along Obligations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9.4</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 xml:space="preserve">Effect of Assignment  </w:t>
            </w:r>
            <w:r>
              <w:rPr>
                <w:rFonts w:ascii="Times New Roman" w:cs="Times New Roman" w:eastAsia="Times New Roman" w:hAnsi="Times New Roman"/>
                <w:sz w:val="16"/>
                <w:szCs w:val="16"/>
                <w:color w:val="000000"/>
              </w:rPr>
              <w:t>51</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9.5</w:t>
            </w: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Additional Transfer Procedures</w:t>
            </w:r>
          </w:p>
        </w:tc>
        <w:tc>
          <w:tcPr>
            <w:tcW w:w="110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rPr>
              <w:t>52</w:t>
            </w: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9.6</w:t>
            </w:r>
          </w:p>
        </w:tc>
        <w:tc>
          <w:tcPr>
            <w:tcW w:w="32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0000FF"/>
              </w:rPr>
              <w:t xml:space="preserve">Unit Certificates; Legend; Article 8  </w:t>
            </w:r>
            <w:r>
              <w:rPr>
                <w:rFonts w:ascii="Times New Roman" w:cs="Times New Roman" w:eastAsia="Times New Roman" w:hAnsi="Times New Roman"/>
                <w:sz w:val="16"/>
                <w:szCs w:val="16"/>
                <w:color w:val="000000"/>
              </w:rPr>
              <w:t>52</w:t>
            </w: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9.7</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95"/>
              </w:rPr>
              <w:t>Void Transfers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9.8</w:t>
            </w:r>
          </w:p>
        </w:tc>
        <w:tc>
          <w:tcPr>
            <w:tcW w:w="18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w w:val="99"/>
              </w:rPr>
              <w:t>Transfer Fees and Expenses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9.9</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Exit Events.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87"/>
              </w:rPr>
              <w:t>54</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960" w:type="dxa"/>
            <w:vAlign w:val="bottom"/>
            <w:gridSpan w:val="6"/>
          </w:tcPr>
          <w:p>
            <w:pPr>
              <w:ind w:left="480"/>
              <w:spacing w:after="0"/>
              <w:rPr>
                <w:sz w:val="20"/>
                <w:szCs w:val="20"/>
                <w:color w:val="auto"/>
              </w:rPr>
            </w:pPr>
            <w:r>
              <w:rPr>
                <w:rFonts w:ascii="Times New Roman" w:cs="Times New Roman" w:eastAsia="Times New Roman" w:hAnsi="Times New Roman"/>
                <w:sz w:val="16"/>
                <w:szCs w:val="16"/>
                <w:color w:val="0000FF"/>
              </w:rPr>
              <w:t xml:space="preserve">9.10  Company Approved Sale.  </w:t>
            </w:r>
            <w:r>
              <w:rPr>
                <w:rFonts w:ascii="Times New Roman" w:cs="Times New Roman" w:eastAsia="Times New Roman" w:hAnsi="Times New Roman"/>
                <w:sz w:val="16"/>
                <w:szCs w:val="16"/>
                <w:color w:val="000000"/>
              </w:rPr>
              <w:t>56</w:t>
            </w:r>
          </w:p>
        </w:tc>
        <w:tc>
          <w:tcPr>
            <w:tcW w:w="1100" w:type="dxa"/>
            <w:vAlign w:val="bottom"/>
          </w:tcPr>
          <w:p>
            <w:pPr>
              <w:spacing w:after="0"/>
              <w:rPr>
                <w:sz w:val="23"/>
                <w:szCs w:val="23"/>
                <w:color w:val="auto"/>
              </w:rPr>
            </w:pPr>
          </w:p>
        </w:tc>
      </w:tr>
      <w:tr>
        <w:trPr>
          <w:trHeight w:val="28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9.11</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Security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9.12</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rPr>
              <w:t>Blocker Corporation Sale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100" w:type="dxa"/>
            <w:vAlign w:val="bottom"/>
          </w:tcPr>
          <w:p>
            <w:pPr>
              <w:spacing w:after="0"/>
              <w:rPr>
                <w:sz w:val="23"/>
                <w:szCs w:val="23"/>
                <w:color w:val="auto"/>
              </w:rPr>
            </w:pPr>
          </w:p>
        </w:tc>
      </w:tr>
      <w:tr>
        <w:trPr>
          <w:trHeight w:val="270"/>
        </w:trPr>
        <w:tc>
          <w:tcPr>
            <w:tcW w:w="2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ARTICLE X ADMISSION OF MEMBERS</w:t>
            </w:r>
          </w:p>
        </w:tc>
        <w:tc>
          <w:tcPr>
            <w:tcW w:w="110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58</w:t>
            </w: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10.1</w:t>
            </w: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Substituted Members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58</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10.2</w:t>
            </w: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Additional Members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58</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2"/>
              </w:rPr>
              <w:t>12.1</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 xml:space="preserve">Dissolution  </w:t>
            </w:r>
            <w:r>
              <w:rPr>
                <w:rFonts w:ascii="Times New Roman" w:cs="Times New Roman" w:eastAsia="Times New Roman" w:hAnsi="Times New Roman"/>
                <w:sz w:val="16"/>
                <w:szCs w:val="16"/>
                <w:color w:val="000000"/>
              </w:rPr>
              <w:t>59</w:t>
            </w:r>
          </w:p>
        </w:tc>
        <w:tc>
          <w:tcPr>
            <w:tcW w:w="640" w:type="dxa"/>
            <w:vAlign w:val="bottom"/>
          </w:tcPr>
          <w:p>
            <w:pPr>
              <w:spacing w:after="0"/>
              <w:rPr>
                <w:sz w:val="18"/>
                <w:szCs w:val="18"/>
                <w:color w:val="auto"/>
              </w:rPr>
            </w:pPr>
          </w:p>
        </w:tc>
      </w:tr>
      <w:tr>
        <w:trPr>
          <w:trHeight w:val="27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2"/>
              </w:rPr>
              <w:t>12.2</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9"/>
              </w:rPr>
              <w:t>Liquidation and Termination</w:t>
            </w:r>
          </w:p>
        </w:tc>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2"/>
              </w:rPr>
              <w:t>12.3</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Securityholders Agreement</w:t>
            </w:r>
          </w:p>
        </w:tc>
        <w:tc>
          <w:tcPr>
            <w:tcW w:w="64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61</w:t>
            </w:r>
          </w:p>
        </w:tc>
      </w:tr>
      <w:tr>
        <w:trPr>
          <w:trHeight w:val="28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2"/>
              </w:rPr>
              <w:t>12.4</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Certificate of Cancellation</w:t>
            </w:r>
          </w:p>
        </w:tc>
        <w:tc>
          <w:tcPr>
            <w:tcW w:w="6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87"/>
              </w:rPr>
              <w:t>61</w:t>
            </w:r>
          </w:p>
        </w:tc>
      </w:tr>
      <w:tr>
        <w:trPr>
          <w:trHeight w:val="27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2"/>
              </w:rPr>
              <w:t>12.5</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Reasonable Time for Winding Up  </w:t>
            </w:r>
            <w:r>
              <w:rPr>
                <w:rFonts w:ascii="Times New Roman" w:cs="Times New Roman" w:eastAsia="Times New Roman" w:hAnsi="Times New Roman"/>
                <w:sz w:val="16"/>
                <w:szCs w:val="16"/>
                <w:color w:val="000000"/>
              </w:rPr>
              <w:t>61</w:t>
            </w:r>
          </w:p>
        </w:tc>
      </w:tr>
      <w:tr>
        <w:trPr>
          <w:trHeight w:val="27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2"/>
              </w:rPr>
              <w:t>12.6</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 xml:space="preserve">Return of Capital  </w:t>
            </w:r>
            <w:r>
              <w:rPr>
                <w:rFonts w:ascii="Times New Roman" w:cs="Times New Roman" w:eastAsia="Times New Roman" w:hAnsi="Times New Roman"/>
                <w:sz w:val="16"/>
                <w:szCs w:val="16"/>
                <w:color w:val="000000"/>
              </w:rPr>
              <w:t>61</w:t>
            </w:r>
          </w:p>
        </w:tc>
        <w:tc>
          <w:tcPr>
            <w:tcW w:w="640" w:type="dxa"/>
            <w:vAlign w:val="bottom"/>
          </w:tcPr>
          <w:p>
            <w:pPr>
              <w:spacing w:after="0"/>
              <w:rPr>
                <w:sz w:val="23"/>
                <w:szCs w:val="23"/>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iii</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20"/>
          </w:cols>
          <w:pgMar w:left="300" w:top="127" w:right="379" w:bottom="1440" w:gutter="0" w:footer="0" w:header="0"/>
        </w:sectPr>
      </w:pPr>
    </w:p>
    <w:bookmarkStart w:id="131" w:name="page132"/>
    <w:bookmarkEnd w:id="131"/>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ARTICLE XIII VALUATION</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61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13.1</w:t>
            </w: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Exit Fair Market Value</w:t>
            </w:r>
          </w:p>
        </w:tc>
        <w:tc>
          <w:tcPr>
            <w:tcW w:w="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13.2</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w w:val="96"/>
              </w:rPr>
              <w:t>Fair Market Value</w:t>
            </w:r>
          </w:p>
        </w:tc>
        <w:tc>
          <w:tcPr>
            <w:tcW w:w="1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62</w:t>
            </w: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28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ARTICLE XIV GENERAL PROVISIONS</w:t>
            </w:r>
          </w:p>
        </w:tc>
        <w:tc>
          <w:tcPr>
            <w:tcW w:w="2560" w:type="dxa"/>
            <w:vAlign w:val="bottom"/>
          </w:tcPr>
          <w:p>
            <w:pPr>
              <w:jc w:val="right"/>
              <w:ind w:right="2280"/>
              <w:spacing w:after="0"/>
              <w:rPr>
                <w:sz w:val="20"/>
                <w:szCs w:val="20"/>
                <w:color w:val="auto"/>
              </w:rPr>
            </w:pPr>
            <w:r>
              <w:rPr>
                <w:rFonts w:ascii="Times New Roman" w:cs="Times New Roman" w:eastAsia="Times New Roman" w:hAnsi="Times New Roman"/>
                <w:sz w:val="16"/>
                <w:szCs w:val="16"/>
                <w:color w:val="auto"/>
              </w:rPr>
              <w:t>63</w:t>
            </w: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w:t>
            </w: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Amendments; Waivers</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2560" w:type="dxa"/>
            <w:vAlign w:val="bottom"/>
          </w:tcPr>
          <w:p>
            <w:pPr>
              <w:spacing w:after="0"/>
              <w:rPr>
                <w:sz w:val="23"/>
                <w:szCs w:val="23"/>
                <w:color w:val="auto"/>
              </w:rPr>
            </w:pPr>
          </w:p>
        </w:tc>
      </w:tr>
      <w:tr>
        <w:trPr>
          <w:trHeight w:val="28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14.2</w:t>
            </w: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0000FF"/>
              </w:rPr>
              <w:t>Title to the Company’s Assets</w:t>
            </w:r>
          </w:p>
        </w:tc>
        <w:tc>
          <w:tcPr>
            <w:tcW w:w="2560" w:type="dxa"/>
            <w:vAlign w:val="bottom"/>
          </w:tcPr>
          <w:p>
            <w:pPr>
              <w:jc w:val="right"/>
              <w:ind w:right="2200"/>
              <w:spacing w:after="0"/>
              <w:rPr>
                <w:sz w:val="20"/>
                <w:szCs w:val="20"/>
                <w:color w:val="auto"/>
              </w:rPr>
            </w:pPr>
            <w:r>
              <w:rPr>
                <w:rFonts w:ascii="Times New Roman" w:cs="Times New Roman" w:eastAsia="Times New Roman" w:hAnsi="Times New Roman"/>
                <w:sz w:val="16"/>
                <w:szCs w:val="16"/>
                <w:color w:val="auto"/>
              </w:rPr>
              <w:t>63</w:t>
            </w: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14.3</w:t>
            </w: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Cumulative Remedies</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64</w:t>
            </w: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14.4</w:t>
            </w: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Successors and Assigns</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14.5</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w w:val="98"/>
              </w:rPr>
              <w:t>Severability</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14.6</w:t>
            </w:r>
          </w:p>
        </w:tc>
        <w:tc>
          <w:tcPr>
            <w:tcW w:w="456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0000FF"/>
              </w:rPr>
              <w:t xml:space="preserve">Counterparts; Binding Agreement; Delivery by Electronic Means  </w:t>
            </w:r>
            <w:r>
              <w:rPr>
                <w:rFonts w:ascii="Times New Roman" w:cs="Times New Roman" w:eastAsia="Times New Roman" w:hAnsi="Times New Roman"/>
                <w:sz w:val="16"/>
                <w:szCs w:val="16"/>
                <w:color w:val="000000"/>
              </w:rPr>
              <w:t>64</w:t>
            </w:r>
          </w:p>
        </w:tc>
      </w:tr>
      <w:tr>
        <w:trPr>
          <w:trHeight w:val="28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14.7</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Disputes.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14.8</w:t>
            </w: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Addresses and Notices</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14.9</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Creditors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14.10</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6"/>
              </w:rPr>
              <w:t>No Waiver</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14.11</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Further Action</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w:t>
            </w: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14.12</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Expenses</w:t>
            </w:r>
          </w:p>
        </w:tc>
        <w:tc>
          <w:tcPr>
            <w:tcW w:w="60" w:type="dxa"/>
            <w:vAlign w:val="bottom"/>
          </w:tcPr>
          <w:p>
            <w:pPr>
              <w:spacing w:after="0"/>
              <w:rPr>
                <w:sz w:val="23"/>
                <w:szCs w:val="23"/>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8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14.13</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rPr>
              <w:t>Not a Voting Trust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w:t>
            </w:r>
          </w:p>
        </w:tc>
        <w:tc>
          <w:tcPr>
            <w:tcW w:w="2560" w:type="dxa"/>
            <w:vAlign w:val="bottom"/>
          </w:tcPr>
          <w:p>
            <w:pPr>
              <w:spacing w:after="0"/>
              <w:rPr>
                <w:sz w:val="24"/>
                <w:szCs w:val="24"/>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14.14</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rPr>
              <w:t>Entire Agreement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14.15</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Survival</w:t>
            </w:r>
          </w:p>
        </w:tc>
        <w:tc>
          <w:tcPr>
            <w:tcW w:w="60" w:type="dxa"/>
            <w:vAlign w:val="bottom"/>
          </w:tcPr>
          <w:p>
            <w:pPr>
              <w:spacing w:after="0"/>
              <w:rPr>
                <w:sz w:val="23"/>
                <w:szCs w:val="23"/>
                <w:color w:val="auto"/>
              </w:rPr>
            </w:pP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87"/>
              </w:rPr>
              <w:t>68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70"/>
        </w:trPr>
        <w:tc>
          <w:tcPr>
            <w:tcW w:w="8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14.16</w:t>
            </w:r>
          </w:p>
        </w:tc>
        <w:tc>
          <w:tcPr>
            <w:tcW w:w="456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0000FF"/>
              </w:rPr>
              <w:t xml:space="preserve">Securities Subject to Agreement  </w:t>
            </w:r>
            <w:r>
              <w:rPr>
                <w:rFonts w:ascii="Times New Roman" w:cs="Times New Roman" w:eastAsia="Times New Roman" w:hAnsi="Times New Roman"/>
                <w:sz w:val="16"/>
                <w:szCs w:val="16"/>
                <w:color w:val="000000"/>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iv</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20"/>
          </w:cols>
          <w:pgMar w:left="300" w:top="127" w:right="379" w:bottom="1440" w:gutter="0" w:footer="0" w:header="0"/>
        </w:sectPr>
      </w:pPr>
    </w:p>
    <w:bookmarkStart w:id="132" w:name="page133"/>
    <w:bookmarkEnd w:id="132"/>
    <w:p>
      <w:pPr>
        <w:ind w:left="5280"/>
        <w:spacing w:after="0"/>
        <w:rPr>
          <w:sz w:val="20"/>
          <w:szCs w:val="20"/>
          <w:color w:val="auto"/>
        </w:rPr>
      </w:pPr>
      <w:r>
        <w:rPr>
          <w:rFonts w:ascii="Times New Roman" w:cs="Times New Roman" w:eastAsia="Times New Roman" w:hAnsi="Times New Roman"/>
          <w:sz w:val="16"/>
          <w:szCs w:val="16"/>
          <w:color w:val="auto"/>
        </w:rPr>
        <w:t>EXHIBITS</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Exhibit A</w:t>
      </w:r>
      <w:r>
        <w:rPr>
          <w:sz w:val="20"/>
          <w:szCs w:val="20"/>
          <w:color w:val="auto"/>
        </w:rPr>
        <w:tab/>
      </w:r>
      <w:r>
        <w:rPr>
          <w:rFonts w:ascii="Times New Roman" w:cs="Times New Roman" w:eastAsia="Times New Roman" w:hAnsi="Times New Roman"/>
          <w:sz w:val="15"/>
          <w:szCs w:val="15"/>
          <w:color w:val="auto"/>
        </w:rPr>
        <w:t>Form of Joinder</w:t>
      </w:r>
    </w:p>
    <w:p>
      <w:pPr>
        <w:spacing w:after="0" w:line="167"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6"/>
          <w:szCs w:val="16"/>
          <w:color w:val="auto"/>
        </w:rPr>
        <w:t>SCHEDULES</w:t>
      </w:r>
    </w:p>
    <w:p>
      <w:pPr>
        <w:spacing w:after="0" w:line="1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color w:val="auto"/>
        </w:rPr>
        <w:t>Schedule 1.1</w:t>
      </w:r>
      <w:r>
        <w:rPr>
          <w:sz w:val="20"/>
          <w:szCs w:val="20"/>
          <w:color w:val="auto"/>
        </w:rPr>
        <w:tab/>
      </w:r>
      <w:r>
        <w:rPr>
          <w:rFonts w:ascii="Times New Roman" w:cs="Times New Roman" w:eastAsia="Times New Roman" w:hAnsi="Times New Roman"/>
          <w:sz w:val="15"/>
          <w:szCs w:val="15"/>
          <w:color w:val="auto"/>
        </w:rPr>
        <w:t>Definitions</w:t>
      </w:r>
    </w:p>
    <w:p>
      <w:pPr>
        <w:spacing w:after="0" w:line="2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color w:val="auto"/>
        </w:rPr>
        <w:t>Schedule A</w:t>
      </w:r>
      <w:r>
        <w:rPr>
          <w:sz w:val="20"/>
          <w:szCs w:val="20"/>
          <w:color w:val="auto"/>
        </w:rPr>
        <w:tab/>
      </w:r>
      <w:r>
        <w:rPr>
          <w:rFonts w:ascii="Times New Roman" w:cs="Times New Roman" w:eastAsia="Times New Roman" w:hAnsi="Times New Roman"/>
          <w:sz w:val="15"/>
          <w:szCs w:val="15"/>
          <w:color w:val="auto"/>
        </w:rPr>
        <w:t>Equity Ledger</w:t>
      </w:r>
    </w:p>
    <w:p>
      <w:pPr>
        <w:spacing w:after="0" w:line="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color w:val="auto"/>
        </w:rPr>
        <w:t>Schedule B</w:t>
      </w:r>
      <w:r>
        <w:rPr>
          <w:sz w:val="20"/>
          <w:szCs w:val="20"/>
          <w:color w:val="auto"/>
        </w:rPr>
        <w:tab/>
      </w:r>
      <w:r>
        <w:rPr>
          <w:rFonts w:ascii="Times New Roman" w:cs="Times New Roman" w:eastAsia="Times New Roman" w:hAnsi="Times New Roman"/>
          <w:sz w:val="15"/>
          <w:szCs w:val="15"/>
          <w:color w:val="auto"/>
        </w:rPr>
        <w:t>Symbotic Competitors</w:t>
      </w:r>
    </w:p>
    <w:p>
      <w:pPr>
        <w:spacing w:after="0" w:line="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color w:val="auto"/>
        </w:rPr>
        <w:t>Schedule C</w:t>
      </w:r>
      <w:r>
        <w:rPr>
          <w:sz w:val="20"/>
          <w:szCs w:val="20"/>
          <w:color w:val="auto"/>
        </w:rPr>
        <w:tab/>
      </w:r>
      <w:r>
        <w:rPr>
          <w:rFonts w:ascii="Times New Roman" w:cs="Times New Roman" w:eastAsia="Times New Roman" w:hAnsi="Times New Roman"/>
          <w:sz w:val="15"/>
          <w:szCs w:val="15"/>
          <w:color w:val="auto"/>
        </w:rPr>
        <w:t>Permitted Syndication Parties</w:t>
      </w:r>
    </w:p>
    <w:p>
      <w:pPr>
        <w:spacing w:after="0" w:line="3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v</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0159"/>
          </w:cols>
          <w:pgMar w:left="300" w:top="1090"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color w:val="auto"/>
        </w:rPr>
        <w:t>AMENDED AND RESTATED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LIMITED LIABILITY COMPANY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GREENBOX SYSTEMS LLC</w:t>
      </w:r>
    </w:p>
    <w:p>
      <w:pPr>
        <w:spacing w:after="0" w:line="138" w:lineRule="exact"/>
        <w:rPr>
          <w:sz w:val="20"/>
          <w:szCs w:val="20"/>
          <w:color w:val="auto"/>
        </w:rPr>
      </w:pPr>
    </w:p>
    <w:p>
      <w:pPr>
        <w:jc w:val="both"/>
        <w:ind w:firstLine="481"/>
        <w:spacing w:after="0" w:line="256" w:lineRule="auto"/>
        <w:rPr>
          <w:sz w:val="20"/>
          <w:szCs w:val="20"/>
          <w:color w:val="auto"/>
        </w:rPr>
      </w:pPr>
      <w:r>
        <w:rPr>
          <w:rFonts w:ascii="Times New Roman" w:cs="Times New Roman" w:eastAsia="Times New Roman" w:hAnsi="Times New Roman"/>
          <w:sz w:val="16"/>
          <w:szCs w:val="16"/>
          <w:color w:val="auto"/>
        </w:rPr>
        <w:t>This AMENDED AND RESTATED LIMITED LIABILITY COMPANY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of GreenBox Systems LLC, a Delaware limited liability company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is entered into as of September 25, 2024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among the Company, Symbotic Holdings LLC, a Delaware limited liability company (the “</w:t>
      </w:r>
      <w:r>
        <w:rPr>
          <w:rFonts w:ascii="Times New Roman" w:cs="Times New Roman" w:eastAsia="Times New Roman" w:hAnsi="Times New Roman"/>
          <w:sz w:val="16"/>
          <w:szCs w:val="16"/>
          <w:u w:val="single" w:color="auto"/>
          <w:color w:val="auto"/>
        </w:rPr>
        <w:t>Initial Symbotic Member</w:t>
      </w:r>
      <w:r>
        <w:rPr>
          <w:rFonts w:ascii="Times New Roman" w:cs="Times New Roman" w:eastAsia="Times New Roman" w:hAnsi="Times New Roman"/>
          <w:sz w:val="16"/>
          <w:szCs w:val="16"/>
          <w:color w:val="auto"/>
        </w:rPr>
        <w:t>” and, together with any successor or Permitted Transferee thereof, the “</w:t>
      </w:r>
      <w:r>
        <w:rPr>
          <w:rFonts w:ascii="Times New Roman" w:cs="Times New Roman" w:eastAsia="Times New Roman" w:hAnsi="Times New Roman"/>
          <w:sz w:val="16"/>
          <w:szCs w:val="16"/>
          <w:u w:val="single" w:color="auto"/>
          <w:color w:val="auto"/>
        </w:rPr>
        <w:t>Symbotic Member</w:t>
      </w:r>
      <w:r>
        <w:rPr>
          <w:rFonts w:ascii="Times New Roman" w:cs="Times New Roman" w:eastAsia="Times New Roman" w:hAnsi="Times New Roman"/>
          <w:sz w:val="16"/>
          <w:szCs w:val="16"/>
          <w:color w:val="auto"/>
        </w:rPr>
        <w:t>”), Sunlight Investment Corp., a Delaware corporation (the “</w:t>
      </w:r>
      <w:r>
        <w:rPr>
          <w:rFonts w:ascii="Times New Roman" w:cs="Times New Roman" w:eastAsia="Times New Roman" w:hAnsi="Times New Roman"/>
          <w:sz w:val="16"/>
          <w:szCs w:val="16"/>
          <w:u w:val="single" w:color="auto"/>
          <w:color w:val="auto"/>
        </w:rPr>
        <w:t>Initial SB Member</w:t>
      </w:r>
      <w:r>
        <w:rPr>
          <w:rFonts w:ascii="Times New Roman" w:cs="Times New Roman" w:eastAsia="Times New Roman" w:hAnsi="Times New Roman"/>
          <w:sz w:val="16"/>
          <w:szCs w:val="16"/>
          <w:color w:val="auto"/>
        </w:rPr>
        <w:t>” and, together with any successor or Permitted Transferee thereof, the “</w:t>
      </w:r>
      <w:r>
        <w:rPr>
          <w:rFonts w:ascii="Times New Roman" w:cs="Times New Roman" w:eastAsia="Times New Roman" w:hAnsi="Times New Roman"/>
          <w:sz w:val="16"/>
          <w:szCs w:val="16"/>
          <w:u w:val="single" w:color="auto"/>
          <w:color w:val="auto"/>
        </w:rPr>
        <w:t>SB Member</w:t>
      </w:r>
      <w:r>
        <w:rPr>
          <w:rFonts w:ascii="Times New Roman" w:cs="Times New Roman" w:eastAsia="Times New Roman" w:hAnsi="Times New Roman"/>
          <w:sz w:val="16"/>
          <w:szCs w:val="16"/>
          <w:color w:val="auto"/>
        </w:rPr>
        <w:t>”), each as Members of the Company, and each other Person who may become a Member after the Effective Date in accordance with the provisions of this Agreement. The Company and the Members are each referred to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xml:space="preserve">.” Certain capitalized terms used in this Agreement have the meanings set forth in the body of this Agreement. Unless otherwise specified in this Agreement or the context otherwise requires, any capitalized terms used in this Agreement and not defined in the body of this Agreement have the meanings assigned to such terms on </w:t>
      </w:r>
      <w:r>
        <w:rPr>
          <w:rFonts w:ascii="Times New Roman" w:cs="Times New Roman" w:eastAsia="Times New Roman" w:hAnsi="Times New Roman"/>
          <w:sz w:val="16"/>
          <w:szCs w:val="16"/>
          <w:u w:val="single" w:color="auto"/>
          <w:color w:val="auto"/>
        </w:rPr>
        <w:t>Schedule 1.1</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RECITALS</w:t>
      </w:r>
    </w:p>
    <w:p>
      <w:pPr>
        <w:spacing w:after="0" w:line="147" w:lineRule="exact"/>
        <w:rPr>
          <w:sz w:val="20"/>
          <w:szCs w:val="20"/>
          <w:color w:val="auto"/>
        </w:rPr>
      </w:pPr>
    </w:p>
    <w:p>
      <w:pPr>
        <w:jc w:val="both"/>
        <w:ind w:firstLine="481"/>
        <w:spacing w:after="0" w:line="270" w:lineRule="auto"/>
        <w:rPr>
          <w:sz w:val="20"/>
          <w:szCs w:val="20"/>
          <w:color w:val="auto"/>
        </w:rPr>
      </w:pPr>
      <w:r>
        <w:rPr>
          <w:rFonts w:ascii="Times New Roman" w:cs="Times New Roman" w:eastAsia="Times New Roman" w:hAnsi="Times New Roman"/>
          <w:sz w:val="16"/>
          <w:szCs w:val="16"/>
          <w:color w:val="auto"/>
        </w:rPr>
        <w:t>A. On July 23, 2023 (the “</w:t>
      </w:r>
      <w:r>
        <w:rPr>
          <w:rFonts w:ascii="Times New Roman" w:cs="Times New Roman" w:eastAsia="Times New Roman" w:hAnsi="Times New Roman"/>
          <w:sz w:val="16"/>
          <w:szCs w:val="16"/>
          <w:u w:val="single" w:color="auto"/>
          <w:color w:val="auto"/>
        </w:rPr>
        <w:t>Original LLCA Effective Date</w:t>
      </w:r>
      <w:r>
        <w:rPr>
          <w:rFonts w:ascii="Times New Roman" w:cs="Times New Roman" w:eastAsia="Times New Roman" w:hAnsi="Times New Roman"/>
          <w:sz w:val="16"/>
          <w:szCs w:val="16"/>
          <w:color w:val="auto"/>
        </w:rPr>
        <w:t>”), a certificate of formation was filed and recorded in the office of the Secretary of State of the State of Delaware, pursuant to the provisions of the Delaware Act, on behalf of the Company (the “</w:t>
      </w:r>
      <w:r>
        <w:rPr>
          <w:rFonts w:ascii="Times New Roman" w:cs="Times New Roman" w:eastAsia="Times New Roman" w:hAnsi="Times New Roman"/>
          <w:sz w:val="16"/>
          <w:szCs w:val="16"/>
          <w:u w:val="single" w:color="auto"/>
          <w:color w:val="auto"/>
        </w:rPr>
        <w:t>Original Certificate</w:t>
      </w:r>
      <w:r>
        <w:rPr>
          <w:rFonts w:ascii="Times New Roman" w:cs="Times New Roman" w:eastAsia="Times New Roman" w:hAnsi="Times New Roman"/>
          <w:sz w:val="16"/>
          <w:szCs w:val="16"/>
          <w:color w:val="auto"/>
        </w:rPr>
        <w:t>” and, as amended, restated or amended and restated from time to time pursuant to the terms hereof and the Delaware Act, the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w:t>
      </w:r>
    </w:p>
    <w:p>
      <w:pPr>
        <w:spacing w:after="0" w:line="110"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B. On the Original LLCA Effective Date, the Company, the Initial SB Member, the Initial Symbotic Member, Symbotic Inc. and Symbotic LLC entered into that certain Framework Agreement (the “</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and the Closing as defined in and contemplated by the Framework Agreement has been consummated as of the Original LLCA Effective Date.</w:t>
      </w:r>
    </w:p>
    <w:p>
      <w:pPr>
        <w:spacing w:after="0" w:line="114"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C. On the Original LLCA Effective Date, Symbotic LLC and the Company entered into that certain Master Services, License and Equipment Agreement (the “</w:t>
      </w:r>
      <w:r>
        <w:rPr>
          <w:rFonts w:ascii="Times New Roman" w:cs="Times New Roman" w:eastAsia="Times New Roman" w:hAnsi="Times New Roman"/>
          <w:sz w:val="16"/>
          <w:szCs w:val="16"/>
          <w:u w:val="single" w:color="auto"/>
          <w:color w:val="auto"/>
        </w:rPr>
        <w:t>Commercial Agreement</w:t>
      </w:r>
      <w:r>
        <w:rPr>
          <w:rFonts w:ascii="Times New Roman" w:cs="Times New Roman" w:eastAsia="Times New Roman" w:hAnsi="Times New Roman"/>
          <w:sz w:val="16"/>
          <w:szCs w:val="16"/>
          <w:color w:val="auto"/>
        </w:rPr>
        <w:t>”), which sets forth the terms, conditions, rights and obligations governing the design, installation, implementation and operation of the Symbotic Systems (as defined in the Commercial Agreement) by Symbotic LLC for the Company, among other things.</w:t>
      </w:r>
    </w:p>
    <w:p>
      <w:pPr>
        <w:spacing w:after="0" w:line="114"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D. On the Original LLCA Effective Date, the Parties entered into a limited liability company agreement (the “</w:t>
      </w:r>
      <w:r>
        <w:rPr>
          <w:rFonts w:ascii="Times New Roman" w:cs="Times New Roman" w:eastAsia="Times New Roman" w:hAnsi="Times New Roman"/>
          <w:sz w:val="16"/>
          <w:szCs w:val="16"/>
          <w:u w:val="single" w:color="auto"/>
          <w:color w:val="auto"/>
        </w:rPr>
        <w:t>Original LLCA</w:t>
      </w:r>
      <w:r>
        <w:rPr>
          <w:rFonts w:ascii="Times New Roman" w:cs="Times New Roman" w:eastAsia="Times New Roman" w:hAnsi="Times New Roman"/>
          <w:sz w:val="16"/>
          <w:szCs w:val="16"/>
          <w:color w:val="auto"/>
        </w:rPr>
        <w:t>”) to set forth their understandings with respect to their interests, rights and obligations relating to the Company, the management and operation of the Company and the economic arrangement among the Parties relating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34" w:name="page135"/>
    <w:bookmarkEnd w:id="134"/>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E. On the Original LLCA Effective Date, the Initial Symbotic Member and the Initial SB Member contributed $35 and $65, respectively, to the Company and were each admitted as Members of the Company.</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F. On April 15, 2024, the Parties entered into that certain Amendment No. 1 to the Original LLCA to amend and further set forth their understandings with respect to their interests, rights and obligations relating to the Company, the management and operation of the Company and the economic arrangement among the Parties relating to the Company.</w:t>
      </w:r>
    </w:p>
    <w:p>
      <w:pPr>
        <w:spacing w:after="0" w:line="114" w:lineRule="exact"/>
        <w:rPr>
          <w:sz w:val="20"/>
          <w:szCs w:val="20"/>
          <w:color w:val="auto"/>
        </w:rPr>
      </w:pPr>
    </w:p>
    <w:p>
      <w:pPr>
        <w:jc w:val="both"/>
        <w:ind w:firstLine="481"/>
        <w:spacing w:after="0" w:line="281" w:lineRule="auto"/>
        <w:rPr>
          <w:sz w:val="20"/>
          <w:szCs w:val="20"/>
          <w:color w:val="auto"/>
        </w:rPr>
      </w:pPr>
      <w:r>
        <w:rPr>
          <w:rFonts w:ascii="Times New Roman" w:cs="Times New Roman" w:eastAsia="Times New Roman" w:hAnsi="Times New Roman"/>
          <w:sz w:val="16"/>
          <w:szCs w:val="16"/>
          <w:color w:val="auto"/>
        </w:rPr>
        <w:t>G. The Parties desire to enter into this Agreement to amend and restate the Original LLCA in its entirety and set forth their understandings with respect to their interests, rights and obligations relating to the Company, the management and operation of the Company and the economic arrangement among the Parties relating to the Company.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AGREEMENTS</w:t>
      </w:r>
    </w:p>
    <w:p>
      <w:pPr>
        <w:spacing w:after="0" w:line="157" w:lineRule="exact"/>
        <w:rPr>
          <w:sz w:val="20"/>
          <w:szCs w:val="20"/>
          <w:color w:val="auto"/>
        </w:rPr>
      </w:pPr>
    </w:p>
    <w:p>
      <w:pPr>
        <w:jc w:val="both"/>
        <w:ind w:firstLine="481"/>
        <w:spacing w:after="0" w:line="293" w:lineRule="auto"/>
        <w:rPr>
          <w:sz w:val="20"/>
          <w:szCs w:val="20"/>
          <w:color w:val="auto"/>
        </w:rPr>
      </w:pPr>
      <w:r>
        <w:rPr>
          <w:rFonts w:ascii="Times New Roman" w:cs="Times New Roman" w:eastAsia="Times New Roman" w:hAnsi="Times New Roman"/>
          <w:sz w:val="16"/>
          <w:szCs w:val="16"/>
          <w:color w:val="auto"/>
        </w:rPr>
        <w:t>In consideration of the mutual representations, warranties, covenants and agreements set forth in this Agreement, and for other good and valuable consideration, the receipt and sufficiency of which are acknowledged, the Parties agree as follows:</w:t>
      </w:r>
    </w:p>
    <w:p>
      <w:pPr>
        <w:spacing w:after="0" w:line="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I</w:t>
      </w:r>
    </w:p>
    <w:p>
      <w:pPr>
        <w:spacing w:after="0" w:line="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RULES OF CONSTRUCTION</w:t>
      </w:r>
    </w:p>
    <w:p>
      <w:pPr>
        <w:spacing w:after="0" w:line="158"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 xml:space="preserve">I.1 </w:t>
      </w:r>
      <w:r>
        <w:rPr>
          <w:rFonts w:ascii="Times New Roman" w:cs="Times New Roman" w:eastAsia="Times New Roman" w:hAnsi="Times New Roman"/>
          <w:sz w:val="16"/>
          <w:szCs w:val="16"/>
          <w:u w:val="single" w:color="auto"/>
          <w:color w:val="auto"/>
        </w:rPr>
        <w:t>Certain References</w:t>
      </w:r>
      <w:r>
        <w:rPr>
          <w:rFonts w:ascii="Times New Roman" w:cs="Times New Roman" w:eastAsia="Times New Roman" w:hAnsi="Times New Roman"/>
          <w:sz w:val="16"/>
          <w:szCs w:val="16"/>
          <w:color w:val="auto"/>
        </w:rPr>
        <w:t>. Unless otherwise specified in this Agreement or the context otherwise requires, all references to any (a) statute in this Agreement include the rules and regulations promulgated thereunder and all applicable guidance, guidelines, bulletins or policies issued or made in connection therewith by a Governmental Authority and (b) Law in this Agreement shall be a reference to such Law as amended, reenacted, consolidated or replaced as of the applicable date or during the applicable period of time. Any reference in this Agreement to any U.S. federal or state action, remedy, method of judicial proceeding, legal document, legal status, court, official or any legal concept or thing will, in respect of any jurisdiction other than a federal or state jurisdiction of the United States, be deemed to include what is most nearly approximate under the Laws of such other jurisdiction. Any reference to any agreement, contract, instrument or other document (including, for the avoidance of doubt, this Agreement and the Ancillary Agreements) means such agreement, contract, instrument or other document as amended, modified, supplemented or waived from time to time in accordance with the terms thereof or, if applicable, hereof.</w:t>
      </w:r>
    </w:p>
    <w:p>
      <w:pPr>
        <w:spacing w:after="0" w:line="125"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I.2 </w:t>
      </w:r>
      <w:r>
        <w:rPr>
          <w:rFonts w:ascii="Times New Roman" w:cs="Times New Roman" w:eastAsia="Times New Roman" w:hAnsi="Times New Roman"/>
          <w:sz w:val="16"/>
          <w:szCs w:val="16"/>
          <w:u w:val="single" w:color="auto"/>
          <w:color w:val="auto"/>
        </w:rPr>
        <w:t>General Interpretive Principles</w:t>
      </w:r>
      <w:r>
        <w:rPr>
          <w:rFonts w:ascii="Times New Roman" w:cs="Times New Roman" w:eastAsia="Times New Roman" w:hAnsi="Times New Roman"/>
          <w:sz w:val="16"/>
          <w:szCs w:val="16"/>
          <w:color w:val="auto"/>
        </w:rPr>
        <w:t>. Whenever required by the context, any pronoun used in this Agreement will include the corresponding masculine, feminine or neuter forms, and the singular form of nouns, pronouns and verbs will include the plural and vice versa. The terms “hereof,” “herein,” “hereunder,” “hereto” and “herewith” and words of similar import will, unless otherwise stated, be construed to refer to this Agreement and not to any particular provision of this Agreement. The descriptive headings of this Agreement are inserted for convenience only and do not constitute a substantive part of this Agreement. All article, section, exhibit and schedule references are to the articles, sections, exhibits and schedules of this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16"/>
          <w:szCs w:val="16"/>
          <w:color w:val="auto"/>
        </w:rPr>
        <w:t>Agreement unless otherwise specified. The use of the word “including” in this Agreement will be by way of example rather than by limitation and will be deemed to mean “including, without limitation.” The use of the word “or” is inclusive and not exclusive (for example, the phrase “A or B” means “A or B or both,” not “either A or B but not both”), unless used in conjunction with “either” or the like. All references herein to “dollars” or “$” are to U.S. dollars. Any accounting term used in this Agreement will have, unless otherwise specifically provided herein, the meaning customarily given such term in accordance with GAAP. Any references herein to any period of days will mean the relevant number of calendar days unless otherwise specified, and any deadline or time period set forth in this Agreement that by its terms ends on a day that is not a Business Day will be automatically extended to the next succeeding Business Day. Whenever required by the context, references to a “Fiscal Year” will refer to a portion thereof.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II</w:t>
      </w:r>
    </w:p>
    <w:p>
      <w:pPr>
        <w:spacing w:after="0" w:line="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ORGANIZATIONAL MATTERS</w:t>
      </w:r>
    </w:p>
    <w:p>
      <w:pPr>
        <w:spacing w:after="0" w:line="149"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 xml:space="preserve">II.1 </w:t>
      </w:r>
      <w:r>
        <w:rPr>
          <w:rFonts w:ascii="Times New Roman" w:cs="Times New Roman" w:eastAsia="Times New Roman" w:hAnsi="Times New Roman"/>
          <w:sz w:val="16"/>
          <w:szCs w:val="16"/>
          <w:u w:val="single" w:color="auto"/>
          <w:color w:val="auto"/>
        </w:rPr>
        <w:t>Formation; Term</w:t>
      </w:r>
      <w:r>
        <w:rPr>
          <w:rFonts w:ascii="Times New Roman" w:cs="Times New Roman" w:eastAsia="Times New Roman" w:hAnsi="Times New Roman"/>
          <w:sz w:val="16"/>
          <w:szCs w:val="16"/>
          <w:color w:val="auto"/>
        </w:rPr>
        <w:t xml:space="preserve">. The Company commenced its existence as a limited liability company under the Delaware Act upon the filing of the Original Certificate with the office of the Secretary of State of the State of Delaware. Each Member will promptly execute all documents, instruments and certificates necessary or appropriate for compliance with all the requirements for the formation and operation of the Company as a limited liability company under the Delaware Act and under all other applicable Laws of the State of Delaware and any other jurisdiction in which the Company is qualified or operates, as requested by the Board. The Company will continue perpetually, unless and until dissolved in accordance with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The preparation, execution and filing of the Original Certificate was authorized and ratified in all respects by the Initial Members, and each of their representatives, in their capacity as the Persons that formed the Company, and they are forever discharged, released and indemnified by the Company from and against any and all expense or liability actually incurred by such Persons by reason of having formed the Company.</w:t>
      </w:r>
    </w:p>
    <w:p>
      <w:pPr>
        <w:spacing w:after="0" w:line="134"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II.2 </w:t>
      </w:r>
      <w:r>
        <w:rPr>
          <w:rFonts w:ascii="Times New Roman" w:cs="Times New Roman" w:eastAsia="Times New Roman" w:hAnsi="Times New Roman"/>
          <w:sz w:val="16"/>
          <w:szCs w:val="16"/>
          <w:u w:val="single" w:color="auto"/>
          <w:color w:val="auto"/>
        </w:rPr>
        <w:t>Limited Liability Company Agreement</w:t>
      </w:r>
      <w:r>
        <w:rPr>
          <w:rFonts w:ascii="Times New Roman" w:cs="Times New Roman" w:eastAsia="Times New Roman" w:hAnsi="Times New Roman"/>
          <w:sz w:val="16"/>
          <w:szCs w:val="16"/>
          <w:color w:val="auto"/>
        </w:rPr>
        <w:t>. The Parties executed and delivered this Agreement to set forth the rights, powers, duties, obligations and liabilities of the Members with respect to the Company. Accordingly, the rights, powers, duties, obligations and liabilities of the Members with respect to the Company will be determined pursuant to the Delaware Act and this Agreement. To the extent that the rights, powers, duties, obligations and liabilities of the Members with respect to the Company differ under the provisions of the Delaware Act and this Agreement, this Agreement will control to the extent permitted by the Delaware Act.</w:t>
      </w:r>
    </w:p>
    <w:p>
      <w:pPr>
        <w:spacing w:after="0" w:line="125" w:lineRule="exact"/>
        <w:rPr>
          <w:sz w:val="20"/>
          <w:szCs w:val="20"/>
          <w:color w:val="auto"/>
        </w:rPr>
      </w:pPr>
    </w:p>
    <w:p>
      <w:pPr>
        <w:jc w:val="both"/>
        <w:ind w:firstLine="481"/>
        <w:spacing w:after="0" w:line="270" w:lineRule="auto"/>
        <w:rPr>
          <w:sz w:val="20"/>
          <w:szCs w:val="20"/>
          <w:color w:val="auto"/>
        </w:rPr>
      </w:pPr>
      <w:r>
        <w:rPr>
          <w:rFonts w:ascii="Times New Roman" w:cs="Times New Roman" w:eastAsia="Times New Roman" w:hAnsi="Times New Roman"/>
          <w:sz w:val="16"/>
          <w:szCs w:val="16"/>
          <w:color w:val="auto"/>
        </w:rPr>
        <w:t xml:space="preserve">II.3 </w:t>
      </w:r>
      <w:r>
        <w:rPr>
          <w:rFonts w:ascii="Times New Roman" w:cs="Times New Roman" w:eastAsia="Times New Roman" w:hAnsi="Times New Roman"/>
          <w:sz w:val="16"/>
          <w:szCs w:val="16"/>
          <w:u w:val="single" w:color="auto"/>
          <w:color w:val="auto"/>
        </w:rPr>
        <w:t>Name</w:t>
      </w:r>
      <w:r>
        <w:rPr>
          <w:rFonts w:ascii="Times New Roman" w:cs="Times New Roman" w:eastAsia="Times New Roman" w:hAnsi="Times New Roman"/>
          <w:sz w:val="16"/>
          <w:szCs w:val="16"/>
          <w:color w:val="auto"/>
        </w:rPr>
        <w:t xml:space="preserve">. The name of the Company is “GreenBox Systems LLC.” The Board may change the name of the Company at any time and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name will contain the words “limited liability company” or the abbreviation “L.L.C.” or “LLC.” The Board may cause the Company to file one or more fictitious name filings in one or more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36" w:name="page137"/>
    <w:bookmarkEnd w:id="136"/>
    <w:p>
      <w:pPr>
        <w:jc w:val="both"/>
        <w:spacing w:after="0" w:line="263" w:lineRule="auto"/>
        <w:rPr>
          <w:sz w:val="20"/>
          <w:szCs w:val="20"/>
          <w:color w:val="auto"/>
        </w:rPr>
      </w:pPr>
      <w:r>
        <w:rPr>
          <w:rFonts w:ascii="Times New Roman" w:cs="Times New Roman" w:eastAsia="Times New Roman" w:hAnsi="Times New Roman"/>
          <w:sz w:val="16"/>
          <w:szCs w:val="16"/>
          <w:color w:val="auto"/>
        </w:rPr>
        <w:t>the jurisdictions in which the Company conducts business or in which a filing is necessary, consistent with applicable legal requirements. Each Member will promptly execute all documents, instruments and certificates necessary or appropriate with respect to any changes to the name of the Company or fictitious name filings, as requested by the Board. Notwithstanding anything in this Agreement to the contrary, the Board may not change the name of the Company to, or cause the Company to file any fictitious name filings for, a name that includes “Symbotic” or a name confusingly similar to “Symbotic” without the Symbotic Member’s prior written consent.</w:t>
      </w:r>
    </w:p>
    <w:p>
      <w:pPr>
        <w:spacing w:after="0" w:line="125"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II.4 </w:t>
      </w:r>
      <w:r>
        <w:rPr>
          <w:rFonts w:ascii="Times New Roman" w:cs="Times New Roman" w:eastAsia="Times New Roman" w:hAnsi="Times New Roman"/>
          <w:sz w:val="16"/>
          <w:szCs w:val="16"/>
          <w:u w:val="single" w:color="auto"/>
          <w:color w:val="auto"/>
        </w:rPr>
        <w:t>Purpose and Authority</w:t>
      </w:r>
      <w:r>
        <w:rPr>
          <w:rFonts w:ascii="Times New Roman" w:cs="Times New Roman" w:eastAsia="Times New Roman" w:hAnsi="Times New Roman"/>
          <w:sz w:val="16"/>
          <w:szCs w:val="16"/>
          <w:color w:val="auto"/>
        </w:rPr>
        <w:t xml:space="preserve">. The Company is formed and authorized for the purpose of (i) offering “logistics-as-a-service” and “warehouse-as-a-service” for the benefit of third-party customers, including by installing and utilizing automated material handling system(s) and (ii) engaging in any lawful business, act or activity for which limited liability companies may be organized under the Delaware Act reasonably related to the activities described in the foregoing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The Company may engage in any activities necessary, desirable or incidental to the accomplishment of the foregoing purposes. Notwithstanding anything in this Agreement to the contrary, nothing set forth herein will be construed as authorizing the Company to take or engage in any action forbidden by Law applicable to a limited liability company organized under the Laws of the State of Delaware.</w:t>
      </w:r>
    </w:p>
    <w:p>
      <w:pPr>
        <w:spacing w:after="0" w:line="130"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II.5 </w:t>
      </w:r>
      <w:r>
        <w:rPr>
          <w:rFonts w:ascii="Times New Roman" w:cs="Times New Roman" w:eastAsia="Times New Roman" w:hAnsi="Times New Roman"/>
          <w:sz w:val="16"/>
          <w:szCs w:val="16"/>
          <w:u w:val="single" w:color="auto"/>
          <w:color w:val="auto"/>
        </w:rPr>
        <w:t>Registered Office; Registered Agent</w:t>
      </w:r>
      <w:r>
        <w:rPr>
          <w:rFonts w:ascii="Times New Roman" w:cs="Times New Roman" w:eastAsia="Times New Roman" w:hAnsi="Times New Roman"/>
          <w:sz w:val="16"/>
          <w:szCs w:val="16"/>
          <w:color w:val="auto"/>
        </w:rPr>
        <w:t>. Throughout the term of the Company, the Company will have and maintain in the State of Delaware a registered office and a registered agent for service of process as and to the extent required by the Delaware Act. The Company’s registered office and registered agent for service of process is set forth in the Certificate. The Board may change the registered office of the Company and the registered agent for the Company at any time and from time to time and may cause the Company to establish other offices and places of business, whether in or outside the State of Delaware.</w:t>
      </w:r>
    </w:p>
    <w:p>
      <w:pPr>
        <w:spacing w:after="0" w:line="137" w:lineRule="exact"/>
        <w:rPr>
          <w:sz w:val="20"/>
          <w:szCs w:val="20"/>
          <w:color w:val="auto"/>
        </w:rPr>
      </w:pPr>
    </w:p>
    <w:p>
      <w:pPr>
        <w:jc w:val="both"/>
        <w:ind w:firstLine="481"/>
        <w:spacing w:after="0" w:line="256" w:lineRule="auto"/>
        <w:rPr>
          <w:sz w:val="20"/>
          <w:szCs w:val="20"/>
          <w:color w:val="auto"/>
        </w:rPr>
      </w:pPr>
      <w:r>
        <w:rPr>
          <w:rFonts w:ascii="Times New Roman" w:cs="Times New Roman" w:eastAsia="Times New Roman" w:hAnsi="Times New Roman"/>
          <w:sz w:val="16"/>
          <w:szCs w:val="16"/>
          <w:color w:val="auto"/>
        </w:rPr>
        <w:t xml:space="preserve">II.6 </w:t>
      </w:r>
      <w:r>
        <w:rPr>
          <w:rFonts w:ascii="Times New Roman" w:cs="Times New Roman" w:eastAsia="Times New Roman" w:hAnsi="Times New Roman"/>
          <w:sz w:val="16"/>
          <w:szCs w:val="16"/>
          <w:u w:val="single" w:color="auto"/>
          <w:color w:val="auto"/>
        </w:rPr>
        <w:t>Foreign Qualifications</w:t>
      </w:r>
      <w:r>
        <w:rPr>
          <w:rFonts w:ascii="Times New Roman" w:cs="Times New Roman" w:eastAsia="Times New Roman" w:hAnsi="Times New Roman"/>
          <w:sz w:val="16"/>
          <w:szCs w:val="16"/>
          <w:color w:val="auto"/>
        </w:rPr>
        <w:t>. The Board may cause the Company to be qualified or registered as a foreign limited liability company under the applicable Laws of any jurisdiction in which the Company transacts business or proposes to transact business and the Company is authorized to execute, deliver and file any certificates and documents necessary or desirable to effectuate such qualifications or registrations, including the appointment of agents for service of process in such jurisdictions. Each Member will promptly execute all documents, instruments, and certificates necessary or appropriate with respect to any foreign qualifications or registrations of the Company, as requested by the Board.</w:t>
      </w:r>
    </w:p>
    <w:p>
      <w:pPr>
        <w:spacing w:after="0" w:line="141" w:lineRule="exact"/>
        <w:rPr>
          <w:sz w:val="20"/>
          <w:szCs w:val="20"/>
          <w:color w:val="auto"/>
        </w:rPr>
      </w:pPr>
    </w:p>
    <w:p>
      <w:pPr>
        <w:jc w:val="both"/>
        <w:ind w:firstLine="481"/>
        <w:spacing w:after="0" w:line="256" w:lineRule="auto"/>
        <w:rPr>
          <w:sz w:val="20"/>
          <w:szCs w:val="20"/>
          <w:color w:val="auto"/>
        </w:rPr>
      </w:pPr>
      <w:r>
        <w:rPr>
          <w:rFonts w:ascii="Times New Roman" w:cs="Times New Roman" w:eastAsia="Times New Roman" w:hAnsi="Times New Roman"/>
          <w:sz w:val="16"/>
          <w:szCs w:val="16"/>
          <w:color w:val="auto"/>
        </w:rPr>
        <w:t xml:space="preserve">II.7 </w:t>
      </w:r>
      <w:r>
        <w:rPr>
          <w:rFonts w:ascii="Times New Roman" w:cs="Times New Roman" w:eastAsia="Times New Roman" w:hAnsi="Times New Roman"/>
          <w:sz w:val="16"/>
          <w:szCs w:val="16"/>
          <w:u w:val="single" w:color="auto"/>
          <w:color w:val="auto"/>
        </w:rPr>
        <w:t>Partnership Treatment</w:t>
      </w:r>
      <w:r>
        <w:rPr>
          <w:rFonts w:ascii="Times New Roman" w:cs="Times New Roman" w:eastAsia="Times New Roman" w:hAnsi="Times New Roman"/>
          <w:sz w:val="16"/>
          <w:szCs w:val="16"/>
          <w:color w:val="auto"/>
        </w:rPr>
        <w:t xml:space="preserve">. The Members intend for the Company to be treated as a partnership for U.S. federal and, if applicable, state and local income Tax purposes, and the Company will not file an election to be treated as a corporation for U.S. federal income Tax purposes without 10% Member Consent as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Further, the Members intend that no Subsidiary of the Company will be treated as a corporation for U.S. federal and, if applicable, state and local income Tax purposes, and the Company will not file an election for any Subsidiary to be treated as a corporation for U.S. federal income Tax purposes without 10% Member Consent as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The Company and each Member will file all Tax</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37" w:name="page138"/>
    <w:bookmarkEnd w:id="137"/>
    <w:p>
      <w:pPr>
        <w:jc w:val="both"/>
        <w:spacing w:after="0" w:line="259" w:lineRule="auto"/>
        <w:rPr>
          <w:sz w:val="20"/>
          <w:szCs w:val="20"/>
          <w:color w:val="auto"/>
        </w:rPr>
      </w:pPr>
      <w:r>
        <w:rPr>
          <w:rFonts w:ascii="Times New Roman" w:cs="Times New Roman" w:eastAsia="Times New Roman" w:hAnsi="Times New Roman"/>
          <w:sz w:val="16"/>
          <w:szCs w:val="16"/>
          <w:color w:val="auto"/>
        </w:rPr>
        <w:t>returns and will take all Tax and financial reporting positions in a manner consistent with such intended treatment. Notwithstanding anything to the contrary in the foregoing, the Members do not intend for the Company to be treated as a partnership or joint venture, and no Member will be considered a partner or joint venturer of any other Member by virtue of this Agreement, for any purpose other than federal and, if applicable, state and local income Tax purposes. Neither this Agreement nor any other agreement entered into by the Company or any Member or any other document or instrument delivered by any of the foregoing relating to the subject matter hereof will be construed to suggest otherwise.</w:t>
      </w:r>
    </w:p>
    <w:p>
      <w:pPr>
        <w:spacing w:after="0" w:line="129"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II.8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will pay all reasonable and documented out-of-pocket costs and expenses arising from the operations of the Company (including relating to the formation of the Company). The Company will reimburse the Managers and will reimburse any Officers (subject to and in accordance with applicable policies of the Company or any of its Affiliates with respect to the reimbursement of Officers) for reasonable and documented out-of-pocket expenses so incurred by them on behalf of the Company.</w:t>
      </w:r>
    </w:p>
    <w:p>
      <w:pPr>
        <w:spacing w:after="0" w:line="1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III</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UNITS AND CAPITAL CONTRIBUTIONS</w:t>
      </w:r>
    </w:p>
    <w:p>
      <w:pPr>
        <w:spacing w:after="0" w:line="158"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 xml:space="preserve">III.1 </w:t>
      </w:r>
      <w:r>
        <w:rPr>
          <w:rFonts w:ascii="Times New Roman" w:cs="Times New Roman" w:eastAsia="Times New Roman" w:hAnsi="Times New Roman"/>
          <w:sz w:val="16"/>
          <w:szCs w:val="16"/>
          <w:u w:val="single" w:color="auto"/>
          <w:color w:val="auto"/>
        </w:rPr>
        <w:t>Authorized Units</w:t>
      </w:r>
      <w:r>
        <w:rPr>
          <w:rFonts w:ascii="Times New Roman" w:cs="Times New Roman" w:eastAsia="Times New Roman" w:hAnsi="Times New Roman"/>
          <w:sz w:val="16"/>
          <w:szCs w:val="16"/>
          <w:color w:val="auto"/>
        </w:rPr>
        <w:t xml:space="preserve">. The limited liability company interests in the Company will be represented by one or more classes, groups or series of Units. Subject to compliance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the total number and type of Units that the Company has authority to issue at any time will be determined by the Board from time to time. As of the Effective Date, the Company is authorized to issue Class A Common Units and Class B Common Units. Each Class A Common Unit and Class B Common Unit shall have the same rights, powers, duties, obligations and liabilities set forth in this Agreement, except with respect to distributions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and any references hereunder to the “Common Units” hereunder shall be to the Class A Common Units and the Class B Common Units. Subject to compliance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the Company may issue any number of whole or fractional Units. The ownership of a Unit by a Member will entitle such Person to allocations of Profits and Losses and other items and Distributions as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III.2</w:t>
      </w:r>
      <w:r>
        <w:rPr>
          <w:sz w:val="20"/>
          <w:szCs w:val="20"/>
          <w:color w:val="auto"/>
        </w:rPr>
        <w:tab/>
      </w:r>
      <w:r>
        <w:rPr>
          <w:rFonts w:ascii="Times New Roman" w:cs="Times New Roman" w:eastAsia="Times New Roman" w:hAnsi="Times New Roman"/>
          <w:sz w:val="16"/>
          <w:szCs w:val="16"/>
          <w:u w:val="single" w:color="auto"/>
          <w:color w:val="auto"/>
        </w:rPr>
        <w:t>Initial Capitalization; Member Schedule</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63" w:lineRule="auto"/>
        <w:tabs>
          <w:tab w:leader="none" w:pos="14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Effective Date, each of the SB Member and the Symbotic Member has made Capital Contributions in cash to the Company in an amount set forth opposite such Member’s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and, in consideration of each Member’s Capital Contributions, the Company has issued to each of the SB Member and the Symbotic Member the number of Class A Common Units and Class B Common Units, as applicable, set forth opposite such Member’s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it being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understood</w:t>
      </w:r>
      <w:r>
        <w:rPr>
          <w:rFonts w:ascii="Times New Roman" w:cs="Times New Roman" w:eastAsia="Times New Roman" w:hAnsi="Times New Roman"/>
          <w:sz w:val="16"/>
          <w:szCs w:val="16"/>
          <w:color w:val="auto"/>
        </w:rPr>
        <w:t xml:space="preserve"> that each Common Unit so issued to the SB Member and the Symbotic Member has equal per-Unit value.</w:t>
      </w:r>
    </w:p>
    <w:p>
      <w:pPr>
        <w:spacing w:after="0" w:line="124"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Effective Date,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also sets forth each of the SB Member’s and the Symbotic Member’s (i) aggregate required Capital Contribution commitment (the “</w:t>
      </w:r>
      <w:r>
        <w:rPr>
          <w:rFonts w:ascii="Times New Roman" w:cs="Times New Roman" w:eastAsia="Times New Roman" w:hAnsi="Times New Roman"/>
          <w:sz w:val="16"/>
          <w:szCs w:val="16"/>
          <w:u w:val="single" w:color="auto"/>
          <w:color w:val="auto"/>
        </w:rPr>
        <w:t>Required Commitment Amount</w:t>
      </w:r>
      <w:r>
        <w:rPr>
          <w:rFonts w:ascii="Times New Roman" w:cs="Times New Roman" w:eastAsia="Times New Roman" w:hAnsi="Times New Roman"/>
          <w:sz w:val="16"/>
          <w:szCs w:val="16"/>
          <w:color w:val="auto"/>
        </w:rPr>
        <w:t xml:space="preserve">”, as may be increased in accordance with </w:t>
      </w:r>
      <w:r>
        <w:rPr>
          <w:rFonts w:ascii="Times New Roman" w:cs="Times New Roman" w:eastAsia="Times New Roman" w:hAnsi="Times New Roman"/>
          <w:sz w:val="16"/>
          <w:szCs w:val="16"/>
          <w:u w:val="single" w:color="auto"/>
          <w:color w:val="auto"/>
        </w:rPr>
        <w:t>Section 3.2(e)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38" w:name="page139"/>
    <w:bookmarkEnd w:id="138"/>
    <w:p>
      <w:pPr>
        <w:spacing w:after="0" w:line="280" w:lineRule="auto"/>
        <w:tabs>
          <w:tab w:leader="none" w:pos="23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Contribution commitment funded to date (the “</w:t>
      </w:r>
      <w:r>
        <w:rPr>
          <w:rFonts w:ascii="Times New Roman" w:cs="Times New Roman" w:eastAsia="Times New Roman" w:hAnsi="Times New Roman"/>
          <w:sz w:val="16"/>
          <w:szCs w:val="16"/>
          <w:u w:val="single" w:color="auto"/>
          <w:color w:val="auto"/>
        </w:rPr>
        <w:t>Funded Commitment Amount</w:t>
      </w:r>
      <w:r>
        <w:rPr>
          <w:rFonts w:ascii="Times New Roman" w:cs="Times New Roman" w:eastAsia="Times New Roman" w:hAnsi="Times New Roman"/>
          <w:sz w:val="16"/>
          <w:szCs w:val="16"/>
          <w:color w:val="auto"/>
        </w:rPr>
        <w:t>”) and (iii) remaining Capital Contribution commitment (the “</w:t>
      </w:r>
      <w:r>
        <w:rPr>
          <w:rFonts w:ascii="Times New Roman" w:cs="Times New Roman" w:eastAsia="Times New Roman" w:hAnsi="Times New Roman"/>
          <w:sz w:val="16"/>
          <w:szCs w:val="16"/>
          <w:u w:val="single" w:color="auto"/>
          <w:color w:val="auto"/>
        </w:rPr>
        <w:t>Remaining Commitment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Amount</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jc w:val="both"/>
        <w:ind w:firstLine="962"/>
        <w:spacing w:after="0" w:line="255" w:lineRule="auto"/>
        <w:tabs>
          <w:tab w:leader="none" w:pos="14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(i) the issuance of any new Units, (ii) a Transfer (in whole or in part) of any Member’s Units in accordance with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(iii) the admission of any new Member(s) in accordance herewith, (iv) any increase in a Member’s Required Commitment Amount pursuant to </w:t>
      </w:r>
      <w:r>
        <w:rPr>
          <w:rFonts w:ascii="Times New Roman" w:cs="Times New Roman" w:eastAsia="Times New Roman" w:hAnsi="Times New Roman"/>
          <w:sz w:val="16"/>
          <w:szCs w:val="16"/>
          <w:u w:val="single" w:color="auto"/>
          <w:color w:val="auto"/>
        </w:rPr>
        <w:t>Section 3.2(e)</w:t>
      </w:r>
      <w:r>
        <w:rPr>
          <w:rFonts w:ascii="Times New Roman" w:cs="Times New Roman" w:eastAsia="Times New Roman" w:hAnsi="Times New Roman"/>
          <w:sz w:val="16"/>
          <w:szCs w:val="16"/>
          <w:color w:val="auto"/>
        </w:rPr>
        <w:t xml:space="preserve"> or any decrease in a Member’s Remaining Commitment Amount pursuant to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or (v) any other redemptions, cancellations, conversions, adjustments, re-designations or Transfers of Units made in accordance with this Agreement, the Company shall (and the Board is authorized to) update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to accurately reflect each Member’s respective Units, Funded Commitment Amount (or such Capital Contribution that such new Member(s) are deemed to have funded as a result of the Transfer of Units from any Transferring Member), Required Commitment Amount and Remaining Commitment Amount as of such time. The Company shall provide the Members with any update to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(including any subsequent updates thereto) within three days of such update. The Company and the Members shall be entitled to treat the record holder of any Unit, as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as the holder in fact of such Unit for all purposes and, accordingly, will not be bound to recognize any equitable or other claim or interest in such Unit on the part of any Person, irrespective of whether the Company or Member has actual or constructive notice thereof, except as the applicable Laws of the State of Delaware otherwise provide.</w:t>
      </w:r>
    </w:p>
    <w:p>
      <w:pPr>
        <w:spacing w:after="0" w:line="133"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shall be required to make any Capital Contributions to the Company in excess of its Required Commitment Amount, or to increase its Required Commitment Amount, without the express written consent of such Member, as applicable.</w:t>
      </w:r>
    </w:p>
    <w:p>
      <w:pPr>
        <w:spacing w:after="0" w:line="111" w:lineRule="exact"/>
        <w:rPr>
          <w:rFonts w:ascii="Times New Roman" w:cs="Times New Roman" w:eastAsia="Times New Roman" w:hAnsi="Times New Roman"/>
          <w:sz w:val="16"/>
          <w:szCs w:val="16"/>
          <w:color w:val="auto"/>
        </w:rPr>
      </w:pPr>
    </w:p>
    <w:p>
      <w:pPr>
        <w:jc w:val="both"/>
        <w:ind w:firstLine="962"/>
        <w:spacing w:after="0" w:line="259" w:lineRule="auto"/>
        <w:tabs>
          <w:tab w:leader="none" w:pos="14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Member shall be permitted to make any additional Capital Contributions to the Company except in accordance with this Agreement. Notwithstanding anything in this Agreement to the contrary, the Board, acting unanimously and taking into account the then-current Annual Budget and Operating Plan, if any, and subject to the other determination requirements and limitations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may request that the Members increase their respective Required Commitment Amounts on a pro rata basis (based on each Member’s Sharing Percentage). Based upon such a request by the Board, each Member may, in its respective sole discretion, agree to such increase in its Required Commitment Amount.</w:t>
      </w:r>
    </w:p>
    <w:p>
      <w:pPr>
        <w:spacing w:after="0" w:line="129"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III.3</w:t>
      </w:r>
      <w:r>
        <w:rPr>
          <w:sz w:val="20"/>
          <w:szCs w:val="20"/>
          <w:color w:val="auto"/>
        </w:rPr>
        <w:tab/>
      </w:r>
      <w:r>
        <w:rPr>
          <w:rFonts w:ascii="Times New Roman" w:cs="Times New Roman" w:eastAsia="Times New Roman" w:hAnsi="Times New Roman"/>
          <w:sz w:val="16"/>
          <w:szCs w:val="16"/>
          <w:u w:val="single" w:color="auto"/>
          <w:color w:val="auto"/>
        </w:rPr>
        <w:t>Capital Calls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56" w:lineRule="auto"/>
        <w:tabs>
          <w:tab w:leader="none" w:pos="14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Capital Calls</w:t>
      </w:r>
      <w:r>
        <w:rPr>
          <w:rFonts w:ascii="Times New Roman" w:cs="Times New Roman" w:eastAsia="Times New Roman" w:hAnsi="Times New Roman"/>
          <w:sz w:val="16"/>
          <w:szCs w:val="16"/>
          <w:color w:val="auto"/>
        </w:rPr>
        <w:t xml:space="preserve">. The Company shall, from time to time, issue to the Members Capital Call Notices for all or a portion of the Members’ Remaining Commitment Amount promptly following the Board’s determination and instruction based on the then-current Annual Budget (subject to </w:t>
      </w:r>
      <w:r>
        <w:rPr>
          <w:rFonts w:ascii="Times New Roman" w:cs="Times New Roman" w:eastAsia="Times New Roman" w:hAnsi="Times New Roman"/>
          <w:sz w:val="16"/>
          <w:szCs w:val="16"/>
          <w:u w:val="single" w:color="auto"/>
          <w:color w:val="auto"/>
        </w:rPr>
        <w:t>Section 5.4(f)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6.2(a)</w:t>
      </w:r>
      <w:r>
        <w:rPr>
          <w:rFonts w:ascii="Times New Roman" w:cs="Times New Roman" w:eastAsia="Times New Roman" w:hAnsi="Times New Roman"/>
          <w:sz w:val="16"/>
          <w:szCs w:val="16"/>
          <w:color w:val="auto"/>
        </w:rPr>
        <w:t>, if applicable), or if no then-current Annual Budget exists, the expected operating expenses and capital requirements for the then-current Fiscal Year, in each case, taking into account any unforeseen or other circumstances existing at such time (collectively, the “</w:t>
      </w:r>
      <w:r>
        <w:rPr>
          <w:rFonts w:ascii="Times New Roman" w:cs="Times New Roman" w:eastAsia="Times New Roman" w:hAnsi="Times New Roman"/>
          <w:sz w:val="16"/>
          <w:szCs w:val="16"/>
          <w:u w:val="single" w:color="auto"/>
          <w:color w:val="auto"/>
        </w:rPr>
        <w:t>Board Capital Determination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from the Original LLCA Effective Date until the fourth anniversary of the Original LLCA Effective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39" w:name="page140"/>
    <w:bookmarkEnd w:id="139"/>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may not deliver Capital Call Notices for operating expenses and capital requirements of the Company in excess of $300,000,000 in the aggregate for funds intended to be used for purposes other than to pay amounts due under the Commercial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the Board shall not instruct the Company to issue a Capital Call Notice and the Company shall not issue a Capital Call Notice for funds that the Board does not reasonably expect the Company to require within a 90-day period following the funding of such Capital Contributions taking into account the then-current cash and cash equivalents of the Company in excess of Permitted Reserves and the then-current Annual Budget, or if no then-current Annual Budget exists, the expected operating expenses and capital requirements for the then-current Fiscal Year;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to the extent that a Distribution Payment Date falls within the 20 Business Day period for funding Capital Contributions following the issuance of a Capital Call Notice and the Distribution payable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on such date is sufficient (for the avoidance of doubt, taking into account the provisions of </w:t>
      </w:r>
      <w:r>
        <w:rPr>
          <w:rFonts w:ascii="Times New Roman" w:cs="Times New Roman" w:eastAsia="Times New Roman" w:hAnsi="Times New Roman"/>
          <w:sz w:val="16"/>
          <w:szCs w:val="16"/>
          <w:u w:val="single" w:color="auto"/>
          <w:color w:val="auto"/>
        </w:rPr>
        <w:t>Section 3.3(e)</w:t>
      </w:r>
      <w:r>
        <w:rPr>
          <w:rFonts w:ascii="Times New Roman" w:cs="Times New Roman" w:eastAsia="Times New Roman" w:hAnsi="Times New Roman"/>
          <w:sz w:val="16"/>
          <w:szCs w:val="16"/>
          <w:color w:val="auto"/>
        </w:rPr>
        <w:t>) to fund the requirement of any Capital Call Notice, a Member shall have the right to designate such Distribution (or a portion thereof) as such Member’s contribution of its Remaining Commitment Amount required under the Capital Call Notice (or portion thereof) and shall be credited under this Agreement for all purposes as funding such Remaining Commitment Amount (or portion thereof) as specified in the applicable Capital Call Notice. Any “</w:t>
      </w:r>
      <w:r>
        <w:rPr>
          <w:rFonts w:ascii="Times New Roman" w:cs="Times New Roman" w:eastAsia="Times New Roman" w:hAnsi="Times New Roman"/>
          <w:sz w:val="16"/>
          <w:szCs w:val="16"/>
          <w:u w:val="single" w:color="auto"/>
          <w:color w:val="auto"/>
        </w:rPr>
        <w:t>Capital Call Notice</w:t>
      </w:r>
      <w:r>
        <w:rPr>
          <w:rFonts w:ascii="Times New Roman" w:cs="Times New Roman" w:eastAsia="Times New Roman" w:hAnsi="Times New Roman"/>
          <w:sz w:val="16"/>
          <w:szCs w:val="16"/>
          <w:color w:val="auto"/>
        </w:rPr>
        <w:t>” shall specify:</w:t>
      </w:r>
    </w:p>
    <w:p>
      <w:pPr>
        <w:spacing w:after="0" w:line="136" w:lineRule="exact"/>
        <w:rPr>
          <w:sz w:val="20"/>
          <w:szCs w:val="20"/>
          <w:color w:val="auto"/>
        </w:rPr>
      </w:pPr>
    </w:p>
    <w:p>
      <w:pPr>
        <w:ind w:left="1920" w:hanging="478"/>
        <w:spacing w:after="0"/>
        <w:tabs>
          <w:tab w:leader="none" w:pos="19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for which the Capital Call Notice is being issued;</w:t>
      </w:r>
    </w:p>
    <w:p>
      <w:pPr>
        <w:spacing w:after="0" w:line="166" w:lineRule="exact"/>
        <w:rPr>
          <w:rFonts w:ascii="Times New Roman" w:cs="Times New Roman" w:eastAsia="Times New Roman" w:hAnsi="Times New Roman"/>
          <w:sz w:val="16"/>
          <w:szCs w:val="16"/>
          <w:color w:val="auto"/>
        </w:rPr>
      </w:pPr>
    </w:p>
    <w:p>
      <w:pPr>
        <w:jc w:val="both"/>
        <w:ind w:left="480" w:firstLine="962"/>
        <w:spacing w:after="0" w:line="254" w:lineRule="auto"/>
        <w:tabs>
          <w:tab w:leader="none" w:pos="191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total amount of Capital Contributions requested from all Members in the aggregate and from each Member, respectively (which shall be pro rata based on each Member’s Sharing Percentage), (B) the amount of Capital Contributions to be made by each Member, (C) the amount and class of Units to be issued to each Member upon receipt of their respective Capital Contributions, which number of issuable Units shall be based on the same per-Unit value of $1.00 per Unit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otherwise unanimously approved by the Board and agreed by the Member receiving such Units, each Member or Syndication Party shall receive, in respect of its Capital Contribution, Units of the same class(es) as the Units held by such Member or, in the case of a Syndication Party, the Member who syndicated its (or a portion of its) Remaining Commitment Amount to such Syndication Party, at the time of such Capital Call Notice, in the same proportion as the Units held by such Member at the time of such Capital Call Notice;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to the extent any Capital Contributions due by a Permitted Syndication Party are funded under the SB ECL, the SB Member will receive the Units issuable in exchange for such Capital Contributions), (D) the Funded Commitment Amount of each Member after giving effect to the Capital Contributions called pursuant to such Capital Call Notice and (E) the Remaining Commitment Amount of each Member after giving effect to the Capital Contributions called pursuant to such Capital Call Notice;</w:t>
      </w:r>
    </w:p>
    <w:p>
      <w:pPr>
        <w:spacing w:after="0" w:line="136" w:lineRule="exact"/>
        <w:rPr>
          <w:rFonts w:ascii="Times New Roman" w:cs="Times New Roman" w:eastAsia="Times New Roman" w:hAnsi="Times New Roman"/>
          <w:sz w:val="16"/>
          <w:szCs w:val="16"/>
          <w:color w:val="auto"/>
        </w:rPr>
      </w:pPr>
    </w:p>
    <w:p>
      <w:pPr>
        <w:ind w:left="480" w:firstLine="962"/>
        <w:spacing w:after="0" w:line="280" w:lineRule="auto"/>
        <w:tabs>
          <w:tab w:leader="none" w:pos="192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account to which such Capital Contributions should be paid and other information and instructions necessary to effect the applicable payment to such bank account (</w:t>
      </w:r>
      <w:r>
        <w:rPr>
          <w:rFonts w:ascii="Times New Roman" w:cs="Times New Roman" w:eastAsia="Times New Roman" w:hAnsi="Times New Roman"/>
          <w:sz w:val="16"/>
          <w:szCs w:val="16"/>
          <w:u w:val="single" w:color="auto"/>
          <w:color w:val="auto"/>
        </w:rPr>
        <w:t>it being understood</w:t>
      </w:r>
      <w:r>
        <w:rPr>
          <w:rFonts w:ascii="Times New Roman" w:cs="Times New Roman" w:eastAsia="Times New Roman" w:hAnsi="Times New Roman"/>
          <w:sz w:val="16"/>
          <w:szCs w:val="16"/>
          <w:color w:val="auto"/>
        </w:rPr>
        <w:t xml:space="preserve"> and agreed that such information and instructions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0" w:name="page141"/>
    <w:bookmarkEnd w:id="140"/>
    <w:p>
      <w:pPr>
        <w:ind w:left="480"/>
        <w:spacing w:after="0"/>
        <w:rPr>
          <w:sz w:val="20"/>
          <w:szCs w:val="20"/>
          <w:color w:val="auto"/>
        </w:rPr>
      </w:pPr>
      <w:r>
        <w:rPr>
          <w:rFonts w:ascii="Times New Roman" w:cs="Times New Roman" w:eastAsia="Times New Roman" w:hAnsi="Times New Roman"/>
          <w:sz w:val="16"/>
          <w:szCs w:val="16"/>
          <w:color w:val="auto"/>
        </w:rPr>
        <w:t>may be provided separately for security purposes so long as such information and instructions are provided substantially concurrently with the Capital Call Notice); and</w:t>
      </w:r>
    </w:p>
    <w:p>
      <w:pPr>
        <w:spacing w:after="0" w:line="167" w:lineRule="exact"/>
        <w:rPr>
          <w:sz w:val="20"/>
          <w:szCs w:val="20"/>
          <w:color w:val="auto"/>
        </w:rPr>
      </w:pPr>
    </w:p>
    <w:p>
      <w:pPr>
        <w:ind w:left="480" w:firstLine="962"/>
        <w:spacing w:after="0" w:line="280" w:lineRule="auto"/>
        <w:tabs>
          <w:tab w:leader="none" w:pos="191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by which such Capital Contributions are to be made, which in no event may be earlier than the 20th Business Day following delivery of such Capital Call Notice.</w:t>
      </w:r>
    </w:p>
    <w:p>
      <w:pPr>
        <w:spacing w:after="0" w:line="121"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Requested Capital Calls</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480" w:firstLine="962"/>
        <w:spacing w:after="0" w:line="253" w:lineRule="auto"/>
        <w:tabs>
          <w:tab w:leader="none" w:pos="191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3.3(b)(ii)</w:t>
      </w:r>
      <w:r>
        <w:rPr>
          <w:rFonts w:ascii="Times New Roman" w:cs="Times New Roman" w:eastAsia="Times New Roman" w:hAnsi="Times New Roman"/>
          <w:sz w:val="16"/>
          <w:szCs w:val="16"/>
          <w:color w:val="auto"/>
        </w:rPr>
        <w:t xml:space="preserve">, in the event of a Board Capital Determination, which, for the avoidance of doubt, shall not require unanimity, but shall take into account the then-current Annual Budget, if any, and be subject to the other determination requirements and limitations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for capital in excess of the Required Commitment Amounts of the Members, the Company shall, from time to time, issue to Members Capital Call Notices for such amount in excess of the Required Commitment Amount (the “</w:t>
      </w:r>
      <w:r>
        <w:rPr>
          <w:rFonts w:ascii="Times New Roman" w:cs="Times New Roman" w:eastAsia="Times New Roman" w:hAnsi="Times New Roman"/>
          <w:sz w:val="16"/>
          <w:szCs w:val="16"/>
          <w:u w:val="single" w:color="auto"/>
          <w:color w:val="auto"/>
        </w:rPr>
        <w:t>Requested Capital Call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Capital Call Notice shall not include the requirements of </w:t>
      </w:r>
      <w:r>
        <w:rPr>
          <w:rFonts w:ascii="Times New Roman" w:cs="Times New Roman" w:eastAsia="Times New Roman" w:hAnsi="Times New Roman"/>
          <w:sz w:val="16"/>
          <w:szCs w:val="16"/>
          <w:u w:val="single" w:color="auto"/>
          <w:color w:val="auto"/>
        </w:rPr>
        <w:t>Section 3.3(a)(ii)(E)</w:t>
      </w:r>
      <w:r>
        <w:rPr>
          <w:rFonts w:ascii="Times New Roman" w:cs="Times New Roman" w:eastAsia="Times New Roman" w:hAnsi="Times New Roman"/>
          <w:sz w:val="16"/>
          <w:szCs w:val="16"/>
          <w:color w:val="auto"/>
        </w:rPr>
        <w:t xml:space="preserve"> of the definition of “Capital Call Notice” but shall inform each Member that such Member may provide a statement in its Requested Capital Call Acceptance regarding its desire to contribute capital in excess of such Member’s pro rata portion (based on such Member’s Sharing Percentage) of the Requested Capital Call;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unless otherwise unanimously approved by the Board and agreed by the Member receiving such Units, each Member shall receive, in respect of its Capital Contribution, Units of the same class(es) as the Units held by such Member at the time of such Capital Call Notice, in the same proportion as the Units held by such Member at the time of such Capital Call Notice.</w:t>
      </w:r>
    </w:p>
    <w:p>
      <w:pPr>
        <w:spacing w:after="0" w:line="137" w:lineRule="exact"/>
        <w:rPr>
          <w:rFonts w:ascii="Times New Roman" w:cs="Times New Roman" w:eastAsia="Times New Roman" w:hAnsi="Times New Roman"/>
          <w:sz w:val="16"/>
          <w:szCs w:val="16"/>
          <w:color w:val="auto"/>
        </w:rPr>
      </w:pPr>
    </w:p>
    <w:p>
      <w:pPr>
        <w:jc w:val="both"/>
        <w:ind w:left="480" w:firstLine="962"/>
        <w:spacing w:after="0" w:line="257" w:lineRule="auto"/>
        <w:tabs>
          <w:tab w:leader="none" w:pos="1918"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Member’s receipt of such a Capital Call Notice for a Requested Capital Call (the “</w:t>
      </w:r>
      <w:r>
        <w:rPr>
          <w:rFonts w:ascii="Times New Roman" w:cs="Times New Roman" w:eastAsia="Times New Roman" w:hAnsi="Times New Roman"/>
          <w:sz w:val="16"/>
          <w:szCs w:val="16"/>
          <w:u w:val="single" w:color="auto"/>
          <w:color w:val="auto"/>
        </w:rPr>
        <w:t>Requested Capital Call Notice</w:t>
      </w:r>
      <w:r>
        <w:rPr>
          <w:rFonts w:ascii="Times New Roman" w:cs="Times New Roman" w:eastAsia="Times New Roman" w:hAnsi="Times New Roman"/>
          <w:sz w:val="16"/>
          <w:szCs w:val="16"/>
          <w:color w:val="auto"/>
        </w:rPr>
        <w:t>”), a Member may decide to participate in such Requested Capital Call by providing the Company, within ten Business Days following delivery of such Capital Call Notice, written notice of its intent to participate (a “</w:t>
      </w:r>
      <w:r>
        <w:rPr>
          <w:rFonts w:ascii="Times New Roman" w:cs="Times New Roman" w:eastAsia="Times New Roman" w:hAnsi="Times New Roman"/>
          <w:sz w:val="16"/>
          <w:szCs w:val="16"/>
          <w:u w:val="single" w:color="auto"/>
          <w:color w:val="auto"/>
        </w:rPr>
        <w:t>Requested Capital Call Acceptance</w:t>
      </w:r>
      <w:r>
        <w:rPr>
          <w:rFonts w:ascii="Times New Roman" w:cs="Times New Roman" w:eastAsia="Times New Roman" w:hAnsi="Times New Roman"/>
          <w:sz w:val="16"/>
          <w:szCs w:val="16"/>
          <w:color w:val="auto"/>
        </w:rPr>
        <w:t xml:space="preserve">”), and may include in the Requested Capital Call Acceptance a statement that such Member desires to contribute a specified amount of capital in excess of such Member’s pro rata portion (based on such Member’s Sharing Percentage) of the Requested Capital Call;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any Member fails to submit a Requested Capital Call Acceptance within ten Business Days after receipt of the Requested Capital Call, then such Member will be deemed to have determined to not participate in such Requested Capital Call. Nothing in this </w:t>
      </w: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xml:space="preserve"> shall require, or be deemed to require, any Member to participate in any such Requested Capital Call and the provisions of this </w:t>
      </w: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xml:space="preserve"> shall not amend, modify or affect the provisions of </w:t>
      </w:r>
      <w:r>
        <w:rPr>
          <w:rFonts w:ascii="Times New Roman" w:cs="Times New Roman" w:eastAsia="Times New Roman" w:hAnsi="Times New Roman"/>
          <w:sz w:val="16"/>
          <w:szCs w:val="16"/>
          <w:u w:val="single" w:color="auto"/>
          <w:color w:val="auto"/>
        </w:rPr>
        <w:t>Section 3.2(d)</w:t>
      </w:r>
      <w:r>
        <w:rPr>
          <w:rFonts w:ascii="Times New Roman" w:cs="Times New Roman" w:eastAsia="Times New Roman" w:hAnsi="Times New Roman"/>
          <w:sz w:val="16"/>
          <w:szCs w:val="16"/>
          <w:color w:val="auto"/>
        </w:rPr>
        <w:t>.</w:t>
      </w:r>
    </w:p>
    <w:p>
      <w:pPr>
        <w:spacing w:after="0" w:line="133" w:lineRule="exact"/>
        <w:rPr>
          <w:rFonts w:ascii="Times New Roman" w:cs="Times New Roman" w:eastAsia="Times New Roman" w:hAnsi="Times New Roman"/>
          <w:sz w:val="16"/>
          <w:szCs w:val="16"/>
          <w:color w:val="auto"/>
        </w:rPr>
      </w:pPr>
    </w:p>
    <w:p>
      <w:pPr>
        <w:ind w:left="480" w:firstLine="962"/>
        <w:spacing w:after="0" w:line="280" w:lineRule="auto"/>
        <w:tabs>
          <w:tab w:leader="none" w:pos="1922"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Member does not participate in a Requested Capital Call, then each Member who has provided notice in its Requested Capital Call Acceptance of its willingness to contribute capital in excess of such Member’s pro rata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1" w:name="page142"/>
    <w:bookmarkEnd w:id="141"/>
    <w:p>
      <w:pPr>
        <w:jc w:val="both"/>
        <w:ind w:left="480"/>
        <w:spacing w:after="0" w:line="255" w:lineRule="auto"/>
        <w:rPr>
          <w:sz w:val="20"/>
          <w:szCs w:val="20"/>
          <w:color w:val="auto"/>
        </w:rPr>
      </w:pPr>
      <w:r>
        <w:rPr>
          <w:rFonts w:ascii="Times New Roman" w:cs="Times New Roman" w:eastAsia="Times New Roman" w:hAnsi="Times New Roman"/>
          <w:sz w:val="16"/>
          <w:szCs w:val="16"/>
          <w:color w:val="auto"/>
        </w:rPr>
        <w:t xml:space="preserve">share of the Requested Capital Call will also be allocated (by written notice from the Company within 12 Business Days after delivery of the Requested Capital Call Notice), and shall contribute, such excess amount equal to (A) a fraction, the numerator of which is the total number of Units owned by such accepting and participating Member and the denominator of which is the total number of Units then owned by all accepting and participating Members, determined on the date that the Company delivers the Requested Capital Call Notice, not to exceed the maximum amount, if any, specified by such Member in its Requested Capital Call Acceptance and (B) to the extent that the total amount of a Requested Capital Call Notice exceeds the aggregate amount allocated to accepting and participating Members after taking into account the allocations in accordance with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then, the remainder will be allocated to such accepting and participating Members whose allocations have not exceeded any maximum amount specified in such Members’ Requested Capital Call Acceptance through successively applying the formula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until either the entire amount of the Requested Capital Call Notice is funded or all Members have received allocations up to their maximum amounts specified, whichever happens first.</w:t>
      </w:r>
    </w:p>
    <w:p>
      <w:pPr>
        <w:spacing w:after="0" w:line="134" w:lineRule="exact"/>
        <w:rPr>
          <w:sz w:val="20"/>
          <w:szCs w:val="20"/>
          <w:color w:val="auto"/>
        </w:rPr>
      </w:pPr>
    </w:p>
    <w:p>
      <w:pPr>
        <w:jc w:val="both"/>
        <w:ind w:firstLine="962"/>
        <w:spacing w:after="0" w:line="252" w:lineRule="auto"/>
        <w:tabs>
          <w:tab w:leader="none" w:pos="1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Symbotic Member intends to satisfy any of its Required Commitment Amount or Requested Capital Call pursuant to a Capital Call Notice or Requested Capital Call Notice, as applicable, delivered to it by the Company with an In-Kind Contribution, the Symbotic Member shall promptly, and prior to the fifth Business Day following delivery of such Capital Call Notice or Requested Capital Call Notice, as applicable, deliver to the Company and the SB Member written notice of the amount and nature of any such In-Kind Contribution (the “</w:t>
      </w:r>
      <w:r>
        <w:rPr>
          <w:rFonts w:ascii="Times New Roman" w:cs="Times New Roman" w:eastAsia="Times New Roman" w:hAnsi="Times New Roman"/>
          <w:sz w:val="16"/>
          <w:szCs w:val="16"/>
          <w:u w:val="single" w:color="auto"/>
          <w:color w:val="auto"/>
        </w:rPr>
        <w:t>In-Kind Contribution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Symbotic Member may not satisfy any Capital Call Notice or Requested Capital Call Notice, as applicable, or portion thereof, with an In-Kind Contribution to the extent that Capital Contributions are requested pursuant to the Capital Call Notice or Requested Capital Call Notice, as applicable, to fund a cash requirement of the Company other than monetary commitments due by the Company pursuant to the terms and conditions of the Commercial Agreement. Any In-Kind Contribution by the Symbotic Member of Symbotic Systems delivered under and in accordance with the Commercial Agreement shall be valued at the Cost of Material and Labor (as defined in the Commercial Agreement) for such Symbotic Systems, with any remaining amounts payable as set forth in, and only in accordance with, the Commercial Agreement. For illustration purposes only, if the Symbotic Member makes an In-Kind Contribution of Symbotic Systems with Cost of Material and Labor of $48,750,000 and in respect of which the Margin Payment, Software License Fee and all other Charges (other than the Cost of Material and Labor) under the Commercial Agreement total $26,250,000, then the Symbotic Member shall be credited under this Agreement for a capital contribution of $48,750,000 and Symbotic shall be entitled to receive $26,250,000 under the Commercial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such $26,250,000 amount shall only be payable pursuant to the Commercial Agreement. To the extent that a filing of a Notification and Report Form pursuant to the HSR Act is required for the Symbotic Member to make any In-Kind Contribution of Symbotic Systems, the Symbotic Member or the ultimate parent entity thereof under applicable U.S. antitrust Laws and the Company or the ultimate parent entity thereof under applicable U.S. antitrust Laws shall as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2" w:name="page143"/>
    <w:bookmarkEnd w:id="142"/>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promptly as practicable make such filing, and such In-Kind Contribution shall be delayed until the applicable waiting period under the HSR Act has expired or otherwise been terminated;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expiration or termination of the waiting period does not occur by the end of the initial waiting period, the Symbotic Member shall be required to contribute cash to the Company in lieu of the amount provided for with respect to such In-Kind Contribution within 15 Business Days thereafter.</w:t>
      </w:r>
    </w:p>
    <w:p>
      <w:pPr>
        <w:spacing w:after="0" w:line="134" w:lineRule="exact"/>
        <w:rPr>
          <w:sz w:val="20"/>
          <w:szCs w:val="20"/>
          <w:color w:val="auto"/>
        </w:rPr>
      </w:pPr>
    </w:p>
    <w:p>
      <w:pPr>
        <w:jc w:val="both"/>
        <w:ind w:firstLine="962"/>
        <w:spacing w:after="0" w:line="257" w:lineRule="auto"/>
        <w:tabs>
          <w:tab w:leader="none" w:pos="143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Emergency Loans</w:t>
      </w:r>
      <w:r>
        <w:rPr>
          <w:rFonts w:ascii="Times New Roman" w:cs="Times New Roman" w:eastAsia="Times New Roman" w:hAnsi="Times New Roman"/>
          <w:sz w:val="16"/>
          <w:szCs w:val="16"/>
          <w:color w:val="auto"/>
        </w:rPr>
        <w:t>. If capital is required for an Emergency prior to the date when a Capital Contribution would be made pursuant to a Capital Call Notice, then the Board may request funding by way of a loan from any Member that is able to fund in accordance with the Company’s timing requirements (such loan, an “</w:t>
      </w:r>
      <w:r>
        <w:rPr>
          <w:rFonts w:ascii="Times New Roman" w:cs="Times New Roman" w:eastAsia="Times New Roman" w:hAnsi="Times New Roman"/>
          <w:sz w:val="16"/>
          <w:szCs w:val="16"/>
          <w:u w:val="single" w:color="auto"/>
          <w:color w:val="auto"/>
        </w:rPr>
        <w:t>Emergency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Loan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Member shall have the right to make an Emergency Loan without the request of the Board for such funding;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for the avoidance of doubt, no Member shall have an obligation to make an Emergency Loan. Any Emergency Loan made pursuant to this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xml:space="preserve"> shall bear interest at the Default Rate, and shall be repaid promptly (and in any event within three Business Days) by the Company following receipt by the Company of Capital Contributions pursuant to a Capital Call Notice for the funds required for such Emergency.</w:t>
      </w:r>
    </w:p>
    <w:p>
      <w:pPr>
        <w:spacing w:after="0" w:line="129"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on Required Commitment Amount</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480" w:firstLine="962"/>
        <w:spacing w:after="0" w:line="257" w:lineRule="auto"/>
        <w:tabs>
          <w:tab w:leader="none" w:pos="1913"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a Member fails to contribute all or any portion of its Required Commitment Amount (including, for the avoidance of doubt, as increased pursuant to </w:t>
      </w:r>
      <w:r>
        <w:rPr>
          <w:rFonts w:ascii="Times New Roman" w:cs="Times New Roman" w:eastAsia="Times New Roman" w:hAnsi="Times New Roman"/>
          <w:sz w:val="16"/>
          <w:szCs w:val="16"/>
          <w:u w:val="single" w:color="auto"/>
          <w:color w:val="auto"/>
        </w:rPr>
        <w:t>Section 3.2(e)</w:t>
      </w:r>
      <w:r>
        <w:rPr>
          <w:rFonts w:ascii="Times New Roman" w:cs="Times New Roman" w:eastAsia="Times New Roman" w:hAnsi="Times New Roman"/>
          <w:sz w:val="16"/>
          <w:szCs w:val="16"/>
          <w:color w:val="auto"/>
        </w:rPr>
        <w:t>) pursuant to a Capital Contribution set forth in a Capital Call Notice (such Capital Call Notice, a “</w:t>
      </w:r>
      <w:r>
        <w:rPr>
          <w:rFonts w:ascii="Times New Roman" w:cs="Times New Roman" w:eastAsia="Times New Roman" w:hAnsi="Times New Roman"/>
          <w:sz w:val="16"/>
          <w:szCs w:val="16"/>
          <w:u w:val="single" w:color="auto"/>
          <w:color w:val="auto"/>
        </w:rPr>
        <w:t>Required Commitment Amount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Capital Call Notice</w:t>
      </w:r>
      <w:r>
        <w:rPr>
          <w:rFonts w:ascii="Times New Roman" w:cs="Times New Roman" w:eastAsia="Times New Roman" w:hAnsi="Times New Roman"/>
          <w:sz w:val="16"/>
          <w:szCs w:val="16"/>
          <w:color w:val="auto"/>
        </w:rPr>
        <w:t>”) by the due date for the payment in full of such Capital Contribution set forth in the applicable Required Commitment Amount Capital Call Notice, the Board shall deliver notice of such failure (a “</w:t>
      </w:r>
      <w:r>
        <w:rPr>
          <w:rFonts w:ascii="Times New Roman" w:cs="Times New Roman" w:eastAsia="Times New Roman" w:hAnsi="Times New Roman"/>
          <w:sz w:val="16"/>
          <w:szCs w:val="16"/>
          <w:u w:val="single" w:color="auto"/>
          <w:color w:val="auto"/>
        </w:rPr>
        <w:t>Default Notice</w:t>
      </w:r>
      <w:r>
        <w:rPr>
          <w:rFonts w:ascii="Times New Roman" w:cs="Times New Roman" w:eastAsia="Times New Roman" w:hAnsi="Times New Roman"/>
          <w:sz w:val="16"/>
          <w:szCs w:val="16"/>
          <w:color w:val="auto"/>
        </w:rPr>
        <w:t>”) to such Member, containing a statement of the amount not funded (the “</w:t>
      </w:r>
      <w:r>
        <w:rPr>
          <w:rFonts w:ascii="Times New Roman" w:cs="Times New Roman" w:eastAsia="Times New Roman" w:hAnsi="Times New Roman"/>
          <w:sz w:val="16"/>
          <w:szCs w:val="16"/>
          <w:u w:val="single" w:color="auto"/>
          <w:color w:val="auto"/>
        </w:rPr>
        <w:t>Defaulted Amount</w:t>
      </w:r>
      <w:r>
        <w:rPr>
          <w:rFonts w:ascii="Times New Roman" w:cs="Times New Roman" w:eastAsia="Times New Roman" w:hAnsi="Times New Roman"/>
          <w:sz w:val="16"/>
          <w:szCs w:val="16"/>
          <w:color w:val="auto"/>
        </w:rPr>
        <w:t>”). If such failure to fund is not cured within five Business Days of the Member’s receipt or deemed receipt of such Default Notice, then such Member shall be deemed to be in “</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under this Agreement and shall be referred to herein as a “</w:t>
      </w:r>
      <w:r>
        <w:rPr>
          <w:rFonts w:ascii="Times New Roman" w:cs="Times New Roman" w:eastAsia="Times New Roman" w:hAnsi="Times New Roman"/>
          <w:sz w:val="16"/>
          <w:szCs w:val="16"/>
          <w:u w:val="single" w:color="auto"/>
          <w:color w:val="auto"/>
        </w:rPr>
        <w:t>Defaulting Member</w:t>
      </w:r>
      <w:r>
        <w:rPr>
          <w:rFonts w:ascii="Times New Roman" w:cs="Times New Roman" w:eastAsia="Times New Roman" w:hAnsi="Times New Roman"/>
          <w:sz w:val="16"/>
          <w:szCs w:val="16"/>
          <w:color w:val="auto"/>
        </w:rPr>
        <w:t>” and, all other Members, the “</w:t>
      </w:r>
      <w:r>
        <w:rPr>
          <w:rFonts w:ascii="Times New Roman" w:cs="Times New Roman" w:eastAsia="Times New Roman" w:hAnsi="Times New Roman"/>
          <w:sz w:val="16"/>
          <w:szCs w:val="16"/>
          <w:u w:val="single" w:color="auto"/>
          <w:color w:val="auto"/>
        </w:rPr>
        <w:t>Non-Defaulting Members</w:t>
      </w:r>
      <w:r>
        <w:rPr>
          <w:rFonts w:ascii="Times New Roman" w:cs="Times New Roman" w:eastAsia="Times New Roman" w:hAnsi="Times New Roman"/>
          <w:sz w:val="16"/>
          <w:szCs w:val="16"/>
          <w:color w:val="auto"/>
        </w:rPr>
        <w:t>.”</w:t>
      </w:r>
    </w:p>
    <w:p>
      <w:pPr>
        <w:spacing w:after="0" w:line="129" w:lineRule="exact"/>
        <w:rPr>
          <w:rFonts w:ascii="Times New Roman" w:cs="Times New Roman" w:eastAsia="Times New Roman" w:hAnsi="Times New Roman"/>
          <w:sz w:val="16"/>
          <w:szCs w:val="16"/>
          <w:color w:val="auto"/>
        </w:rPr>
      </w:pPr>
    </w:p>
    <w:p>
      <w:pPr>
        <w:jc w:val="both"/>
        <w:ind w:left="480" w:firstLine="962"/>
        <w:spacing w:after="0" w:line="255" w:lineRule="auto"/>
        <w:tabs>
          <w:tab w:leader="none" w:pos="191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may be cured at any time within 45 days after receipt or deemed receipt of the applicable Default Notice;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 Defaulting Member funds more than 50% of the Defaulted Amount (including, for the avoidance of doubt, any interest thereon) within such 45-day period, such Defaulting Member shall have an additional 45 days to cure the remainder of such Defaulted Amount (such period, as applicable, the “</w:t>
      </w:r>
      <w:r>
        <w:rPr>
          <w:rFonts w:ascii="Times New Roman" w:cs="Times New Roman" w:eastAsia="Times New Roman" w:hAnsi="Times New Roman"/>
          <w:sz w:val="16"/>
          <w:szCs w:val="16"/>
          <w:u w:val="single" w:color="auto"/>
          <w:color w:val="auto"/>
        </w:rPr>
        <w:t>Cure Period</w:t>
      </w:r>
      <w:r>
        <w:rPr>
          <w:rFonts w:ascii="Times New Roman" w:cs="Times New Roman" w:eastAsia="Times New Roman" w:hAnsi="Times New Roman"/>
          <w:sz w:val="16"/>
          <w:szCs w:val="16"/>
          <w:color w:val="auto"/>
        </w:rPr>
        <w:t>”) by (A) payment in full of the Capital Contribution set forth in a Required Commitment Amount Capital Call Notice by the Defaulting Member or any of its Affiliates on such Defaulting Member’s behalf or (B) payment in full of such Capital Contribution set forth in a Required Commitment Amount Capital Call Notice through a draw on, or as a result of a demand made against, the Defaulting Member’s Credit Support, if applicable. Upon such a cure, any draw or demand, to the extent not already paid, on the Defaulting Member’s Credit Support with respect to such Default so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43" w:name="page144"/>
    <w:bookmarkEnd w:id="143"/>
    <w:p>
      <w:pPr>
        <w:jc w:val="both"/>
        <w:ind w:left="480"/>
        <w:spacing w:after="0" w:line="264" w:lineRule="auto"/>
        <w:rPr>
          <w:sz w:val="20"/>
          <w:szCs w:val="20"/>
          <w:color w:val="auto"/>
        </w:rPr>
      </w:pPr>
      <w:r>
        <w:rPr>
          <w:rFonts w:ascii="Times New Roman" w:cs="Times New Roman" w:eastAsia="Times New Roman" w:hAnsi="Times New Roman"/>
          <w:sz w:val="16"/>
          <w:szCs w:val="16"/>
          <w:color w:val="auto"/>
        </w:rPr>
        <w:t>cured shall be withdrawn. Any Defaulted Amount not paid when due under this Agreement shall bear interest at the Capital Contributions Default Rate from the due date for the payment in full of such Capital Contribution set forth in the applicable Required Commitment Amount Capital Call Notice to the date of payment or such time when such Default is otherwise remedied in full pursuant to the terms of this Agreement.</w:t>
      </w:r>
    </w:p>
    <w:p>
      <w:pPr>
        <w:spacing w:after="0" w:line="134" w:lineRule="exact"/>
        <w:rPr>
          <w:sz w:val="20"/>
          <w:szCs w:val="20"/>
          <w:color w:val="auto"/>
        </w:rPr>
      </w:pPr>
    </w:p>
    <w:p>
      <w:pPr>
        <w:jc w:val="both"/>
        <w:ind w:left="480" w:firstLine="962"/>
        <w:spacing w:after="0" w:line="264" w:lineRule="auto"/>
        <w:tabs>
          <w:tab w:leader="none" w:pos="192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in this Agreement to the contrary, during the period beginning on the date that a Member is in Default as a Defaulting Member, and ending on the date when all of such Member’s Defaulted Amount has been paid in full, including, for the avoidance of doubt, the interest thereon:</w:t>
      </w:r>
    </w:p>
    <w:p>
      <w:pPr>
        <w:spacing w:after="0" w:line="123" w:lineRule="exact"/>
        <w:rPr>
          <w:rFonts w:ascii="Times New Roman" w:cs="Times New Roman" w:eastAsia="Times New Roman" w:hAnsi="Times New Roman"/>
          <w:sz w:val="16"/>
          <w:szCs w:val="16"/>
          <w:color w:val="auto"/>
        </w:rPr>
      </w:pPr>
    </w:p>
    <w:p>
      <w:pPr>
        <w:jc w:val="both"/>
        <w:ind w:left="960" w:firstLine="963"/>
        <w:spacing w:after="0" w:line="263" w:lineRule="auto"/>
        <w:tabs>
          <w:tab w:leader="none" w:pos="2392"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Defaulting Member shall have no power to Transfer all or any part of its Units, except for any Transfer of all or any part of such Defaulting Member’s Units to a Person where, simultaneously with such Transfer in compliance with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(1) such transferee satisfies or causes to be satisfied in full the Defaulted Amounts, including, for the avoidance of doubt, the interest thereon, of such Defaulting Member, or (2) such Defaulting Member uses the proceeds from such Transfer to satisfy in full the Defaulted Amounts, including, for the avoidance of doubt, the interest thereon, of such Member;</w:t>
      </w:r>
    </w:p>
    <w:p>
      <w:pPr>
        <w:spacing w:after="0" w:line="124" w:lineRule="exact"/>
        <w:rPr>
          <w:rFonts w:ascii="Times New Roman" w:cs="Times New Roman" w:eastAsia="Times New Roman" w:hAnsi="Times New Roman"/>
          <w:sz w:val="16"/>
          <w:szCs w:val="16"/>
          <w:color w:val="auto"/>
        </w:rPr>
      </w:pPr>
    </w:p>
    <w:p>
      <w:pPr>
        <w:ind w:left="960" w:firstLine="963"/>
        <w:spacing w:after="0" w:line="280" w:lineRule="auto"/>
        <w:tabs>
          <w:tab w:leader="none" w:pos="2396"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Defaulting Member shall not be entitled to any preemptive rights set forth in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 xml:space="preserve"> or the Right of First Offer provided for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 xml:space="preserve"> in the event of a proposed Transfer by any Non-Defaulting Member;</w:t>
      </w:r>
    </w:p>
    <w:p>
      <w:pPr>
        <w:spacing w:after="0" w:line="111" w:lineRule="exact"/>
        <w:rPr>
          <w:rFonts w:ascii="Times New Roman" w:cs="Times New Roman" w:eastAsia="Times New Roman" w:hAnsi="Times New Roman"/>
          <w:sz w:val="16"/>
          <w:szCs w:val="16"/>
          <w:color w:val="auto"/>
        </w:rPr>
      </w:pPr>
    </w:p>
    <w:p>
      <w:pPr>
        <w:jc w:val="both"/>
        <w:ind w:left="960" w:firstLine="963"/>
        <w:spacing w:after="0" w:line="254" w:lineRule="auto"/>
        <w:tabs>
          <w:tab w:leader="none" w:pos="2394"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Defaulting Member shall be deemed ineligible to vote on any matters specified in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as applicable, other than the matters specified in (1) </w:t>
      </w:r>
      <w:r>
        <w:rPr>
          <w:rFonts w:ascii="Times New Roman" w:cs="Times New Roman" w:eastAsia="Times New Roman" w:hAnsi="Times New Roman"/>
          <w:sz w:val="16"/>
          <w:szCs w:val="16"/>
          <w:u w:val="single" w:color="auto"/>
          <w:color w:val="auto"/>
        </w:rPr>
        <w:t>Section 6.3(a)(i)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6.3(a)(ii)</w:t>
      </w:r>
      <w:r>
        <w:rPr>
          <w:rFonts w:ascii="Times New Roman" w:cs="Times New Roman" w:eastAsia="Times New Roman" w:hAnsi="Times New Roman"/>
          <w:sz w:val="16"/>
          <w:szCs w:val="16"/>
          <w:color w:val="auto"/>
        </w:rPr>
        <w:t xml:space="preserve"> (with respect to Equity Securities held by such Defaulting Member, in a manner adverse to the Defaulting Member), </w:t>
      </w:r>
      <w:r>
        <w:rPr>
          <w:rFonts w:ascii="Times New Roman" w:cs="Times New Roman" w:eastAsia="Times New Roman" w:hAnsi="Times New Roman"/>
          <w:sz w:val="16"/>
          <w:szCs w:val="16"/>
          <w:u w:val="single" w:color="auto"/>
          <w:color w:val="auto"/>
        </w:rPr>
        <w:t>Section 6.3(a)(iii)</w:t>
      </w:r>
      <w:r>
        <w:rPr>
          <w:rFonts w:ascii="Times New Roman" w:cs="Times New Roman" w:eastAsia="Times New Roman" w:hAnsi="Times New Roman"/>
          <w:sz w:val="16"/>
          <w:szCs w:val="16"/>
          <w:color w:val="auto"/>
        </w:rPr>
        <w:t xml:space="preserve"> (with respect to issuance of any Equity Securities that are senior to the Equity Securities held by such Defaulting Member), </w:t>
      </w:r>
      <w:r>
        <w:rPr>
          <w:rFonts w:ascii="Times New Roman" w:cs="Times New Roman" w:eastAsia="Times New Roman" w:hAnsi="Times New Roman"/>
          <w:sz w:val="16"/>
          <w:szCs w:val="16"/>
          <w:u w:val="single" w:color="auto"/>
          <w:color w:val="auto"/>
        </w:rPr>
        <w:t>Section 6.3(a)(vii)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6.3(a)(viii)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6.3(b)(ii)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6.3(b)(vi)</w:t>
      </w:r>
      <w:r>
        <w:rPr>
          <w:rFonts w:ascii="Times New Roman" w:cs="Times New Roman" w:eastAsia="Times New Roman" w:hAnsi="Times New Roman"/>
          <w:sz w:val="16"/>
          <w:szCs w:val="16"/>
          <w:color w:val="auto"/>
        </w:rPr>
        <w:t xml:space="preserve"> (to the extent all of the Non-Defaulting Members are parties to (or Related Parties to the parties to) such transaction or contract, but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Defaulting Member shall be deemed ineligible to vote with respect to any Emergency Loan), (2) to the extent the contemplated actions are reasonably expected to affect the Defaulting Member in a manner that is adverse to such Defaulting Member compared to other Members: (x) </w:t>
      </w:r>
      <w:r>
        <w:rPr>
          <w:rFonts w:ascii="Times New Roman" w:cs="Times New Roman" w:eastAsia="Times New Roman" w:hAnsi="Times New Roman"/>
          <w:sz w:val="16"/>
          <w:szCs w:val="16"/>
          <w:u w:val="single" w:color="auto"/>
          <w:color w:val="auto"/>
        </w:rPr>
        <w:t>Section 6.3(b)(vii)(C)</w:t>
      </w:r>
      <w:r>
        <w:rPr>
          <w:rFonts w:ascii="Times New Roman" w:cs="Times New Roman" w:eastAsia="Times New Roman" w:hAnsi="Times New Roman"/>
          <w:sz w:val="16"/>
          <w:szCs w:val="16"/>
          <w:color w:val="auto"/>
        </w:rPr>
        <w:t xml:space="preserve">; (y) </w:t>
      </w:r>
      <w:r>
        <w:rPr>
          <w:rFonts w:ascii="Times New Roman" w:cs="Times New Roman" w:eastAsia="Times New Roman" w:hAnsi="Times New Roman"/>
          <w:sz w:val="16"/>
          <w:szCs w:val="16"/>
          <w:u w:val="single" w:color="auto"/>
          <w:color w:val="auto"/>
        </w:rPr>
        <w:t>Section 6.3(b)(viii)</w:t>
      </w:r>
      <w:r>
        <w:rPr>
          <w:rFonts w:ascii="Times New Roman" w:cs="Times New Roman" w:eastAsia="Times New Roman" w:hAnsi="Times New Roman"/>
          <w:sz w:val="16"/>
          <w:szCs w:val="16"/>
          <w:color w:val="auto"/>
        </w:rPr>
        <w:t xml:space="preserve">; and (z) </w:t>
      </w:r>
      <w:r>
        <w:rPr>
          <w:rFonts w:ascii="Times New Roman" w:cs="Times New Roman" w:eastAsia="Times New Roman" w:hAnsi="Times New Roman"/>
          <w:sz w:val="16"/>
          <w:szCs w:val="16"/>
          <w:u w:val="single" w:color="auto"/>
          <w:color w:val="auto"/>
        </w:rPr>
        <w:t>Section 6.3(b)(ix)</w:t>
      </w:r>
      <w:r>
        <w:rPr>
          <w:rFonts w:ascii="Times New Roman" w:cs="Times New Roman" w:eastAsia="Times New Roman" w:hAnsi="Times New Roman"/>
          <w:sz w:val="16"/>
          <w:szCs w:val="16"/>
          <w:color w:val="auto"/>
        </w:rPr>
        <w:t xml:space="preserve"> (or the Company agreeing or committing to the foregoing) and (3) to the extent the contemplated actions are reasonably expected to affect the Defaulting Member in a manner that is disproportionately adverse to such Defaulting Member compared to other Members, </w:t>
      </w:r>
      <w:r>
        <w:rPr>
          <w:rFonts w:ascii="Times New Roman" w:cs="Times New Roman" w:eastAsia="Times New Roman" w:hAnsi="Times New Roman"/>
          <w:sz w:val="16"/>
          <w:szCs w:val="16"/>
          <w:u w:val="single" w:color="auto"/>
          <w:color w:val="auto"/>
        </w:rPr>
        <w:t>Section 6.3(b)(vi)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Defaulting Member shall be deemed ineligible to vote with respect to any Emergency Loan), and any applicable quorum and voting requirements shall not count any Units held by such Defaulting Member;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44" w:name="page145"/>
    <w:bookmarkEnd w:id="144"/>
    <w:p>
      <w:pPr>
        <w:jc w:val="both"/>
        <w:ind w:left="960" w:firstLine="963"/>
        <w:spacing w:after="0" w:line="263" w:lineRule="auto"/>
        <w:tabs>
          <w:tab w:leader="none" w:pos="2392"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Defaulting Member shall not receive Distributions from the Company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and such Distributions shall instead (to the extent applicable) be applied to the Defaulted Amount, including, for the avoidance of doubt, first to the interest thereon, of such Defaulting Member. Such amounts applied towards the Defaulted Amount, including, for the avoidance of doubt, the interest thereon, of such Defaulting Member shall be deemed distributed to such Defaulting Member and then contributed to the Company and applied first toward interest and then toward principal.</w:t>
      </w:r>
    </w:p>
    <w:p>
      <w:pPr>
        <w:spacing w:after="0" w:line="124" w:lineRule="exact"/>
        <w:rPr>
          <w:rFonts w:ascii="Times New Roman" w:cs="Times New Roman" w:eastAsia="Times New Roman" w:hAnsi="Times New Roman"/>
          <w:sz w:val="16"/>
          <w:szCs w:val="16"/>
          <w:color w:val="auto"/>
        </w:rPr>
      </w:pPr>
    </w:p>
    <w:p>
      <w:pPr>
        <w:jc w:val="both"/>
        <w:ind w:left="480" w:firstLine="962"/>
        <w:spacing w:after="0" w:line="253" w:lineRule="auto"/>
        <w:tabs>
          <w:tab w:leader="none" w:pos="192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Defaulting Member does not cure a Default or series of Defaults within the Cure Period, the Board (excluding any Managers appointed by the Defaulting Member), may elect to reduce such Member’s Units and entitlement to future allocations and Distributions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by a number of Units equal to 125% of the Units that would have been issued to such Member pursuant to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with respect to such Defaulted Amount, and such items shall be reallocated (where applicable) to the Non-Defaulting Members in an equitable manner as determined by the Board (excluding any Managers appointed by the Defaulting Member). For the avoidance of doubt, if, following any reduction in the Units of the SB Member or the Symbotic Member pursuant to this </w:t>
      </w:r>
      <w:r>
        <w:rPr>
          <w:rFonts w:ascii="Times New Roman" w:cs="Times New Roman" w:eastAsia="Times New Roman" w:hAnsi="Times New Roman"/>
          <w:sz w:val="16"/>
          <w:szCs w:val="16"/>
          <w:u w:val="single" w:color="auto"/>
          <w:color w:val="auto"/>
        </w:rPr>
        <w:t>Section 3.3(e)(iv)</w:t>
      </w:r>
      <w:r>
        <w:rPr>
          <w:rFonts w:ascii="Times New Roman" w:cs="Times New Roman" w:eastAsia="Times New Roman" w:hAnsi="Times New Roman"/>
          <w:sz w:val="16"/>
          <w:szCs w:val="16"/>
          <w:color w:val="auto"/>
        </w:rPr>
        <w:t xml:space="preserve"> such Member no longer holds the requisite percentage of Units to qualify as a Major Investor, then (x) pursuant to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the rights of such Member pursuant to </w:t>
      </w:r>
      <w:r>
        <w:rPr>
          <w:rFonts w:ascii="Times New Roman" w:cs="Times New Roman" w:eastAsia="Times New Roman" w:hAnsi="Times New Roman"/>
          <w:sz w:val="16"/>
          <w:szCs w:val="16"/>
          <w:u w:val="single" w:color="auto"/>
          <w:color w:val="auto"/>
        </w:rPr>
        <w:t>Sections 5.2(a)(i)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as applicable, will be of no further force or effect, and the SB Managers or Symbotic Managers, as applicable, will be deemed to have resigned from the Board and will automatically and immediately cease to be a Manager without any further action and (y) such Member shall be deemed ineligible to vote on any matters requiring Major Investor Approval specified in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and any applicable quorum and voting requirements with respect to such matters shall not count any Units held by such Defaulting Member.</w:t>
      </w:r>
    </w:p>
    <w:p>
      <w:pPr>
        <w:spacing w:after="0" w:line="143" w:lineRule="exact"/>
        <w:rPr>
          <w:rFonts w:ascii="Times New Roman" w:cs="Times New Roman" w:eastAsia="Times New Roman" w:hAnsi="Times New Roman"/>
          <w:sz w:val="16"/>
          <w:szCs w:val="16"/>
          <w:color w:val="auto"/>
        </w:rPr>
      </w:pPr>
    </w:p>
    <w:p>
      <w:pPr>
        <w:ind w:left="480" w:firstLine="962"/>
        <w:spacing w:after="0" w:line="280" w:lineRule="auto"/>
        <w:tabs>
          <w:tab w:leader="none" w:pos="191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this Agreement to the contrary, any amendments to this Agreement that are required to effect the penalties set forth in this </w:t>
      </w:r>
      <w:r>
        <w:rPr>
          <w:rFonts w:ascii="Times New Roman" w:cs="Times New Roman" w:eastAsia="Times New Roman" w:hAnsi="Times New Roman"/>
          <w:sz w:val="16"/>
          <w:szCs w:val="16"/>
          <w:u w:val="single" w:color="auto"/>
          <w:color w:val="auto"/>
        </w:rPr>
        <w:t>Section 3.3(e)</w:t>
      </w:r>
      <w:r>
        <w:rPr>
          <w:rFonts w:ascii="Times New Roman" w:cs="Times New Roman" w:eastAsia="Times New Roman" w:hAnsi="Times New Roman"/>
          <w:sz w:val="16"/>
          <w:szCs w:val="16"/>
          <w:color w:val="auto"/>
        </w:rPr>
        <w:t xml:space="preserve"> may be made without the consent of any Defaulting Member or any Managers appointed by the Defaulting Member.</w:t>
      </w:r>
    </w:p>
    <w:p>
      <w:pPr>
        <w:spacing w:after="0" w:line="111" w:lineRule="exact"/>
        <w:rPr>
          <w:rFonts w:ascii="Times New Roman" w:cs="Times New Roman" w:eastAsia="Times New Roman" w:hAnsi="Times New Roman"/>
          <w:sz w:val="16"/>
          <w:szCs w:val="16"/>
          <w:color w:val="auto"/>
        </w:rPr>
      </w:pPr>
    </w:p>
    <w:p>
      <w:pPr>
        <w:ind w:left="480" w:firstLine="962"/>
        <w:spacing w:after="0" w:line="280" w:lineRule="auto"/>
        <w:tabs>
          <w:tab w:leader="none" w:pos="192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occurrence of any Default, if Credit Support is in place pursuant to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at the time such Default occurs, then the Board shall cause the Company to draw or make demand, as applicable, on the Defaulting Member’s Credit Support before exercising any rights under </w:t>
      </w:r>
      <w:r>
        <w:rPr>
          <w:rFonts w:ascii="Times New Roman" w:cs="Times New Roman" w:eastAsia="Times New Roman" w:hAnsi="Times New Roman"/>
          <w:sz w:val="16"/>
          <w:szCs w:val="16"/>
          <w:u w:val="single" w:color="auto"/>
          <w:color w:val="auto"/>
        </w:rPr>
        <w:t>Section 3.3(e)(iv)</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III.4</w:t>
      </w:r>
      <w:r>
        <w:rPr>
          <w:sz w:val="20"/>
          <w:szCs w:val="20"/>
          <w:color w:val="auto"/>
        </w:rPr>
        <w:tab/>
      </w:r>
      <w:r>
        <w:rPr>
          <w:rFonts w:ascii="Times New Roman" w:cs="Times New Roman" w:eastAsia="Times New Roman" w:hAnsi="Times New Roman"/>
          <w:sz w:val="16"/>
          <w:szCs w:val="16"/>
          <w:u w:val="single" w:color="auto"/>
          <w:color w:val="auto"/>
        </w:rPr>
        <w:t>Credit Support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64" w:lineRule="auto"/>
        <w:tabs>
          <w:tab w:leader="none" w:pos="14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Original LLCA Effective Date, the SB Member provided an Equity Commitment Letter from SVF II Strategic Investments AIV LLC for a maximum amount equal to $3,200,000,000 (the “</w:t>
      </w:r>
      <w:r>
        <w:rPr>
          <w:rFonts w:ascii="Times New Roman" w:cs="Times New Roman" w:eastAsia="Times New Roman" w:hAnsi="Times New Roman"/>
          <w:sz w:val="16"/>
          <w:szCs w:val="16"/>
          <w:u w:val="single" w:color="auto"/>
          <w:color w:val="auto"/>
        </w:rPr>
        <w:t>SB ECL</w:t>
      </w:r>
      <w:r>
        <w:rPr>
          <w:rFonts w:ascii="Times New Roman" w:cs="Times New Roman" w:eastAsia="Times New Roman" w:hAnsi="Times New Roman"/>
          <w:sz w:val="16"/>
          <w:szCs w:val="16"/>
          <w:color w:val="auto"/>
        </w:rPr>
        <w:t>”). Thereafter, unless otherwise unanimously determined by the Board, such SB ECL will be automatically adjusted downward to be in an amount equal to the lesser of (x) the Remaining Commitment Amount of the SB Member and any Syndication Parties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45" w:name="page146"/>
    <w:bookmarkEnd w:id="145"/>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and (y) $3,200,000,000, which commitment must be maintained in full force and effect and be available to be drawn until the Credit Support Release Date. Notwithstanding anything to the contrary in this Agreement, any Member may cause the Company to enforce all rights and remedies of the Company under this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 xml:space="preserve"> and the SB ECL, including pursuant to </w:t>
      </w:r>
      <w:r>
        <w:rPr>
          <w:rFonts w:ascii="Times New Roman" w:cs="Times New Roman" w:eastAsia="Times New Roman" w:hAnsi="Times New Roman"/>
          <w:sz w:val="16"/>
          <w:szCs w:val="16"/>
          <w:u w:val="single" w:color="auto"/>
          <w:color w:val="auto"/>
        </w:rPr>
        <w:t>Section 14.7</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jc w:val="both"/>
        <w:ind w:firstLine="962"/>
        <w:spacing w:after="0" w:line="257" w:lineRule="auto"/>
        <w:tabs>
          <w:tab w:leader="none" w:pos="143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Board (acting reasonably), excluding any Manager designated by the applicable Member that Credit Support is being sought from, may, from time to time, request Credit Support from any Member with respect to its Remaining Commitment Amount hereunder (including the SB Member but only to the extent that the Required Commitment Amount of the SB Member is increased with the consent of the SB Member in accordance with </w:t>
      </w:r>
      <w:r>
        <w:rPr>
          <w:rFonts w:ascii="Times New Roman" w:cs="Times New Roman" w:eastAsia="Times New Roman" w:hAnsi="Times New Roman"/>
          <w:sz w:val="16"/>
          <w:szCs w:val="16"/>
          <w:u w:val="single" w:color="auto"/>
          <w:color w:val="auto"/>
        </w:rPr>
        <w:t>Section 3.2(e)</w:t>
      </w:r>
      <w:r>
        <w:rPr>
          <w:rFonts w:ascii="Times New Roman" w:cs="Times New Roman" w:eastAsia="Times New Roman" w:hAnsi="Times New Roman"/>
          <w:sz w:val="16"/>
          <w:szCs w:val="16"/>
          <w:color w:val="auto"/>
        </w:rPr>
        <w:t>, from the Required Commitment Amount of the SB Member as of the Original LLCA Effective Date), including as a condition to any Transfer of Units to such Member (other than a Permitted Syndication to any Syndication Party), which such Credit Support shall be promptly delivered by such Member and must be maintained in full force and effect and be available to be drawn until the Credit Support Release Date.</w:t>
      </w:r>
    </w:p>
    <w:p>
      <w:pPr>
        <w:spacing w:after="0" w:line="130"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III.5 </w:t>
      </w:r>
      <w:r>
        <w:rPr>
          <w:rFonts w:ascii="Times New Roman" w:cs="Times New Roman" w:eastAsia="Times New Roman" w:hAnsi="Times New Roman"/>
          <w:sz w:val="16"/>
          <w:szCs w:val="16"/>
          <w:u w:val="single" w:color="auto"/>
          <w:color w:val="auto"/>
        </w:rPr>
        <w:t>Issuance of Additional Units</w:t>
      </w:r>
      <w:r>
        <w:rPr>
          <w:rFonts w:ascii="Times New Roman" w:cs="Times New Roman" w:eastAsia="Times New Roman" w:hAnsi="Times New Roman"/>
          <w:sz w:val="16"/>
          <w:szCs w:val="16"/>
          <w:color w:val="auto"/>
        </w:rPr>
        <w:t xml:space="preserve">. Subject to compliance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 xml:space="preserve">, the Board may cause the Company to create or issue Equity Securities from time to time, including additional classes, groups or series of Equity Securities having such relative rights, powers, duties, obligations and liabilities as may be established by the Board, including rights, powers, duties, obligations and liabilities different from, senior to or more favorable than those for existing classes, groups and series of Equity Securities. Upon the creation or issuance of such Equity Securities, the Board may cause the Company to amend, restate or amend and restate this Agreement and update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to reflect the terms or issuance of such additional Equity Securities, in each case without requiring the approval or consent of any Member or any other Person. The Board will determine the Capital Contribution or other consideration payable to the Company in connection with the issuance of any Equity Securities (if any).</w:t>
      </w:r>
    </w:p>
    <w:p>
      <w:pPr>
        <w:spacing w:after="0" w:line="130"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III.6</w:t>
      </w:r>
      <w:r>
        <w:rPr>
          <w:sz w:val="20"/>
          <w:szCs w:val="20"/>
          <w:color w:val="auto"/>
        </w:rPr>
        <w:tab/>
      </w:r>
      <w:r>
        <w:rPr>
          <w:rFonts w:ascii="Times New Roman" w:cs="Times New Roman" w:eastAsia="Times New Roman" w:hAnsi="Times New Roman"/>
          <w:sz w:val="16"/>
          <w:szCs w:val="16"/>
          <w:u w:val="single" w:color="auto"/>
          <w:color w:val="auto"/>
        </w:rPr>
        <w:t>Preemptive Rights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4" w:lineRule="auto"/>
        <w:tabs>
          <w:tab w:leader="none" w:pos="14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Preemptive Rights Generally</w:t>
      </w:r>
      <w:r>
        <w:rPr>
          <w:rFonts w:ascii="Times New Roman" w:cs="Times New Roman" w:eastAsia="Times New Roman" w:hAnsi="Times New Roman"/>
          <w:sz w:val="16"/>
          <w:szCs w:val="16"/>
          <w:color w:val="auto"/>
        </w:rPr>
        <w:t xml:space="preserve">. Except for issuances of Equity Securities as set forth in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and subject to compliance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if the Board authorizes the offer and sale of Preemptive Securities, the Company will offer to sell to each Preemptive Rights Holder a portion, if applicable, of such Preemptive Securities (the “</w:t>
      </w:r>
      <w:r>
        <w:rPr>
          <w:rFonts w:ascii="Times New Roman" w:cs="Times New Roman" w:eastAsia="Times New Roman" w:hAnsi="Times New Roman"/>
          <w:sz w:val="16"/>
          <w:szCs w:val="16"/>
          <w:u w:val="single" w:color="auto"/>
          <w:color w:val="auto"/>
        </w:rPr>
        <w:t>Preemptive Rights Portion</w:t>
      </w:r>
      <w:r>
        <w:rPr>
          <w:rFonts w:ascii="Times New Roman" w:cs="Times New Roman" w:eastAsia="Times New Roman" w:hAnsi="Times New Roman"/>
          <w:sz w:val="16"/>
          <w:szCs w:val="16"/>
          <w:color w:val="auto"/>
        </w:rPr>
        <w:t xml:space="preserve">”), equal to (i) the total amount of the Preemptive Securities proposed to be sold, </w:t>
      </w:r>
      <w:r>
        <w:rPr>
          <w:rFonts w:ascii="Times New Roman" w:cs="Times New Roman" w:eastAsia="Times New Roman" w:hAnsi="Times New Roman"/>
          <w:sz w:val="16"/>
          <w:szCs w:val="16"/>
          <w:u w:val="single" w:color="auto"/>
          <w:color w:val="auto"/>
        </w:rPr>
        <w:t>multiplied by</w:t>
      </w:r>
      <w:r>
        <w:rPr>
          <w:rFonts w:ascii="Times New Roman" w:cs="Times New Roman" w:eastAsia="Times New Roman" w:hAnsi="Times New Roman"/>
          <w:sz w:val="16"/>
          <w:szCs w:val="16"/>
          <w:color w:val="auto"/>
        </w:rPr>
        <w:t xml:space="preserve"> (ii) a fraction, the numerator of which is the total number of Units held by such Preemptive Rights Holder and the denominator of which is the total number of Units held by all of the Preemptive Rights Holders. Each Preemptive Rights Holder will be entitled to purchase such Preemptive Rights Holder’s Preemptive Rights Portion on the same terms as they are offered to any other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Preemptive Securities are being offered as a “strip of securities” consisting of two or more classes, groups or series of securities (including debt securities), then the Preemptive Rights Holders exercising their preemptive rights pursuant to this </w:t>
      </w: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 xml:space="preserve"> will be required to purchase their Preemptive Rights Portion or a portion thereof with respect to each class, group or series of securities being offered in such strip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6" w:name="page147"/>
    <w:bookmarkEnd w:id="146"/>
    <w:p>
      <w:pPr>
        <w:spacing w:after="0" w:line="280" w:lineRule="auto"/>
        <w:rPr>
          <w:sz w:val="20"/>
          <w:szCs w:val="20"/>
          <w:color w:val="auto"/>
        </w:rPr>
      </w:pPr>
      <w:r>
        <w:rPr>
          <w:rFonts w:ascii="Times New Roman" w:cs="Times New Roman" w:eastAsia="Times New Roman" w:hAnsi="Times New Roman"/>
          <w:sz w:val="16"/>
          <w:szCs w:val="16"/>
          <w:color w:val="auto"/>
        </w:rPr>
        <w:t xml:space="preserve">of securities. The equity purchase rights of each Preemptive Rights Holder provided in this </w:t>
      </w: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 xml:space="preserve"> shall apply at the time of issuance of any right, warrant, option, convertible or exchangeable security or any similar security and not to the conversion, exchange or exercise thereof.</w:t>
      </w:r>
    </w:p>
    <w:p>
      <w:pPr>
        <w:spacing w:after="0" w:line="112" w:lineRule="exact"/>
        <w:rPr>
          <w:sz w:val="20"/>
          <w:szCs w:val="20"/>
          <w:color w:val="auto"/>
        </w:rPr>
      </w:pPr>
    </w:p>
    <w:p>
      <w:pPr>
        <w:jc w:val="both"/>
        <w:ind w:firstLine="962"/>
        <w:spacing w:after="0" w:line="252" w:lineRule="auto"/>
        <w:tabs>
          <w:tab w:leader="none" w:pos="143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Exceptions to Preemptive Rights</w:t>
      </w:r>
      <w:r>
        <w:rPr>
          <w:rFonts w:ascii="Times New Roman" w:cs="Times New Roman" w:eastAsia="Times New Roman" w:hAnsi="Times New Roman"/>
          <w:sz w:val="16"/>
          <w:szCs w:val="16"/>
          <w:color w:val="auto"/>
        </w:rPr>
        <w:t xml:space="preserve">. Notwithstanding anything herein to the contrary, the preemptive rights granted to the Preemptive Rights Holders in </w:t>
      </w: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 xml:space="preserve"> will not apply to the offer or sale of any of the following Equity Securities, debt securities or any other securities: (i) Equity Securities issued to the SB Member or the Symbotic Member on the Original LLCA Effective Date or pursuant to any Capital Call Notice up to each such Member’s Required Commitment Amount (as it may be adjusted pursuant to the terms of this Agreement) or any Requested Capital Call; (ii) Equity Securities issued to employees, officers, directors, managers, consultants or other service providers of the Company or any of its Subsidiaries approved by the Board and the Members, in each case, in accordance with this Agreement and the Plan; (iii) Equity Securities, debt securities or any other securities issued in connection with any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acquisition by the Company or any of its Subsidiaries as consideration for the securities or assets acquired by the Company or such Subsidiary solely from one or more Independent Third Parties; (iv) Equity Securities, debt securities or any other securities issued in connection with any joint venture, customer or supplier arrangement or other strategic alliance between or among the Company or any of its Subsidiaries, on the one hand, and solely one or more Independent Third Parties, on the other hand; (v) Equity Securities issued in connection with the incurrence, renewal or maintenance of any indebtedness for borrowed money of the Company or any of its Subsidiaries on arm’s-length terms solely with one or more Independent Third Parties as lender or lenders (as applicable); (vi) Equity Securities issued in connection with any Unit split, Unit dividend, combination, reclassification, reorganization, recapitalization or similar event of the Company in which holders of the same class of Units participate in such Unit split, dividend, combination, reclassification, reorganization or recapitalization on a pro rata basis; (vii) Equity Securities issued upon the exercise, conversion, or exchange of any other Equity Securities that were issued in compliance with </w:t>
      </w: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 xml:space="preserve"> or this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in an issuance exempt from </w:t>
      </w: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 xml:space="preserve"> pursuant to this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(viii) Equity Securities issued in connection with a Public Offering in accordance with the provisions of this Agreement; or (ix) Equity Securities issued as consideration for any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arm’s-length Sale Transaction or any other merger, acquisition or similar transaction approved by the Board (and, if required by this Agreement or Law, all or the applicable subset of the Members) in accordance with the provisions of this Agreement.</w:t>
      </w:r>
    </w:p>
    <w:p>
      <w:pPr>
        <w:spacing w:after="0" w:line="151" w:lineRule="exact"/>
        <w:rPr>
          <w:rFonts w:ascii="Times New Roman" w:cs="Times New Roman" w:eastAsia="Times New Roman" w:hAnsi="Times New Roman"/>
          <w:sz w:val="16"/>
          <w:szCs w:val="16"/>
          <w:color w:val="auto"/>
        </w:rPr>
      </w:pPr>
    </w:p>
    <w:p>
      <w:pPr>
        <w:jc w:val="both"/>
        <w:ind w:firstLine="962"/>
        <w:spacing w:after="0" w:line="256" w:lineRule="auto"/>
        <w:tabs>
          <w:tab w:leader="none" w:pos="1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Preemptive Rights Notice</w:t>
      </w:r>
      <w:r>
        <w:rPr>
          <w:rFonts w:ascii="Times New Roman" w:cs="Times New Roman" w:eastAsia="Times New Roman" w:hAnsi="Times New Roman"/>
          <w:sz w:val="16"/>
          <w:szCs w:val="16"/>
          <w:color w:val="auto"/>
        </w:rPr>
        <w:t>. The Board shall give written notice of a proposed issuance or sale of Preemptive Securities (a “</w:t>
      </w:r>
      <w:r>
        <w:rPr>
          <w:rFonts w:ascii="Times New Roman" w:cs="Times New Roman" w:eastAsia="Times New Roman" w:hAnsi="Times New Roman"/>
          <w:sz w:val="16"/>
          <w:szCs w:val="16"/>
          <w:u w:val="single" w:color="auto"/>
          <w:color w:val="auto"/>
        </w:rPr>
        <w:t>Preemptive Rights Notice</w:t>
      </w:r>
      <w:r>
        <w:rPr>
          <w:rFonts w:ascii="Times New Roman" w:cs="Times New Roman" w:eastAsia="Times New Roman" w:hAnsi="Times New Roman"/>
          <w:sz w:val="16"/>
          <w:szCs w:val="16"/>
          <w:color w:val="auto"/>
        </w:rPr>
        <w:t>”) to each Preemptive Rights Holder within five Business Days following any meeting of the Board or Members at which any such issuance or sale is approved, if applicable, and in any event at least 20 days prior to the proposed issuance or sale or other determination to issue such Preemptive Securities. Such Preemptive Rights Notice shall describe in reasonable detail (i) the Preemptive Securities to be offered by the Company, (ii) the purchase price and other terms with respect to such offering, and (iii) each Preemptive Rights Holder’s Preemptive Rights Portion, and shall inform the Preemptive Rights Holder that such Preemptive Rights Holder may provide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7" w:name="page148"/>
    <w:bookmarkEnd w:id="147"/>
    <w:p>
      <w:pPr>
        <w:spacing w:after="0" w:line="280" w:lineRule="auto"/>
        <w:rPr>
          <w:sz w:val="20"/>
          <w:szCs w:val="20"/>
          <w:color w:val="auto"/>
        </w:rPr>
      </w:pPr>
      <w:r>
        <w:rPr>
          <w:rFonts w:ascii="Times New Roman" w:cs="Times New Roman" w:eastAsia="Times New Roman" w:hAnsi="Times New Roman"/>
          <w:sz w:val="16"/>
          <w:szCs w:val="16"/>
          <w:color w:val="auto"/>
        </w:rPr>
        <w:t xml:space="preserve">statement in its Preemptive Rights Exercise Notice regarding its desire to purchase a number of Preemptive Securities in excess of such Preemptive Rights Holder’s Preemptive Rights Portion pursuant to </w:t>
      </w:r>
      <w:r>
        <w:rPr>
          <w:rFonts w:ascii="Times New Roman" w:cs="Times New Roman" w:eastAsia="Times New Roman" w:hAnsi="Times New Roman"/>
          <w:sz w:val="16"/>
          <w:szCs w:val="16"/>
          <w:u w:val="single" w:color="auto"/>
          <w:color w:val="auto"/>
        </w:rPr>
        <w:t>Section 3.6(e)</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both"/>
        <w:ind w:firstLine="962"/>
        <w:spacing w:after="0" w:line="263" w:lineRule="auto"/>
        <w:tabs>
          <w:tab w:leader="none" w:pos="143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Preemptive Rights</w:t>
      </w:r>
      <w:r>
        <w:rPr>
          <w:rFonts w:ascii="Times New Roman" w:cs="Times New Roman" w:eastAsia="Times New Roman" w:hAnsi="Times New Roman"/>
          <w:sz w:val="16"/>
          <w:szCs w:val="16"/>
          <w:color w:val="auto"/>
        </w:rPr>
        <w:t xml:space="preserve">. In order to exercise preemptive rights under this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 a Preemptive Rights Holder must deliver an irrevocable written notice (the “</w:t>
      </w:r>
      <w:r>
        <w:rPr>
          <w:rFonts w:ascii="Times New Roman" w:cs="Times New Roman" w:eastAsia="Times New Roman" w:hAnsi="Times New Roman"/>
          <w:sz w:val="16"/>
          <w:szCs w:val="16"/>
          <w:u w:val="single" w:color="auto"/>
          <w:color w:val="auto"/>
        </w:rPr>
        <w:t>Preemptive Rights Exercise Notice</w:t>
      </w:r>
      <w:r>
        <w:rPr>
          <w:rFonts w:ascii="Times New Roman" w:cs="Times New Roman" w:eastAsia="Times New Roman" w:hAnsi="Times New Roman"/>
          <w:sz w:val="16"/>
          <w:szCs w:val="16"/>
          <w:color w:val="auto"/>
        </w:rPr>
        <w:t>”) to the Company describing such Preemptive Rights Holder’s election to purchase all or any portion of the Preemptive Securities offered to such Preemptive Rights Holder hereunder within 20 days after receipt or deemed receipt of a Preemptive Rights Notice. If any Preemptive Rights Holder fails to give written notice to the Company within such 20-day period, then such Preemptive Rights Holder will be deemed to have declined the offer.</w:t>
      </w:r>
    </w:p>
    <w:p>
      <w:pPr>
        <w:spacing w:after="0" w:line="124" w:lineRule="exact"/>
        <w:rPr>
          <w:rFonts w:ascii="Times New Roman" w:cs="Times New Roman" w:eastAsia="Times New Roman" w:hAnsi="Times New Roman"/>
          <w:sz w:val="16"/>
          <w:szCs w:val="16"/>
          <w:color w:val="auto"/>
        </w:rPr>
      </w:pPr>
    </w:p>
    <w:p>
      <w:pPr>
        <w:jc w:val="both"/>
        <w:ind w:firstLine="962"/>
        <w:spacing w:after="0" w:line="254" w:lineRule="auto"/>
        <w:tabs>
          <w:tab w:leader="none" w:pos="1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Over-Allotment Purchase</w:t>
      </w:r>
      <w:r>
        <w:rPr>
          <w:rFonts w:ascii="Times New Roman" w:cs="Times New Roman" w:eastAsia="Times New Roman" w:hAnsi="Times New Roman"/>
          <w:sz w:val="16"/>
          <w:szCs w:val="16"/>
          <w:color w:val="auto"/>
        </w:rPr>
        <w:t>. Each Preemptive Rights Holder who accepts the offer to purchase such Preemptive Rights Holder’s entire Preemptive Rights Portion may include in the Preemptive Rights Exercise Notice a statement that such Preemptive Rights Holder desires to purchase up to a specified number of Preemptive Securities in excess of such Preemptive Rights Holder’s Preemptive Rights Portion. If any Preemptive Rights Holder fails to exercise its right hereunder to purchase its full Preemptive Rights Portion, then each Preemptive Rights Holder who has provided notice of its willingness to purchase Preemptive Securities in excess of such Preemptive Rights Holder’s Preemptive Rights Portion will also be allocated and purchase that portion of the Preemptive Securities remaining unsubscribed for equal to a fraction, the numerator of which is the total number of Units owned by such fully-subscribing Preemptive Rights Holder and the denominator of which is the total number of Units then owned by all fully-subscribing Preemptive Rights Holders, determined on the date that the Company delivers the Preemptive Rights Notice, not to exceed the maximum amount, if any, specified by such Preemptive Rights Holder in its Preemptive Rights Exercise Notice.</w:t>
      </w:r>
    </w:p>
    <w:p>
      <w:pPr>
        <w:spacing w:after="0" w:line="144" w:lineRule="exact"/>
        <w:rPr>
          <w:rFonts w:ascii="Times New Roman" w:cs="Times New Roman" w:eastAsia="Times New Roman" w:hAnsi="Times New Roman"/>
          <w:sz w:val="16"/>
          <w:szCs w:val="16"/>
          <w:color w:val="auto"/>
        </w:rPr>
      </w:pPr>
    </w:p>
    <w:p>
      <w:pPr>
        <w:jc w:val="both"/>
        <w:ind w:firstLine="962"/>
        <w:spacing w:after="0" w:line="255" w:lineRule="auto"/>
        <w:tabs>
          <w:tab w:leader="none" w:pos="144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Issuances Subsequent to Offering Period</w:t>
      </w:r>
      <w:r>
        <w:rPr>
          <w:rFonts w:ascii="Times New Roman" w:cs="Times New Roman" w:eastAsia="Times New Roman" w:hAnsi="Times New Roman"/>
          <w:sz w:val="16"/>
          <w:szCs w:val="16"/>
          <w:color w:val="auto"/>
        </w:rPr>
        <w:t xml:space="preserve">. If any Preemptive Rights Holder fails to elect to purchase the entire Preemptive Rights Portion that such Preemptive Rights Holder is entitled to within the 20-day offering period described in </w:t>
      </w:r>
      <w:r>
        <w:rPr>
          <w:rFonts w:ascii="Times New Roman" w:cs="Times New Roman" w:eastAsia="Times New Roman" w:hAnsi="Times New Roman"/>
          <w:sz w:val="16"/>
          <w:szCs w:val="16"/>
          <w:u w:val="single" w:color="auto"/>
          <w:color w:val="auto"/>
        </w:rPr>
        <w:t>Section 3.6(d)</w:t>
      </w:r>
      <w:r>
        <w:rPr>
          <w:rFonts w:ascii="Times New Roman" w:cs="Times New Roman" w:eastAsia="Times New Roman" w:hAnsi="Times New Roman"/>
          <w:sz w:val="16"/>
          <w:szCs w:val="16"/>
          <w:color w:val="auto"/>
        </w:rPr>
        <w:t xml:space="preserve"> and the over-allotment option is not fully exercised pursuant to </w:t>
      </w:r>
      <w:r>
        <w:rPr>
          <w:rFonts w:ascii="Times New Roman" w:cs="Times New Roman" w:eastAsia="Times New Roman" w:hAnsi="Times New Roman"/>
          <w:sz w:val="16"/>
          <w:szCs w:val="16"/>
          <w:u w:val="single" w:color="auto"/>
          <w:color w:val="auto"/>
        </w:rPr>
        <w:t>Section 3.6(e)</w:t>
      </w:r>
      <w:r>
        <w:rPr>
          <w:rFonts w:ascii="Times New Roman" w:cs="Times New Roman" w:eastAsia="Times New Roman" w:hAnsi="Times New Roman"/>
          <w:sz w:val="16"/>
          <w:szCs w:val="16"/>
          <w:color w:val="auto"/>
        </w:rPr>
        <w:t xml:space="preserve">, the Company will be entitled to offer and sell any Preemptive Securities which the Preemptive Rights Holders have not elected to purchase during the 90 days following such expiration to any Person or Persons at a price not less than, and on other terms no more favorable in the aggregate to the purchasers thereof than, the prices and terms offered to the Preemptive Rights Holders. Any Preemptive Securities proposed to be offered or sold by the Company (i) during such 90-day period at a price less than, or on terms more favorable in the aggregate to the purchasers thereof than, the prices and terms offered to the Preemptive Rights Holders, or (ii) after such 90-day period, must be reoffered to the Preemptive Rights Holders in accordance with this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w:t>
      </w:r>
    </w:p>
    <w:p>
      <w:pPr>
        <w:spacing w:after="0" w:line="133"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Preemptive Rights; Exclusions</w:t>
      </w:r>
      <w:r>
        <w:rPr>
          <w:rFonts w:ascii="Times New Roman" w:cs="Times New Roman" w:eastAsia="Times New Roman" w:hAnsi="Times New Roman"/>
          <w:sz w:val="16"/>
          <w:szCs w:val="16"/>
          <w:color w:val="auto"/>
        </w:rPr>
        <w:t xml:space="preserve">. The rights of the Preemptive Rights Holders under this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 xml:space="preserve"> will terminate upon the consummation of the first to occur of an Initial Public Offering or a Sale Transaction in accordance with the provisions of this Agreement.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8" w:name="page149"/>
    <w:bookmarkEnd w:id="148"/>
    <w:p>
      <w:pPr>
        <w:jc w:val="both"/>
        <w:ind w:firstLine="481"/>
        <w:spacing w:after="0" w:line="251" w:lineRule="auto"/>
        <w:rPr>
          <w:sz w:val="20"/>
          <w:szCs w:val="20"/>
          <w:color w:val="auto"/>
        </w:rPr>
      </w:pPr>
      <w:r>
        <w:rPr>
          <w:rFonts w:ascii="Times New Roman" w:cs="Times New Roman" w:eastAsia="Times New Roman" w:hAnsi="Times New Roman"/>
          <w:sz w:val="16"/>
          <w:szCs w:val="16"/>
          <w:color w:val="auto"/>
        </w:rPr>
        <w:t xml:space="preserve">III.7 </w:t>
      </w:r>
      <w:r>
        <w:rPr>
          <w:rFonts w:ascii="Times New Roman" w:cs="Times New Roman" w:eastAsia="Times New Roman" w:hAnsi="Times New Roman"/>
          <w:sz w:val="16"/>
          <w:szCs w:val="16"/>
          <w:u w:val="single" w:color="auto"/>
          <w:color w:val="auto"/>
        </w:rPr>
        <w:t>Capital Accounts</w:t>
      </w:r>
      <w:r>
        <w:rPr>
          <w:rFonts w:ascii="Times New Roman" w:cs="Times New Roman" w:eastAsia="Times New Roman" w:hAnsi="Times New Roman"/>
          <w:sz w:val="16"/>
          <w:szCs w:val="16"/>
          <w:color w:val="auto"/>
        </w:rPr>
        <w:t xml:space="preserve">. The Company will maintain a separate Capital Account for each Member in compliance with Section 704(b) of the Code and in accordance with the rules of Treasury Regulations Section 1.704-1(b)(2)(iv), </w:t>
      </w:r>
      <w:r>
        <w:rPr>
          <w:rFonts w:ascii="Times New Roman" w:cs="Times New Roman" w:eastAsia="Times New Roman" w:hAnsi="Times New Roman"/>
          <w:sz w:val="16"/>
          <w:szCs w:val="16"/>
          <w:u w:val="single" w:color="auto"/>
          <w:color w:val="auto"/>
        </w:rPr>
        <w:t>it being understood</w:t>
      </w:r>
      <w:r>
        <w:rPr>
          <w:rFonts w:ascii="Times New Roman" w:cs="Times New Roman" w:eastAsia="Times New Roman" w:hAnsi="Times New Roman"/>
          <w:sz w:val="16"/>
          <w:szCs w:val="16"/>
          <w:color w:val="auto"/>
        </w:rPr>
        <w:t xml:space="preserve"> that each Member’s initial Capital Account shall equal the amount of such Member’s initial Capital Contribution (taking into account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set forth opposite such Member’s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Without limiting the generality of the foregoing sentence, following the Original LLCA Effective Date, the Capital Account of each Member will be adjusted: (a) by adding any Capital Contributions (taking into account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made by such Member after the Original LLCA Effective Date in consideration for the issuance of Units or otherwise, net of any Company liabilities (within the meaning of Treasury Regulations Section 1.752-1(a)(4)) to which such Capital Contribution is subject; (b) by deducting any amounts paid to such Member in connection with the redemption or other repurchase of Units by the Company; (c) by adding any Profits or other items in the nature of book income or gain allocated to such Member and deducting any Losses or other items in the nature of book loss or deduction allocated to such Member; and (d) by deducting any Distributions, net of any Company liabilities (within the meaning of Treasury Regulations Section 1.752-1(a)(4)) to which such Distributions are subject, to such Member. The provisions of this Agreement relating to the maintenance of Capital Accounts are intended to comply with Treasury Regulations Section 1.704-1(b)(2)(iv) and be interpreted and applied in a manner consistent with such Treasury Regulations. If the Board, acting reasonably, determines that it is prudent to modify the manner in which the Capital Accounts, or any debits or credits thereto, are computed in order to comply with such Treasury Regulations, then the Board may make such modification, with written notice to the Members within three days of such modification. The Board will (x) make any adjustments that are necessary or appropriate to maintain equality between the Capital Accounts of the Members and the amount of the Company capital reflected on the Company’s balance sheet, as computed for book purposes, in accordance with Treasury Regulations Section 1.704-1(b)(2)(iv)(g),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 make any appropriate modifications in the event unanticipated events might otherwise cause this Agreement not to comply with Treasury Regulations Section 1.704-1(b).</w:t>
      </w:r>
    </w:p>
    <w:p>
      <w:pPr>
        <w:spacing w:after="0" w:line="158"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 xml:space="preserve">III.8 </w:t>
      </w:r>
      <w:r>
        <w:rPr>
          <w:rFonts w:ascii="Times New Roman" w:cs="Times New Roman" w:eastAsia="Times New Roman" w:hAnsi="Times New Roman"/>
          <w:sz w:val="16"/>
          <w:szCs w:val="16"/>
          <w:u w:val="single" w:color="auto"/>
          <w:color w:val="auto"/>
        </w:rPr>
        <w:t>Negative Capital Accounts</w:t>
      </w:r>
      <w:r>
        <w:rPr>
          <w:rFonts w:ascii="Times New Roman" w:cs="Times New Roman" w:eastAsia="Times New Roman" w:hAnsi="Times New Roman"/>
          <w:sz w:val="16"/>
          <w:szCs w:val="16"/>
          <w:color w:val="auto"/>
        </w:rPr>
        <w:t>. No Member will be required to pay to any other Member or the Company any deficit or negative balance that may exist from time to time in such Person’s Capital Account, including upon and after dissolution of the Company. No Member will be liable to pay interest to the Company or any other Person in respect of any negative balance in such Member’s Capital Account.</w:t>
      </w:r>
    </w:p>
    <w:p>
      <w:pPr>
        <w:spacing w:after="0" w:line="124"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III.9 </w:t>
      </w:r>
      <w:r>
        <w:rPr>
          <w:rFonts w:ascii="Times New Roman" w:cs="Times New Roman" w:eastAsia="Times New Roman" w:hAnsi="Times New Roman"/>
          <w:sz w:val="16"/>
          <w:szCs w:val="16"/>
          <w:u w:val="single" w:color="auto"/>
          <w:color w:val="auto"/>
        </w:rPr>
        <w:t>No Withdrawal or Interest Rights</w:t>
      </w:r>
      <w:r>
        <w:rPr>
          <w:rFonts w:ascii="Times New Roman" w:cs="Times New Roman" w:eastAsia="Times New Roman" w:hAnsi="Times New Roman"/>
          <w:sz w:val="16"/>
          <w:szCs w:val="16"/>
          <w:color w:val="auto"/>
        </w:rPr>
        <w:t>. No Member will be entitled to withdraw all or any portion of such Member’s Capital Contributions or Capital Account or to receive any Distribution or Tax Distribution from the Company, except as expressly provided in this Agreement. Under circumstances requiring the return of any Capital Contribution, no Member shall have the right to demand or receive property other than cash, except as expressly provided in this Agreement. No Member shall have any liability for the return of the Capital Contributions of any other Member. No Member shall have the right to cause the sale of any Company asset, except as expressly provided in this Agreement. No Member shall have any right to receive any salary or draw with respect to its Capital Contributions or for services rendered on behalf of the Company or otherwise in its capacity as a Member. No Member will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color w:val="auto"/>
        </w:rPr>
        <w:t>be entitled to receive interest from the Company or any other Person in respect of any positive balance in such Member’s Capital Account.</w:t>
      </w:r>
    </w:p>
    <w:p>
      <w:pPr>
        <w:spacing w:after="0" w:line="167"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III.10 </w:t>
      </w:r>
      <w:r>
        <w:rPr>
          <w:rFonts w:ascii="Times New Roman" w:cs="Times New Roman" w:eastAsia="Times New Roman" w:hAnsi="Times New Roman"/>
          <w:sz w:val="16"/>
          <w:szCs w:val="16"/>
          <w:u w:val="single" w:color="auto"/>
          <w:color w:val="auto"/>
        </w:rPr>
        <w:t>Loans from Members</w:t>
      </w:r>
      <w:r>
        <w:rPr>
          <w:rFonts w:ascii="Times New Roman" w:cs="Times New Roman" w:eastAsia="Times New Roman" w:hAnsi="Times New Roman"/>
          <w:sz w:val="16"/>
          <w:szCs w:val="16"/>
          <w:color w:val="auto"/>
        </w:rPr>
        <w:t xml:space="preserve">. Loans by any Member to the Company, including, for the avoidance of doubt, any Emergency Loans, will not be considered Capital Contributions. If any Member loans any funds to the Company, then (a) the funds loaned to the Company will not increase the Capital Account of such Person, and (b) the amount of any such loans will be a debt of the Company owed to such Member and will be payable in accordance with the terms upon which such loans are made. For the avoidance of doubt, any such loans must be made in accordance with the requirements of this Agreement, including, for the avoidance of doubt,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III.11 </w:t>
      </w:r>
      <w:r>
        <w:rPr>
          <w:rFonts w:ascii="Times New Roman" w:cs="Times New Roman" w:eastAsia="Times New Roman" w:hAnsi="Times New Roman"/>
          <w:sz w:val="16"/>
          <w:szCs w:val="16"/>
          <w:u w:val="single" w:color="auto"/>
          <w:color w:val="auto"/>
        </w:rPr>
        <w:t>Adjustments to Capital Accounts for Distributions in Kind</w:t>
      </w:r>
      <w:r>
        <w:rPr>
          <w:rFonts w:ascii="Times New Roman" w:cs="Times New Roman" w:eastAsia="Times New Roman" w:hAnsi="Times New Roman"/>
          <w:sz w:val="16"/>
          <w:szCs w:val="16"/>
          <w:color w:val="auto"/>
        </w:rPr>
        <w:t xml:space="preserve">. To the extent that the Company makes a Distribution of property in kind to the Members, the Company will be deemed to have made a Distribution equal to the Fair Market Value of such property, determined by the Board as of the date of such Distribution, and such property will be treated as if it were sold for an amount equal to its Fair Market Value and any resulting gain or loss will be allocated to the Capital Accounts of the Members in accordance with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4.5</w:t>
      </w:r>
      <w:r>
        <w:rPr>
          <w:rFonts w:ascii="Times New Roman" w:cs="Times New Roman" w:eastAsia="Times New Roman" w:hAnsi="Times New Roman"/>
          <w:sz w:val="16"/>
          <w:szCs w:val="16"/>
          <w:color w:val="auto"/>
        </w:rPr>
        <w:t xml:space="preserve">. Any Distributions of property in kind to the Members will be made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III.12 </w:t>
      </w:r>
      <w:r>
        <w:rPr>
          <w:rFonts w:ascii="Times New Roman" w:cs="Times New Roman" w:eastAsia="Times New Roman" w:hAnsi="Times New Roman"/>
          <w:sz w:val="16"/>
          <w:szCs w:val="16"/>
          <w:u w:val="single" w:color="auto"/>
          <w:color w:val="auto"/>
        </w:rPr>
        <w:t>Transfer of Capital Accounts</w:t>
      </w:r>
      <w:r>
        <w:rPr>
          <w:rFonts w:ascii="Times New Roman" w:cs="Times New Roman" w:eastAsia="Times New Roman" w:hAnsi="Times New Roman"/>
          <w:sz w:val="16"/>
          <w:szCs w:val="16"/>
          <w:color w:val="auto"/>
        </w:rPr>
        <w:t>. The original Capital Account established for each Substituted Member will be in the same amount as the Capital Account (or portion thereof) of the Member to which such Substituted Member succeeds, at the time such Substituted Member is admitted as a Member of the Company. The Capital Account of any Member whose interest in the Company is increased or decreased by means of a Transfer to it of all or less than all of the Units of another Member will be appropriately adjusted to reflect such Transfer. Any reference in this Agreement to a Capital Contribution of or a Distribution to a Substituted Member that has succeeded to all or less than all of the Units of any other Member will include any Capital Contributions or Distributions previously made by or to such Transferor on account of the Units Transferred to such Substituted Member.</w:t>
      </w:r>
    </w:p>
    <w:p>
      <w:pPr>
        <w:spacing w:after="0" w:line="130"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III.13 </w:t>
      </w:r>
      <w:r>
        <w:rPr>
          <w:rFonts w:ascii="Times New Roman" w:cs="Times New Roman" w:eastAsia="Times New Roman" w:hAnsi="Times New Roman"/>
          <w:sz w:val="16"/>
          <w:szCs w:val="16"/>
          <w:u w:val="single" w:color="auto"/>
          <w:color w:val="auto"/>
        </w:rPr>
        <w:t>Adjustments to Units</w:t>
      </w:r>
      <w:r>
        <w:rPr>
          <w:rFonts w:ascii="Times New Roman" w:cs="Times New Roman" w:eastAsia="Times New Roman" w:hAnsi="Times New Roman"/>
          <w:sz w:val="16"/>
          <w:szCs w:val="16"/>
          <w:color w:val="auto"/>
        </w:rPr>
        <w:t xml:space="preserve">. If the Board at any time elects to subdivide (by any Unit split or otherwise) any particular class of Units into a greater number of Units of such class, then the Company will subdivide each Unit of such class outstanding immediately prior to such subdivision based upon the same ratio, and if the Board at any time elects to combine (by reverse Unit split or otherwise) any particular class of Units into a smaller number of Units of such class, then the Company will combine each Unit of such class outstanding immediately prior to such combination based upon the same ratio. For the avoidance of doubt, under no circumstances may the Company combine different classes of Units pursuant to this </w:t>
      </w:r>
      <w:r>
        <w:rPr>
          <w:rFonts w:ascii="Times New Roman" w:cs="Times New Roman" w:eastAsia="Times New Roman" w:hAnsi="Times New Roman"/>
          <w:sz w:val="16"/>
          <w:szCs w:val="16"/>
          <w:u w:val="single" w:color="auto"/>
          <w:color w:val="auto"/>
        </w:rPr>
        <w:t>Section 3.13</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 xml:space="preserve">III.14 </w:t>
      </w:r>
      <w:r>
        <w:rPr>
          <w:rFonts w:ascii="Times New Roman" w:cs="Times New Roman" w:eastAsia="Times New Roman" w:hAnsi="Times New Roman"/>
          <w:sz w:val="16"/>
          <w:szCs w:val="16"/>
          <w:u w:val="single" w:color="auto"/>
          <w:color w:val="auto"/>
        </w:rPr>
        <w:t>Member Representations and Warranties</w:t>
      </w:r>
      <w:r>
        <w:rPr>
          <w:rFonts w:ascii="Times New Roman" w:cs="Times New Roman" w:eastAsia="Times New Roman" w:hAnsi="Times New Roman"/>
          <w:sz w:val="16"/>
          <w:szCs w:val="16"/>
          <w:color w:val="auto"/>
        </w:rPr>
        <w:t>. By executing this Agreement, each Member represents and warrants to the Company and acknowledges that, as of the date of such Member’s execution of this Agreement or a Joinder Agreement and as of the date that any Additional Member is admitted as a Member of the Company, and as of any subsequent date on which any Member makes a Capital Contribution to the Company: (a) such Member has such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16"/>
          <w:szCs w:val="16"/>
          <w:color w:val="auto"/>
        </w:rPr>
        <w:t>knowledge and experience in financial and business matters and that such Member is capable of evaluating the merits and risks of an investment in the Company and making an informed investment decision with respect thereto; (b) such Member is able to bear the economic and financial risk of an investment in the Company for an indefinite period of time and understands that such Member has no right (other than as specifically set forth in this Agreement) to resign or have its Units repurchased by the Company; (c) such Member is acquiring any Units in the Company for such Member’s own account, for investment purposes only and not with a view to, or for resale in connection with, any distribution to the public or public offering thereof; (d) such Member understands that (i) the Units have not been registered with the U.S. Securities and Exchange Commission under the Securities Act, in reliance upon one or more exemptions from the registration requirements of the Securities Act, (ii) any Transfer of such Units is subject to compliance with, or the availability of exemptions from, the registration and qualification requirements of the Securities Act and any applicable state securities Laws, and</w:t>
      </w:r>
    </w:p>
    <w:p>
      <w:pPr>
        <w:spacing w:after="0" w:line="2" w:lineRule="exact"/>
        <w:rPr>
          <w:sz w:val="20"/>
          <w:szCs w:val="20"/>
          <w:color w:val="auto"/>
        </w:rPr>
      </w:pPr>
    </w:p>
    <w:p>
      <w:pPr>
        <w:jc w:val="both"/>
        <w:spacing w:after="0" w:line="251" w:lineRule="auto"/>
        <w:tabs>
          <w:tab w:leader="none" w:pos="28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Transfer of such Units is subject to restrictions on Transfer, purchase options, forfeiture and other obligations and limitations as set forth in this Agreement; and (e) the execution, delivery and performance of this Agreement by such Member, if applicable, (i) have been duly authorized by all necessary corporate or other action, (ii) do not require such Member to obtain any consent or approval that has not been obtained, and (iii) do not contravene or result in a default under any provision of any existing Law applicable to such Member or any provision of such Member’s charter, by-laws or other governing documents (if applicable) or any agreement or instrument to which such Member is a party or by which such Member is bound, except, in each case of </w:t>
      </w:r>
      <w:r>
        <w:rPr>
          <w:rFonts w:ascii="Times New Roman" w:cs="Times New Roman" w:eastAsia="Times New Roman" w:hAnsi="Times New Roman"/>
          <w:sz w:val="16"/>
          <w:szCs w:val="16"/>
          <w:u w:val="single" w:color="auto"/>
          <w:color w:val="auto"/>
        </w:rPr>
        <w:t>clauses (ii)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would not reasonably be expected to have a material adverse effect on such Member. In addition, by executing this Agreement or a Joinder Agreement, each Covered Member represents and warrants to the Company and acknowledges that, as of the date such Covered Member is admitted as a Member, and as of any subsequent date on which any Covered Member makes a Capital Contribution to the Company: (x) none of the “bad actor” disqualifying events described in Rule 506(d)(1)(i) through (viii) promulgated under the Securities Act (each, a “</w:t>
      </w:r>
      <w:r>
        <w:rPr>
          <w:rFonts w:ascii="Times New Roman" w:cs="Times New Roman" w:eastAsia="Times New Roman" w:hAnsi="Times New Roman"/>
          <w:sz w:val="16"/>
          <w:szCs w:val="16"/>
          <w:u w:val="single" w:color="auto"/>
          <w:color w:val="auto"/>
        </w:rPr>
        <w:t>Disqualification Event</w:t>
      </w:r>
      <w:r>
        <w:rPr>
          <w:rFonts w:ascii="Times New Roman" w:cs="Times New Roman" w:eastAsia="Times New Roman" w:hAnsi="Times New Roman"/>
          <w:sz w:val="16"/>
          <w:szCs w:val="16"/>
          <w:color w:val="auto"/>
        </w:rPr>
        <w:t>”) is applicable to such Covered Member or any of such Covered Member’s Rule 506(d) Related Parties, except, if applicable, for a Disqualification Event as to which Rule 506(d)(2)(ii), (d)(2)</w:t>
      </w:r>
    </w:p>
    <w:p>
      <w:pPr>
        <w:spacing w:after="0" w:line="257" w:lineRule="auto"/>
        <w:tabs>
          <w:tab w:leader="none" w:pos="30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or (d)(3) is applicable, and (y) to such Person’s knowledge, none of the Disqualification Events is applicable to such Covered Member’s initial designee named in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if applicable, for a Disqualification Event as to which Rule 506(d)(2)(ii), (d)(2)(iii) or (d)(3) is applicable.</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III.15  </w:t>
      </w:r>
      <w:r>
        <w:rPr>
          <w:rFonts w:ascii="Times New Roman" w:cs="Times New Roman" w:eastAsia="Times New Roman" w:hAnsi="Times New Roman"/>
          <w:sz w:val="16"/>
          <w:szCs w:val="16"/>
          <w:u w:val="single" w:color="auto"/>
          <w:color w:val="auto"/>
        </w:rPr>
        <w:t>Covered Member Notice of Disqualification Event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64" w:lineRule="auto"/>
        <w:tabs>
          <w:tab w:leader="none" w:pos="14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Covered Member will notify the Company promptly in writing if a Disqualification Event becomes applicable to such Covered Member or any of such Covered Member’s Rule 506(d) Related Parties, except, if applicable, for a Disqualification Event as to which Rule 506(d)(2)(ii), (d)(2)(iii) or (d)(3) is applicable (such Covered Member, a “</w:t>
      </w:r>
      <w:r>
        <w:rPr>
          <w:rFonts w:ascii="Times New Roman" w:cs="Times New Roman" w:eastAsia="Times New Roman" w:hAnsi="Times New Roman"/>
          <w:sz w:val="16"/>
          <w:szCs w:val="16"/>
          <w:u w:val="single" w:color="auto"/>
          <w:color w:val="auto"/>
        </w:rPr>
        <w:t>Disqualified Covered Member</w:t>
      </w:r>
      <w:r>
        <w:rPr>
          <w:rFonts w:ascii="Times New Roman" w:cs="Times New Roman" w:eastAsia="Times New Roman" w:hAnsi="Times New Roman"/>
          <w:sz w:val="16"/>
          <w:szCs w:val="16"/>
          <w:color w:val="auto"/>
        </w:rPr>
        <w:t>”).</w:t>
      </w:r>
    </w:p>
    <w:p>
      <w:pPr>
        <w:spacing w:after="0" w:line="123" w:lineRule="exact"/>
        <w:rPr>
          <w:rFonts w:ascii="Times New Roman" w:cs="Times New Roman" w:eastAsia="Times New Roman" w:hAnsi="Times New Roman"/>
          <w:sz w:val="16"/>
          <w:szCs w:val="16"/>
          <w:color w:val="auto"/>
        </w:rPr>
      </w:pPr>
    </w:p>
    <w:p>
      <w:pPr>
        <w:ind w:left="480" w:firstLine="962"/>
        <w:spacing w:after="0" w:line="280" w:lineRule="auto"/>
        <w:tabs>
          <w:tab w:leader="none" w:pos="1913"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such event, the Company shall notify each ROFO Rightholder that is not a Disqualified Covered Member and each such ROFO Rightholder shall have a call right (unless prohibited by applicable Law) to acquire all, but not less than all,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51" w:name="page152"/>
    <w:bookmarkEnd w:id="151"/>
    <w:p>
      <w:pPr>
        <w:jc w:val="both"/>
        <w:ind w:left="480"/>
        <w:spacing w:after="0" w:line="264" w:lineRule="auto"/>
        <w:rPr>
          <w:sz w:val="20"/>
          <w:szCs w:val="20"/>
          <w:color w:val="auto"/>
        </w:rPr>
      </w:pPr>
      <w:r>
        <w:rPr>
          <w:rFonts w:ascii="Times New Roman" w:cs="Times New Roman" w:eastAsia="Times New Roman" w:hAnsi="Times New Roman"/>
          <w:sz w:val="16"/>
          <w:szCs w:val="16"/>
          <w:color w:val="auto"/>
        </w:rPr>
        <w:t>Units of such Disqualified Covered Member (the “</w:t>
      </w:r>
      <w:r>
        <w:rPr>
          <w:rFonts w:ascii="Times New Roman" w:cs="Times New Roman" w:eastAsia="Times New Roman" w:hAnsi="Times New Roman"/>
          <w:sz w:val="16"/>
          <w:szCs w:val="16"/>
          <w:u w:val="single" w:color="auto"/>
          <w:color w:val="auto"/>
        </w:rPr>
        <w:t>Special Call Right</w:t>
      </w:r>
      <w:r>
        <w:rPr>
          <w:rFonts w:ascii="Times New Roman" w:cs="Times New Roman" w:eastAsia="Times New Roman" w:hAnsi="Times New Roman"/>
          <w:sz w:val="16"/>
          <w:szCs w:val="16"/>
          <w:color w:val="auto"/>
        </w:rPr>
        <w:t xml:space="preserve">”) at a purchase price equal to 75% of the Fair Market Value of such Units, by providing written notice to the Company within 20 days;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more than one of such ROFO Rightholders exercise their Special Call Right, then they shall each purchase their pro rata portion of the applicable Units.</w:t>
      </w:r>
    </w:p>
    <w:p>
      <w:pPr>
        <w:spacing w:after="0" w:line="134" w:lineRule="exact"/>
        <w:rPr>
          <w:sz w:val="20"/>
          <w:szCs w:val="20"/>
          <w:color w:val="auto"/>
        </w:rPr>
      </w:pPr>
    </w:p>
    <w:p>
      <w:pPr>
        <w:jc w:val="both"/>
        <w:ind w:left="480" w:firstLine="962"/>
        <w:spacing w:after="0" w:line="264" w:lineRule="auto"/>
        <w:tabs>
          <w:tab w:leader="none" w:pos="1918"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Special Call Right set forth in </w:t>
      </w:r>
      <w:r>
        <w:rPr>
          <w:rFonts w:ascii="Times New Roman" w:cs="Times New Roman" w:eastAsia="Times New Roman" w:hAnsi="Times New Roman"/>
          <w:sz w:val="16"/>
          <w:szCs w:val="16"/>
          <w:u w:val="single" w:color="auto"/>
          <w:color w:val="auto"/>
        </w:rPr>
        <w:t>Section 3.15(a)(i)</w:t>
      </w:r>
      <w:r>
        <w:rPr>
          <w:rFonts w:ascii="Times New Roman" w:cs="Times New Roman" w:eastAsia="Times New Roman" w:hAnsi="Times New Roman"/>
          <w:sz w:val="16"/>
          <w:szCs w:val="16"/>
          <w:color w:val="auto"/>
        </w:rPr>
        <w:t xml:space="preserve"> is not exercised by any ROFO Rightholder that is not a Disqualified Covered Member, the Company shall have the right (unless prohibited by applicable Law) at any time thereafter (exercisable by providing notice to the relevant Member) to redeem all, but not less than all, of the Units held by the Disqualified Covered Member, at an aggregate redemption price equal to 75% of the Fair Market Value of such Units.</w:t>
      </w:r>
    </w:p>
    <w:p>
      <w:pPr>
        <w:spacing w:after="0" w:line="123"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Covered Member with the right to designate or participate in the designation of one or more Managers pursuant to this Agreement also agrees</w:t>
      </w:r>
    </w:p>
    <w:p>
      <w:pPr>
        <w:spacing w:after="0" w:line="24" w:lineRule="exact"/>
        <w:rPr>
          <w:rFonts w:ascii="Times New Roman" w:cs="Times New Roman" w:eastAsia="Times New Roman" w:hAnsi="Times New Roman"/>
          <w:sz w:val="16"/>
          <w:szCs w:val="16"/>
          <w:color w:val="auto"/>
        </w:rPr>
      </w:pPr>
    </w:p>
    <w:p>
      <w:pPr>
        <w:jc w:val="both"/>
        <w:spacing w:after="0" w:line="255" w:lineRule="auto"/>
        <w:tabs>
          <w:tab w:leader="none" w:pos="19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designate or participate in the designation of any Manager designee who, to such Person’s knowledge, after reasonable inquiry, is a Disqualified Designee and (ii) that if such Person becomes aware that any individual previously designated by any such Person is or has become a Disqualified Designee, then such Person will promptly notify the other Managers of the Board and such Person and such other Managers will as promptly as practicable take such actions as are necessary to remove such Disqualified Designee from the Board and designate a replacement designee who is not a Disqualified Designee.</w:t>
      </w:r>
    </w:p>
    <w:p>
      <w:pPr>
        <w:spacing w:after="0" w:line="1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IV</w:t>
      </w:r>
    </w:p>
    <w:p>
      <w:pPr>
        <w:spacing w:after="0" w:line="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DISTRIBUTIONS AND ALLOCATIONS</w:t>
      </w:r>
    </w:p>
    <w:p>
      <w:pPr>
        <w:spacing w:after="0" w:line="149"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 xml:space="preserve">IV.1 </w:t>
      </w:r>
      <w:r>
        <w:rPr>
          <w:rFonts w:ascii="Times New Roman" w:cs="Times New Roman" w:eastAsia="Times New Roman" w:hAnsi="Times New Roman"/>
          <w:sz w:val="16"/>
          <w:szCs w:val="16"/>
          <w:u w:val="single" w:color="auto"/>
          <w:color w:val="auto"/>
        </w:rPr>
        <w:t>Tax Distributions</w:t>
      </w:r>
      <w:r>
        <w:rPr>
          <w:rFonts w:ascii="Times New Roman" w:cs="Times New Roman" w:eastAsia="Times New Roman" w:hAnsi="Times New Roman"/>
          <w:sz w:val="16"/>
          <w:szCs w:val="16"/>
          <w:color w:val="auto"/>
        </w:rPr>
        <w:t xml:space="preserve">. Subject to (a) the provisions of Section 18-607 of the Delaware Act, (b) any restrictions set forth in any loan agreement, including, for the avoidance of doubt, any loan agreement with respect to an Emergency Loan, or other contractual obligation of the Company or any of its Subsidiaries, and (c) having available cash, whether on hand or under applicable credit facilities, in each case as determined by the Board, each Fiscal Quarter the Board shall cause the Company to distribute, to the extent of the Company’s and its Subsidiaries’ unrestricted cash on hand, and prior to any Distribution made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to each Member an amount of cash (each, a “</w:t>
      </w:r>
      <w:r>
        <w:rPr>
          <w:rFonts w:ascii="Times New Roman" w:cs="Times New Roman" w:eastAsia="Times New Roman" w:hAnsi="Times New Roman"/>
          <w:sz w:val="16"/>
          <w:szCs w:val="16"/>
          <w:u w:val="single" w:color="auto"/>
          <w:color w:val="auto"/>
        </w:rPr>
        <w:t>Tax Distribution</w:t>
      </w:r>
      <w:r>
        <w:rPr>
          <w:rFonts w:ascii="Times New Roman" w:cs="Times New Roman" w:eastAsia="Times New Roman" w:hAnsi="Times New Roman"/>
          <w:sz w:val="16"/>
          <w:szCs w:val="16"/>
          <w:color w:val="auto"/>
        </w:rPr>
        <w:t xml:space="preserve">”) equal to the amount of Taxable income allocable to such Member for such Fiscal Quarter, net of any Taxable losses allocated to such Member in prior Fiscal Quarters of such Taxable Year and not previously taken into account under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(which Taxable income or Taxable losses will take into account allocations under Section 704(c) of the Code), multiplied by the Applicable Tax Rate. The Board may elect to reduce the amount of any Tax Distributions to reflect any available Tax credits allocable to the applicable Member for the Fiscal Quarter or any prior Fiscal Quarter to the extent not previously taken into account under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The amount of all Tax Distributions under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will be treated as advances of any Distributions payable to the Members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52" w:name="page153"/>
    <w:bookmarkEnd w:id="152"/>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IV.2</w:t>
      </w:r>
      <w:r>
        <w:rPr>
          <w:sz w:val="20"/>
          <w:szCs w:val="20"/>
          <w:color w:val="auto"/>
        </w:rPr>
        <w:tab/>
      </w:r>
      <w:r>
        <w:rPr>
          <w:rFonts w:ascii="Times New Roman" w:cs="Times New Roman" w:eastAsia="Times New Roman" w:hAnsi="Times New Roman"/>
          <w:sz w:val="16"/>
          <w:szCs w:val="16"/>
          <w:u w:val="single" w:color="auto"/>
          <w:color w:val="auto"/>
        </w:rPr>
        <w:t>Distributions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63" w:lineRule="auto"/>
        <w:tabs>
          <w:tab w:leader="none" w:pos="144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18-607 of the Delaware Act, each Fiscal Quarter the Board shall cause the Company to distribute on the Distribution Payment Date all Available Cash, if any, with respect to the Fiscal Quarter then ended, beginning with respect to the Fiscal Quarter ending on September 30, 2023. Within 45 days after the end of a Fiscal Quarter (or such longer period as approved by Major Investor Approval), the Company shall deliver to the Members a statement setting out the aggregate Available Cash calculated as of the last day of such Fiscal Quarter. Distributions by the Company will be made to the Members in the following order of priority:</w:t>
      </w:r>
    </w:p>
    <w:p>
      <w:pPr>
        <w:spacing w:after="0" w:line="124"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13"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to each Member, ratably in accordance with the number of Units held by each such Member prior to such Distribution, until each such Member has received aggregate Distributions pursuant to this </w:t>
      </w:r>
      <w:r>
        <w:rPr>
          <w:rFonts w:ascii="Times New Roman" w:cs="Times New Roman" w:eastAsia="Times New Roman" w:hAnsi="Times New Roman"/>
          <w:sz w:val="16"/>
          <w:szCs w:val="16"/>
          <w:u w:val="single" w:color="auto"/>
          <w:color w:val="auto"/>
        </w:rPr>
        <w:t>Section 4.2(a)(i)</w:t>
      </w:r>
      <w:r>
        <w:rPr>
          <w:rFonts w:ascii="Times New Roman" w:cs="Times New Roman" w:eastAsia="Times New Roman" w:hAnsi="Times New Roman"/>
          <w:sz w:val="16"/>
          <w:szCs w:val="16"/>
          <w:color w:val="auto"/>
        </w:rPr>
        <w:t xml:space="preserve"> equal to such Member’s aggregate Capital Contributions paid (or deemed to have been paid through such Member acquiring or succeeding to Units with Capital Contributions funded by the Transferor of such Units) to the Company;</w:t>
      </w:r>
    </w:p>
    <w:p>
      <w:pPr>
        <w:spacing w:after="0" w:line="134" w:lineRule="exact"/>
        <w:rPr>
          <w:rFonts w:ascii="Times New Roman" w:cs="Times New Roman" w:eastAsia="Times New Roman" w:hAnsi="Times New Roman"/>
          <w:sz w:val="16"/>
          <w:szCs w:val="16"/>
          <w:color w:val="auto"/>
        </w:rPr>
      </w:pPr>
    </w:p>
    <w:p>
      <w:pPr>
        <w:jc w:val="both"/>
        <w:ind w:left="480" w:firstLine="962"/>
        <w:spacing w:after="0" w:line="256" w:lineRule="auto"/>
        <w:tabs>
          <w:tab w:leader="none" w:pos="1918"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100% to the holders of Class A Common Units (the “</w:t>
      </w:r>
      <w:r>
        <w:rPr>
          <w:rFonts w:ascii="Times New Roman" w:cs="Times New Roman" w:eastAsia="Times New Roman" w:hAnsi="Times New Roman"/>
          <w:sz w:val="16"/>
          <w:szCs w:val="16"/>
          <w:u w:val="single" w:color="auto"/>
          <w:color w:val="auto"/>
        </w:rPr>
        <w:t>Class A Holders</w:t>
      </w:r>
      <w:r>
        <w:rPr>
          <w:rFonts w:ascii="Times New Roman" w:cs="Times New Roman" w:eastAsia="Times New Roman" w:hAnsi="Times New Roman"/>
          <w:sz w:val="16"/>
          <w:szCs w:val="16"/>
          <w:color w:val="auto"/>
        </w:rPr>
        <w:t xml:space="preserve">”), ratably in accordance with the number of Class A Common Units held by each Class A Holder, until the Class A Holders have collectively received aggregate Distributions on their Class A Common Units under </w:t>
      </w:r>
      <w:r>
        <w:rPr>
          <w:rFonts w:ascii="Times New Roman" w:cs="Times New Roman" w:eastAsia="Times New Roman" w:hAnsi="Times New Roman"/>
          <w:sz w:val="16"/>
          <w:szCs w:val="16"/>
          <w:u w:val="single" w:color="auto"/>
          <w:color w:val="auto"/>
        </w:rPr>
        <w:t>Section 4.2(a)(i)</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4.2(a)(ii)</w:t>
      </w:r>
      <w:r>
        <w:rPr>
          <w:rFonts w:ascii="Times New Roman" w:cs="Times New Roman" w:eastAsia="Times New Roman" w:hAnsi="Times New Roman"/>
          <w:sz w:val="16"/>
          <w:szCs w:val="16"/>
          <w:color w:val="auto"/>
        </w:rPr>
        <w:t xml:space="preserve"> in such amount as required to achieve an IRR of 8% in respect of the Capital Contributions paid to the Company with respect to the Class A Common Units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for the avoidance of doubt, that for the purpose of this </w:t>
      </w:r>
      <w:r>
        <w:rPr>
          <w:rFonts w:ascii="Times New Roman" w:cs="Times New Roman" w:eastAsia="Times New Roman" w:hAnsi="Times New Roman"/>
          <w:sz w:val="16"/>
          <w:szCs w:val="16"/>
          <w:u w:val="single" w:color="auto"/>
          <w:color w:val="auto"/>
        </w:rPr>
        <w:t>Section 4.2(a)(ii)</w:t>
      </w:r>
      <w:r>
        <w:rPr>
          <w:rFonts w:ascii="Times New Roman" w:cs="Times New Roman" w:eastAsia="Times New Roman" w:hAnsi="Times New Roman"/>
          <w:sz w:val="16"/>
          <w:szCs w:val="16"/>
          <w:color w:val="auto"/>
        </w:rPr>
        <w:t xml:space="preserve">, the deemed distribution of Warrants to the Initial SB Member (described in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shall not be taken into account);</w:t>
      </w:r>
    </w:p>
    <w:p>
      <w:pPr>
        <w:spacing w:after="0" w:line="130" w:lineRule="exact"/>
        <w:rPr>
          <w:rFonts w:ascii="Times New Roman" w:cs="Times New Roman" w:eastAsia="Times New Roman" w:hAnsi="Times New Roman"/>
          <w:sz w:val="16"/>
          <w:szCs w:val="16"/>
          <w:color w:val="auto"/>
        </w:rPr>
      </w:pPr>
    </w:p>
    <w:p>
      <w:pPr>
        <w:jc w:val="both"/>
        <w:ind w:left="480" w:firstLine="962"/>
        <w:spacing w:after="0" w:line="260" w:lineRule="auto"/>
        <w:tabs>
          <w:tab w:leader="none" w:pos="1922"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100% to each of the holders of Class B Common Units (the “</w:t>
      </w:r>
      <w:r>
        <w:rPr>
          <w:rFonts w:ascii="Times New Roman" w:cs="Times New Roman" w:eastAsia="Times New Roman" w:hAnsi="Times New Roman"/>
          <w:sz w:val="16"/>
          <w:szCs w:val="16"/>
          <w:u w:val="single" w:color="auto"/>
          <w:color w:val="auto"/>
        </w:rPr>
        <w:t>Class B Holders</w:t>
      </w:r>
      <w:r>
        <w:rPr>
          <w:rFonts w:ascii="Times New Roman" w:cs="Times New Roman" w:eastAsia="Times New Roman" w:hAnsi="Times New Roman"/>
          <w:sz w:val="16"/>
          <w:szCs w:val="16"/>
          <w:color w:val="auto"/>
        </w:rPr>
        <w:t xml:space="preserve">”), ratably in accordance with the number of Class B Common Units held by each Class B Holder, until the Class B Holders have collectively received an aggregate amount of Distributions under </w:t>
      </w:r>
      <w:r>
        <w:rPr>
          <w:rFonts w:ascii="Times New Roman" w:cs="Times New Roman" w:eastAsia="Times New Roman" w:hAnsi="Times New Roman"/>
          <w:sz w:val="16"/>
          <w:szCs w:val="16"/>
          <w:u w:val="single" w:color="auto"/>
          <w:color w:val="auto"/>
        </w:rPr>
        <w:t>Section 4.2(a)(i)</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4.2(a)(iii)</w:t>
      </w:r>
      <w:r>
        <w:rPr>
          <w:rFonts w:ascii="Times New Roman" w:cs="Times New Roman" w:eastAsia="Times New Roman" w:hAnsi="Times New Roman"/>
          <w:sz w:val="16"/>
          <w:szCs w:val="16"/>
          <w:color w:val="auto"/>
        </w:rPr>
        <w:t xml:space="preserve"> equal to each such Class B Holder’s Sharing Percentage of the cumulative amount of Distributions made pursuant to </w:t>
      </w:r>
      <w:r>
        <w:rPr>
          <w:rFonts w:ascii="Times New Roman" w:cs="Times New Roman" w:eastAsia="Times New Roman" w:hAnsi="Times New Roman"/>
          <w:sz w:val="16"/>
          <w:szCs w:val="16"/>
          <w:u w:val="single" w:color="auto"/>
          <w:color w:val="auto"/>
        </w:rPr>
        <w:t>Section 4.2(a)(i)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4.2(a)</w:t>
      </w:r>
    </w:p>
    <w:p>
      <w:pPr>
        <w:ind w:left="720" w:hanging="239"/>
        <w:spacing w:after="0"/>
        <w:tabs>
          <w:tab w:leader="none" w:pos="720" w:val="left"/>
        </w:tabs>
        <w:numPr>
          <w:ilvl w:val="0"/>
          <w:numId w:val="78"/>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and this </w:t>
      </w:r>
      <w:r>
        <w:rPr>
          <w:rFonts w:ascii="Times New Roman" w:cs="Times New Roman" w:eastAsia="Times New Roman" w:hAnsi="Times New Roman"/>
          <w:sz w:val="16"/>
          <w:szCs w:val="16"/>
          <w:u w:val="single" w:color="auto"/>
          <w:color w:val="auto"/>
        </w:rPr>
        <w:t>Section 4.2(a)(iii)</w:t>
      </w:r>
      <w:r>
        <w:rPr>
          <w:rFonts w:ascii="Times New Roman" w:cs="Times New Roman" w:eastAsia="Times New Roman" w:hAnsi="Times New Roman"/>
          <w:sz w:val="16"/>
          <w:szCs w:val="16"/>
          <w:color w:val="auto"/>
        </w:rPr>
        <w:t>; and</w:t>
      </w:r>
    </w:p>
    <w:p>
      <w:pPr>
        <w:spacing w:after="0" w:line="148" w:lineRule="exact"/>
        <w:rPr>
          <w:rFonts w:ascii="Times New Roman" w:cs="Times New Roman" w:eastAsia="Times New Roman" w:hAnsi="Times New Roman"/>
          <w:sz w:val="16"/>
          <w:szCs w:val="16"/>
          <w:u w:val="single" w:color="auto"/>
          <w:color w:val="auto"/>
        </w:rPr>
      </w:pPr>
    </w:p>
    <w:p>
      <w:pPr>
        <w:ind w:left="1920" w:hanging="478"/>
        <w:spacing w:after="0"/>
        <w:tabs>
          <w:tab w:leader="none" w:pos="1920" w:val="left"/>
        </w:tabs>
        <w:numPr>
          <w:ilvl w:val="2"/>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thereafter</w:t>
      </w:r>
      <w:r>
        <w:rPr>
          <w:rFonts w:ascii="Times New Roman" w:cs="Times New Roman" w:eastAsia="Times New Roman" w:hAnsi="Times New Roman"/>
          <w:sz w:val="16"/>
          <w:szCs w:val="16"/>
          <w:color w:val="auto"/>
        </w:rPr>
        <w:t>, ratably to the holders of Common Units in accordance with the number of Common Units held by each such Member prior to such</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w:t>
      </w:r>
    </w:p>
    <w:p>
      <w:pPr>
        <w:spacing w:after="0" w:line="158" w:lineRule="exact"/>
        <w:rPr>
          <w:rFonts w:ascii="Times New Roman" w:cs="Times New Roman" w:eastAsia="Times New Roman" w:hAnsi="Times New Roman"/>
          <w:sz w:val="16"/>
          <w:szCs w:val="16"/>
          <w:color w:val="auto"/>
        </w:rPr>
      </w:pPr>
    </w:p>
    <w:p>
      <w:pPr>
        <w:jc w:val="both"/>
        <w:ind w:firstLine="962"/>
        <w:spacing w:after="0" w:line="264" w:lineRule="auto"/>
        <w:tabs>
          <w:tab w:leader="none" w:pos="143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of a Sale Transaction, the Board shall promptly cause the Company to distribute the proceeds of the Sale Transaction to the Members in accordance with the provisions of </w:t>
      </w:r>
      <w:r>
        <w:rPr>
          <w:rFonts w:ascii="Times New Roman" w:cs="Times New Roman" w:eastAsia="Times New Roman" w:hAnsi="Times New Roman"/>
          <w:sz w:val="16"/>
          <w:szCs w:val="16"/>
          <w:u w:val="single" w:color="auto"/>
          <w:color w:val="auto"/>
        </w:rPr>
        <w:t>Section 4.2(a)(i)–(iv)</w:t>
      </w:r>
      <w:r>
        <w:rPr>
          <w:rFonts w:ascii="Times New Roman" w:cs="Times New Roman" w:eastAsia="Times New Roman" w:hAnsi="Times New Roman"/>
          <w:sz w:val="16"/>
          <w:szCs w:val="16"/>
          <w:color w:val="auto"/>
        </w:rPr>
        <w:t xml:space="preserve">. Distributions of Available Cash more frequently than quarterly may be made only with Major Investor Approval pursuant to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53" w:name="page154"/>
    <w:bookmarkEnd w:id="153"/>
    <w:p>
      <w:pPr>
        <w:jc w:val="both"/>
        <w:ind w:firstLine="962"/>
        <w:spacing w:after="0" w:line="254" w:lineRule="auto"/>
        <w:tabs>
          <w:tab w:leader="none" w:pos="14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Reserve Policy</w:t>
      </w:r>
      <w:r>
        <w:rPr>
          <w:rFonts w:ascii="Times New Roman" w:cs="Times New Roman" w:eastAsia="Times New Roman" w:hAnsi="Times New Roman"/>
          <w:sz w:val="16"/>
          <w:szCs w:val="16"/>
          <w:color w:val="auto"/>
        </w:rPr>
        <w:t xml:space="preserve">. The Company shall hold in reserve such cash or cash equivalents in an amount equal to the sum of, without duplication or overlapping of reserves covering the same or similar obligations, liabilities or risks: (i) amounts required under the terms of the Commercial Agreement, any loan agreement, including, for the avoidance of doubt, any loan agreement with respect to an Emergency Loan, or other contractual obligation of the Company, in each case, due and payable by the Company within the current or upcoming Fiscal Quarter; (ii) amounts required by applicable Law;, and (iii) an amount the Board determines, acting reasonably, is reasonably required to conduct the business of the Company at such time for a period of up to three months after the establishment of such reserves (or such other longer period as may be determined by Major Investor Approval pursuant to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taking into account the then-current Annual Budget, or if no then-current Annual Budget exists, the expected operating expenses and capital requirements for such period, and such other factors as the Board may determine (acting reasonably), including with respect to any contingent liabilities, indemnification liabilities or other liabilities of the Company (collectively, “</w:t>
      </w:r>
      <w:r>
        <w:rPr>
          <w:rFonts w:ascii="Times New Roman" w:cs="Times New Roman" w:eastAsia="Times New Roman" w:hAnsi="Times New Roman"/>
          <w:sz w:val="16"/>
          <w:szCs w:val="16"/>
          <w:u w:val="single" w:color="auto"/>
          <w:color w:val="auto"/>
        </w:rPr>
        <w:t>Permitted Reserves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 xml:space="preserve">IV.3 </w:t>
      </w:r>
      <w:r>
        <w:rPr>
          <w:rFonts w:ascii="Times New Roman" w:cs="Times New Roman" w:eastAsia="Times New Roman" w:hAnsi="Times New Roman"/>
          <w:sz w:val="16"/>
          <w:szCs w:val="16"/>
          <w:u w:val="single" w:color="auto"/>
          <w:color w:val="auto"/>
        </w:rPr>
        <w:t>Allocations</w:t>
      </w:r>
      <w:r>
        <w:rPr>
          <w:rFonts w:ascii="Times New Roman" w:cs="Times New Roman" w:eastAsia="Times New Roman" w:hAnsi="Times New Roman"/>
          <w:sz w:val="16"/>
          <w:szCs w:val="16"/>
          <w:color w:val="auto"/>
        </w:rPr>
        <w:t xml:space="preserve">. For each Fiscal Year of the Company, after adjusting each Member’s Capital Account for all Distributions made during such Fiscal Year and all Regulatory Allocations required to be made pursuant to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with respect to such Fiscal Year, Profits and Losses will be allocated among the Members in such a manner as to reduce or eliminate, to the extent possible, any difference, as of the end of such Fiscal Year, between (a) the sum of (i) the Capital Account of each Member, (ii) such Member’s share of Minimum Gain (as determined according to Treasury Regulations Section 1.704-2(g)), and (iii) such Member’s partner nonrecourse debt minimum gain (as defined in Treasury Regulations Section 1.704-2(i)(2)), and (b) the respective net amounts, positive or negative, that would be distributed to the Members or for which they would be liable to the Company under this Agreement and the Delaware Act, determined as if the Company were to (i) liquidate the assets of the Company for an amount equal to their Book Value and (ii) distribute the proceeds of such liquidation pursuant to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The Members acknowledge that Forfeiture Allocations may result from the allocations of Profits and Losses provided for in this Agreement.</w:t>
      </w:r>
    </w:p>
    <w:p>
      <w:pPr>
        <w:spacing w:after="0" w:line="135"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IV.4</w:t>
      </w:r>
      <w:r>
        <w:rPr>
          <w:sz w:val="20"/>
          <w:szCs w:val="20"/>
          <w:color w:val="auto"/>
        </w:rPr>
        <w:tab/>
      </w:r>
      <w:r>
        <w:rPr>
          <w:rFonts w:ascii="Times New Roman" w:cs="Times New Roman" w:eastAsia="Times New Roman" w:hAnsi="Times New Roman"/>
          <w:sz w:val="16"/>
          <w:szCs w:val="16"/>
          <w:u w:val="single" w:color="auto"/>
          <w:color w:val="auto"/>
        </w:rPr>
        <w:t>Regulatory Allocations</w:t>
      </w:r>
      <w:r>
        <w:rPr>
          <w:rFonts w:ascii="Times New Roman" w:cs="Times New Roman" w:eastAsia="Times New Roman" w:hAnsi="Times New Roman"/>
          <w:sz w:val="16"/>
          <w:szCs w:val="16"/>
          <w:color w:val="auto"/>
        </w:rPr>
        <w:t xml:space="preserve">. Notwithstanding any provisions of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to the contrary, if necessary, the Company will make special allocations to comply with</w:t>
      </w:r>
    </w:p>
    <w:p>
      <w:pPr>
        <w:spacing w:after="0" w:line="24" w:lineRule="exact"/>
        <w:rPr>
          <w:sz w:val="20"/>
          <w:szCs w:val="20"/>
          <w:color w:val="auto"/>
        </w:rPr>
      </w:pPr>
    </w:p>
    <w:p>
      <w:pPr>
        <w:jc w:val="both"/>
        <w:spacing w:after="0" w:line="251" w:lineRule="auto"/>
        <w:tabs>
          <w:tab w:leader="none" w:pos="2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Minimum Gain charge back provisions of Treasury Regulations Section 1.704-2(f), (b) the partner nonrecourse debt minimum gain charge back provisions of Treasury Regulations Section 1.704-2(i), (c) the qualified income offset provisions of Treasury Regulations Section 1.704-1(b)(2)(ii)(d), and (d) to the extent required, the forfeiture allocation provisions of Proposed Treasury Regulations Section 1.704-1(b)(4)(xii)(c) (“</w:t>
      </w:r>
      <w:r>
        <w:rPr>
          <w:rFonts w:ascii="Times New Roman" w:cs="Times New Roman" w:eastAsia="Times New Roman" w:hAnsi="Times New Roman"/>
          <w:sz w:val="16"/>
          <w:szCs w:val="16"/>
          <w:u w:val="single" w:color="auto"/>
          <w:color w:val="auto"/>
        </w:rPr>
        <w:t>Forfeiture Allocations</w:t>
      </w:r>
      <w:r>
        <w:rPr>
          <w:rFonts w:ascii="Times New Roman" w:cs="Times New Roman" w:eastAsia="Times New Roman" w:hAnsi="Times New Roman"/>
          <w:sz w:val="16"/>
          <w:szCs w:val="16"/>
          <w:color w:val="auto"/>
        </w:rPr>
        <w:t>”) or any successor provision or guidance issued by the applicable Governmental Authority. The allocations set forth in the prior sentence (the “</w:t>
      </w:r>
      <w:r>
        <w:rPr>
          <w:rFonts w:ascii="Times New Roman" w:cs="Times New Roman" w:eastAsia="Times New Roman" w:hAnsi="Times New Roman"/>
          <w:sz w:val="16"/>
          <w:szCs w:val="16"/>
          <w:u w:val="single" w:color="auto"/>
          <w:color w:val="auto"/>
        </w:rPr>
        <w:t>Regulatory Allocations</w:t>
      </w:r>
      <w:r>
        <w:rPr>
          <w:rFonts w:ascii="Times New Roman" w:cs="Times New Roman" w:eastAsia="Times New Roman" w:hAnsi="Times New Roman"/>
          <w:sz w:val="16"/>
          <w:szCs w:val="16"/>
          <w:color w:val="auto"/>
        </w:rPr>
        <w:t xml:space="preserve">”) are intended to comply with certain requirements of the Treasury Regulations under Section 704 of the Code. Notwithstanding any other provisions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to the contrary, if the Board determines that it is prudent, acting reasonably, to do so, the Board may make reasonably necessary supplementary allocations of Company income, gain, loss or deduction in order to offset Regulatory Allocations made so that, to the extent permissible under the Code, the net amount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54" w:name="page155"/>
    <w:bookmarkEnd w:id="154"/>
    <w:p>
      <w:pPr>
        <w:spacing w:after="0" w:line="280" w:lineRule="auto"/>
        <w:rPr>
          <w:sz w:val="20"/>
          <w:szCs w:val="20"/>
          <w:color w:val="auto"/>
        </w:rPr>
      </w:pPr>
      <w:r>
        <w:rPr>
          <w:rFonts w:ascii="Times New Roman" w:cs="Times New Roman" w:eastAsia="Times New Roman" w:hAnsi="Times New Roman"/>
          <w:sz w:val="16"/>
          <w:szCs w:val="16"/>
          <w:color w:val="auto"/>
        </w:rPr>
        <w:t>allocations of Profits and Losses and the Regulatory Allocations (including Regulatory Allocations that, although not yet made, are expected to be made in the future) to each Member will equal the net amount of allocations that would have been allocated to such Member if the Regulatory Allocations had not been made.</w:t>
      </w:r>
    </w:p>
    <w:p>
      <w:pPr>
        <w:spacing w:after="0" w:line="112"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IV.5</w:t>
      </w:r>
      <w:r>
        <w:rPr>
          <w:sz w:val="20"/>
          <w:szCs w:val="20"/>
          <w:color w:val="auto"/>
        </w:rPr>
        <w:tab/>
      </w:r>
      <w:r>
        <w:rPr>
          <w:rFonts w:ascii="Times New Roman" w:cs="Times New Roman" w:eastAsia="Times New Roman" w:hAnsi="Times New Roman"/>
          <w:sz w:val="16"/>
          <w:szCs w:val="16"/>
          <w:u w:val="single" w:color="auto"/>
          <w:color w:val="auto"/>
        </w:rPr>
        <w:t>Tax Allocations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59" w:lineRule="auto"/>
        <w:tabs>
          <w:tab w:leader="none" w:pos="14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Allocations Generally</w:t>
      </w:r>
      <w:r>
        <w:rPr>
          <w:rFonts w:ascii="Times New Roman" w:cs="Times New Roman" w:eastAsia="Times New Roman" w:hAnsi="Times New Roman"/>
          <w:sz w:val="16"/>
          <w:szCs w:val="16"/>
          <w:color w:val="auto"/>
        </w:rPr>
        <w:t xml:space="preserve">. Except as provided in </w:t>
      </w:r>
      <w:r>
        <w:rPr>
          <w:rFonts w:ascii="Times New Roman" w:cs="Times New Roman" w:eastAsia="Times New Roman" w:hAnsi="Times New Roman"/>
          <w:sz w:val="16"/>
          <w:szCs w:val="16"/>
          <w:u w:val="single" w:color="auto"/>
          <w:color w:val="auto"/>
        </w:rPr>
        <w:t>Section 4.5(b)</w:t>
      </w:r>
      <w:r>
        <w:rPr>
          <w:rFonts w:ascii="Times New Roman" w:cs="Times New Roman" w:eastAsia="Times New Roman" w:hAnsi="Times New Roman"/>
          <w:sz w:val="16"/>
          <w:szCs w:val="16"/>
          <w:color w:val="auto"/>
        </w:rPr>
        <w:t>, for U.S. federal, state and local income Tax purposes, each item of income, gain, loss, deduction and credit of the Company will be allocated among the Members in the same manner and in the same proportion that the corresponding book items have been allocated among the Members’ Capital Accounts, except that if any such allocation is not permitted by the Code or other applicable Law, then each subsequent item of income, gain, loss, deduction and credit will be allocated among the Members so as to reflect as nearly as possible the allocation set forth herein in computing their Capital Accounts.</w:t>
      </w:r>
    </w:p>
    <w:p>
      <w:pPr>
        <w:spacing w:after="0" w:line="127" w:lineRule="exact"/>
        <w:rPr>
          <w:rFonts w:ascii="Times New Roman" w:cs="Times New Roman" w:eastAsia="Times New Roman" w:hAnsi="Times New Roman"/>
          <w:sz w:val="16"/>
          <w:szCs w:val="16"/>
          <w:color w:val="auto"/>
        </w:rPr>
      </w:pPr>
    </w:p>
    <w:p>
      <w:pPr>
        <w:jc w:val="both"/>
        <w:ind w:firstLine="962"/>
        <w:spacing w:after="0" w:line="257" w:lineRule="auto"/>
        <w:tabs>
          <w:tab w:leader="none" w:pos="143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704(c) Allocations</w:t>
      </w:r>
      <w:r>
        <w:rPr>
          <w:rFonts w:ascii="Times New Roman" w:cs="Times New Roman" w:eastAsia="Times New Roman" w:hAnsi="Times New Roman"/>
          <w:sz w:val="16"/>
          <w:szCs w:val="16"/>
          <w:color w:val="auto"/>
        </w:rPr>
        <w:t xml:space="preserve">. Each item of income, gain, loss, deduction and credit of the Company with respect to any property contributed to the capital of the Company will, solely for Tax purposes, be allocated among the Members in accordance with Section 704(c) of the Code so as to take account of any variation between the adjusted basis of such asset for federal income Tax purposes and its initial Book Value. In addition, if the Book Value of any Company asset is adjusted pursuant to the requirements of Treasury Regulations Section 1.704-1(b)(2)(iv)(e) or (f), then subsequent allocations of items of income, gain, loss, deduction and credit with respect to such asset will take account of any variation between the adjusted basis of such asset for federal income Tax purposes and its Book Value in the same manner as under Section 704(c) of the Code. The Board will determine all allocations pursuant to this </w:t>
      </w:r>
      <w:r>
        <w:rPr>
          <w:rFonts w:ascii="Times New Roman" w:cs="Times New Roman" w:eastAsia="Times New Roman" w:hAnsi="Times New Roman"/>
          <w:sz w:val="16"/>
          <w:szCs w:val="16"/>
          <w:u w:val="single" w:color="auto"/>
          <w:color w:val="auto"/>
        </w:rPr>
        <w:t>Section 4.5(b)</w:t>
      </w:r>
      <w:r>
        <w:rPr>
          <w:rFonts w:ascii="Times New Roman" w:cs="Times New Roman" w:eastAsia="Times New Roman" w:hAnsi="Times New Roman"/>
          <w:sz w:val="16"/>
          <w:szCs w:val="16"/>
          <w:color w:val="auto"/>
        </w:rPr>
        <w:t xml:space="preserve"> using any permissible method under Treasury Regulations Section 1.704-3.</w:t>
      </w:r>
    </w:p>
    <w:p>
      <w:pPr>
        <w:spacing w:after="0" w:line="129" w:lineRule="exact"/>
        <w:rPr>
          <w:rFonts w:ascii="Times New Roman" w:cs="Times New Roman" w:eastAsia="Times New Roman" w:hAnsi="Times New Roman"/>
          <w:sz w:val="16"/>
          <w:szCs w:val="16"/>
          <w:color w:val="auto"/>
        </w:rPr>
      </w:pPr>
    </w:p>
    <w:p>
      <w:pPr>
        <w:jc w:val="both"/>
        <w:ind w:firstLine="962"/>
        <w:spacing w:after="0" w:line="259" w:lineRule="auto"/>
        <w:tabs>
          <w:tab w:leader="none" w:pos="14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reduction in the amount of depreciation, amortization or other cost recovery deductions allowable in respect of the Symbotic Systems acquired by the Company from the Symbotic Member pursuant to the Commercial Agreement that is attributable to the Tax Basis Differential shall be borne entirely by the SB Member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the Symbotic Member’s share of depreciation, amortization or other cost recovery deductions in respect of such Symbotic Systems shall not be less than the amount of such deductions to which the Symbotic Member would have been entitled (based on its Sharing Percentage) had the Company’s tax basis in such Symbotic Systems been equal to the amount set forth in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xml:space="preserve"> of the definition of the Tax Basis Differential.</w:t>
      </w:r>
    </w:p>
    <w:p>
      <w:pPr>
        <w:spacing w:after="0" w:line="129"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IV.6 </w:t>
      </w:r>
      <w:r>
        <w:rPr>
          <w:rFonts w:ascii="Times New Roman" w:cs="Times New Roman" w:eastAsia="Times New Roman" w:hAnsi="Times New Roman"/>
          <w:sz w:val="16"/>
          <w:szCs w:val="16"/>
          <w:u w:val="single" w:color="auto"/>
          <w:color w:val="auto"/>
        </w:rPr>
        <w:t>Indemnification and Reimbursement for Payments on Behalf of a Member</w:t>
      </w:r>
      <w:r>
        <w:rPr>
          <w:rFonts w:ascii="Times New Roman" w:cs="Times New Roman" w:eastAsia="Times New Roman" w:hAnsi="Times New Roman"/>
          <w:sz w:val="16"/>
          <w:szCs w:val="16"/>
          <w:color w:val="auto"/>
        </w:rPr>
        <w:t>. Each Member hereby authorizes the Company to withhold and to pay over any Taxes required under Law to be withheld by the Company or any of its Affiliates with respect to any amount payable, distributable or allocable by the Company to such Member. If the Company is required by Law to make any payment to a Governmental Authority or if amounts are withheld from payments otherwise required to be made to the Company, in each case, that is specifically attributable to or on account of a Member or a Member’s status as such (including U.S. federal, state and local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55" w:name="page156"/>
    <w:bookmarkEnd w:id="155"/>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withholding Taxes, Taxes imposed on the Company under Section 6221 of the Code, state personal property Taxes, and state unincorporated business taxes), then such Member will indemnify, defend and hold harmless the Company for, and contribute to the Company in full, the entire amount withheld or paid by the Company on behalf of or in respect of such Member (including any interest, penalties and related expenses);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any such indemnification, contribution or other payment by or on behalf of a Member will not be treated as a Capital Contribution. The Board may offset Distributions, including Tax Distributions, to which a Person is otherwise entitled under this Agreement against such Person’s obligation to indemnify and make contributions to the Company under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A Member’s obligation to indemnify and make contributions to the Company under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will survive the termination, dissolution, liquidation and winding up of the Company and the disposition of all of such Member’s Units, and the Company will be treated as continuing in existence until such obligations are satisfied. The Company may pursue and enforce all rights and remedies it may have against each Member under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including pursuant to </w:t>
      </w:r>
      <w:r>
        <w:rPr>
          <w:rFonts w:ascii="Times New Roman" w:cs="Times New Roman" w:eastAsia="Times New Roman" w:hAnsi="Times New Roman"/>
          <w:sz w:val="16"/>
          <w:szCs w:val="16"/>
          <w:u w:val="single" w:color="auto"/>
          <w:color w:val="auto"/>
        </w:rPr>
        <w:t>Section 14.7</w:t>
      </w:r>
      <w:r>
        <w:rPr>
          <w:rFonts w:ascii="Times New Roman" w:cs="Times New Roman" w:eastAsia="Times New Roman" w:hAnsi="Times New Roman"/>
          <w:sz w:val="16"/>
          <w:szCs w:val="16"/>
          <w:color w:val="auto"/>
        </w:rPr>
        <w:t>, to collect such indemnification and contribution, with interest calculated at a rate equal to the Default Rate.</w:t>
      </w:r>
    </w:p>
    <w:p>
      <w:pPr>
        <w:spacing w:after="0" w:line="1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V</w:t>
      </w:r>
    </w:p>
    <w:p>
      <w:pPr>
        <w:spacing w:after="0" w:line="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BOARD; MANAGEMENT</w:t>
      </w:r>
    </w:p>
    <w:p>
      <w:pPr>
        <w:spacing w:after="0" w:line="149"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V.1 </w:t>
      </w:r>
      <w:r>
        <w:rPr>
          <w:rFonts w:ascii="Times New Roman" w:cs="Times New Roman" w:eastAsia="Times New Roman" w:hAnsi="Times New Roman"/>
          <w:sz w:val="16"/>
          <w:szCs w:val="16"/>
          <w:u w:val="single" w:color="auto"/>
          <w:color w:val="auto"/>
        </w:rPr>
        <w:t>Authority of Board</w:t>
      </w:r>
      <w:r>
        <w:rPr>
          <w:rFonts w:ascii="Times New Roman" w:cs="Times New Roman" w:eastAsia="Times New Roman" w:hAnsi="Times New Roman"/>
          <w:sz w:val="16"/>
          <w:szCs w:val="16"/>
          <w:color w:val="auto"/>
        </w:rPr>
        <w:t>. Subject to the other provisions of this Agreement, (a) the board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will conduct, direct and exercise full control over all activities of the Company, (b) all management powers over the business and affairs of the Company will be exclusively vested in the Board, and (c) the Board will have the sole power to bind or take any action on behalf of the Company, and to exercise any rights and powers granted to the Company under this Agreement and any other agreement, instrument or other document that the Company is a party to or beneficiary of. The Board will be deemed the “manager” (as defined in the Delaware Act).</w:t>
      </w:r>
    </w:p>
    <w:p>
      <w:pPr>
        <w:spacing w:after="0" w:line="125"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V.2</w:t>
      </w:r>
      <w:r>
        <w:rPr>
          <w:sz w:val="20"/>
          <w:szCs w:val="20"/>
          <w:color w:val="auto"/>
        </w:rPr>
        <w:tab/>
      </w:r>
      <w:r>
        <w:rPr>
          <w:rFonts w:ascii="Times New Roman" w:cs="Times New Roman" w:eastAsia="Times New Roman" w:hAnsi="Times New Roman"/>
          <w:sz w:val="16"/>
          <w:szCs w:val="16"/>
          <w:u w:val="single" w:color="auto"/>
          <w:color w:val="auto"/>
        </w:rPr>
        <w:t>Composition of the Board</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firstLine="962"/>
        <w:spacing w:after="0" w:line="280" w:lineRule="auto"/>
        <w:tabs>
          <w:tab w:leader="none" w:pos="14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and Appointment</w:t>
      </w:r>
      <w:r>
        <w:rPr>
          <w:rFonts w:ascii="Times New Roman" w:cs="Times New Roman" w:eastAsia="Times New Roman" w:hAnsi="Times New Roman"/>
          <w:sz w:val="16"/>
          <w:szCs w:val="16"/>
          <w:color w:val="auto"/>
        </w:rPr>
        <w:t xml:space="preserve">. As of the Effective Date, the Board consists of five Managers and, subject to </w:t>
      </w:r>
      <w:r>
        <w:rPr>
          <w:rFonts w:ascii="Times New Roman" w:cs="Times New Roman" w:eastAsia="Times New Roman" w:hAnsi="Times New Roman"/>
          <w:sz w:val="16"/>
          <w:szCs w:val="16"/>
          <w:u w:val="single" w:color="auto"/>
          <w:color w:val="auto"/>
        </w:rPr>
        <w:t>Sections 5.2(b)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5.2(d)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5.2(e)</w:t>
      </w:r>
      <w:r>
        <w:rPr>
          <w:rFonts w:ascii="Times New Roman" w:cs="Times New Roman" w:eastAsia="Times New Roman" w:hAnsi="Times New Roman"/>
          <w:sz w:val="16"/>
          <w:szCs w:val="16"/>
          <w:color w:val="auto"/>
        </w:rPr>
        <w:t>, is comprised of the following Persons:</w:t>
      </w:r>
    </w:p>
    <w:p>
      <w:pPr>
        <w:spacing w:after="0" w:line="111"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 Managers designated by the SB Member, who initially will be Vikas J. Parekh and Ronald D. Fisher (the “</w:t>
      </w:r>
      <w:r>
        <w:rPr>
          <w:rFonts w:ascii="Times New Roman" w:cs="Times New Roman" w:eastAsia="Times New Roman" w:hAnsi="Times New Roman"/>
          <w:sz w:val="16"/>
          <w:szCs w:val="16"/>
          <w:u w:val="single" w:color="auto"/>
          <w:color w:val="auto"/>
        </w:rPr>
        <w:t>SB Managers</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 Managers designated by the Symbotic Member, who initially will be Richard B. Cohen and Rollin Ford (the “</w:t>
      </w:r>
      <w:r>
        <w:rPr>
          <w:rFonts w:ascii="Times New Roman" w:cs="Times New Roman" w:eastAsia="Times New Roman" w:hAnsi="Times New Roman"/>
          <w:sz w:val="16"/>
          <w:szCs w:val="16"/>
          <w:u w:val="single" w:color="auto"/>
          <w:color w:val="auto"/>
        </w:rPr>
        <w:t>Symbotic Managers</w:t>
      </w:r>
      <w:r>
        <w:rPr>
          <w:rFonts w:ascii="Times New Roman" w:cs="Times New Roman" w:eastAsia="Times New Roman" w:hAnsi="Times New Roman"/>
          <w:sz w:val="16"/>
          <w:szCs w:val="16"/>
          <w:color w:val="auto"/>
        </w:rPr>
        <w:t>”); and</w:t>
      </w:r>
    </w:p>
    <w:p>
      <w:pPr>
        <w:spacing w:after="0" w:line="166"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22"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independent (vis-à-vis each Initial Member to the extent such Initial Member remains a Major Investor, and who would otherwise, if a director of a listed issuer, qualify as an “independent director” under the listing standards of NASDAQ and Rule 10A-3(b)(ii) of the Securities Exchange Act) Manager (the “</w:t>
      </w:r>
      <w:r>
        <w:rPr>
          <w:rFonts w:ascii="Times New Roman" w:cs="Times New Roman" w:eastAsia="Times New Roman" w:hAnsi="Times New Roman"/>
          <w:sz w:val="16"/>
          <w:szCs w:val="16"/>
          <w:u w:val="single" w:color="auto"/>
          <w:color w:val="auto"/>
        </w:rPr>
        <w:t>Independent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56" w:name="page157"/>
    <w:bookmarkEnd w:id="156"/>
    <w:p>
      <w:pPr>
        <w:ind w:left="480"/>
        <w:spacing w:after="0" w:line="280" w:lineRule="auto"/>
        <w:rPr>
          <w:sz w:val="20"/>
          <w:szCs w:val="20"/>
          <w:color w:val="auto"/>
        </w:rPr>
      </w:pPr>
      <w:r>
        <w:rPr>
          <w:rFonts w:ascii="Times New Roman" w:cs="Times New Roman" w:eastAsia="Times New Roman" w:hAnsi="Times New Roman"/>
          <w:sz w:val="16"/>
          <w:szCs w:val="16"/>
          <w:u w:val="single" w:color="auto"/>
          <w:color w:val="auto"/>
        </w:rPr>
        <w:t>Manager</w:t>
      </w:r>
      <w:r>
        <w:rPr>
          <w:rFonts w:ascii="Times New Roman" w:cs="Times New Roman" w:eastAsia="Times New Roman" w:hAnsi="Times New Roman"/>
          <w:sz w:val="16"/>
          <w:szCs w:val="16"/>
          <w:color w:val="auto"/>
        </w:rPr>
        <w:t xml:space="preserve">”) designated by the unanimous written consent of the Initial Members to the extent such Initial Member remains a Major Investor, who initially will be Bob Palmer;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only one Initial Member remains a Major Investor then the Independent Manager shall be designated pursuant to </w:t>
      </w:r>
      <w:r>
        <w:rPr>
          <w:rFonts w:ascii="Times New Roman" w:cs="Times New Roman" w:eastAsia="Times New Roman" w:hAnsi="Times New Roman"/>
          <w:sz w:val="16"/>
          <w:szCs w:val="16"/>
          <w:u w:val="single" w:color="auto"/>
          <w:color w:val="auto"/>
        </w:rPr>
        <w:t>Section 5.2(e)</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both"/>
        <w:ind w:firstLine="962"/>
        <w:spacing w:after="0" w:line="257" w:lineRule="auto"/>
        <w:tabs>
          <w:tab w:leader="none" w:pos="143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Fall-Away Designation Rights</w:t>
      </w:r>
      <w:r>
        <w:rPr>
          <w:rFonts w:ascii="Times New Roman" w:cs="Times New Roman" w:eastAsia="Times New Roman" w:hAnsi="Times New Roman"/>
          <w:sz w:val="16"/>
          <w:szCs w:val="16"/>
          <w:color w:val="auto"/>
        </w:rPr>
        <w:t xml:space="preserve">. In addition to and without limiting the provisions of </w:t>
      </w:r>
      <w:r>
        <w:rPr>
          <w:rFonts w:ascii="Times New Roman" w:cs="Times New Roman" w:eastAsia="Times New Roman" w:hAnsi="Times New Roman"/>
          <w:sz w:val="16"/>
          <w:szCs w:val="16"/>
          <w:u w:val="single" w:color="auto"/>
          <w:color w:val="auto"/>
        </w:rPr>
        <w:t>Section 3.3(e)</w:t>
      </w:r>
      <w:r>
        <w:rPr>
          <w:rFonts w:ascii="Times New Roman" w:cs="Times New Roman" w:eastAsia="Times New Roman" w:hAnsi="Times New Roman"/>
          <w:sz w:val="16"/>
          <w:szCs w:val="16"/>
          <w:color w:val="auto"/>
        </w:rPr>
        <w:t xml:space="preserve">, if at any time the SB Member or the Symbotic Member, respectively, ceases to be a Major Investor, the right of such Member pursuant to </w:t>
      </w:r>
      <w:r>
        <w:rPr>
          <w:rFonts w:ascii="Times New Roman" w:cs="Times New Roman" w:eastAsia="Times New Roman" w:hAnsi="Times New Roman"/>
          <w:sz w:val="16"/>
          <w:szCs w:val="16"/>
          <w:u w:val="single" w:color="auto"/>
          <w:color w:val="auto"/>
        </w:rPr>
        <w:t>Sections 5.2(a)(i)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as applicable, will be of no further force or effect, and the SB Managers or the Symbotic Managers, as applicable, will be deemed to have resigned from the Board and will automatically and immediately cease to be a Manager without any further action. Such Manager position will thereafter be filled by an independent (vis-à-vis each Initial Member to the extent such Initial Member remains a Major Investor, and who would otherwise, if a director of a listed issuer, qualify as an “independent director” under the listing standards of NASDAQ and Rule 10A-3(b)(ii) of the Securities Exchange Act) Manager pursuant to </w:t>
      </w:r>
      <w:r>
        <w:rPr>
          <w:rFonts w:ascii="Times New Roman" w:cs="Times New Roman" w:eastAsia="Times New Roman" w:hAnsi="Times New Roman"/>
          <w:sz w:val="16"/>
          <w:szCs w:val="16"/>
          <w:u w:val="single" w:color="auto"/>
          <w:color w:val="auto"/>
        </w:rPr>
        <w:t>Section 5.2(e)</w:t>
      </w:r>
      <w:r>
        <w:rPr>
          <w:rFonts w:ascii="Times New Roman" w:cs="Times New Roman" w:eastAsia="Times New Roman" w:hAnsi="Times New Roman"/>
          <w:sz w:val="16"/>
          <w:szCs w:val="16"/>
          <w:color w:val="auto"/>
        </w:rPr>
        <w:t>, and such Manager shall thereafter be deemed an “Independent Manager” for all purposes under this Agreement.</w:t>
      </w:r>
    </w:p>
    <w:p>
      <w:pPr>
        <w:spacing w:after="0" w:line="139" w:lineRule="exact"/>
        <w:rPr>
          <w:rFonts w:ascii="Times New Roman" w:cs="Times New Roman" w:eastAsia="Times New Roman" w:hAnsi="Times New Roman"/>
          <w:sz w:val="16"/>
          <w:szCs w:val="16"/>
          <w:color w:val="auto"/>
        </w:rPr>
      </w:pPr>
    </w:p>
    <w:p>
      <w:pPr>
        <w:jc w:val="both"/>
        <w:ind w:firstLine="962"/>
        <w:spacing w:after="0" w:line="254" w:lineRule="auto"/>
        <w:tabs>
          <w:tab w:leader="none" w:pos="1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Each Manager will serve until a successor is duly appointed in accordance with the terms hereof or its, his, her or their earlier resignation, death, incapacitation or removal. A Person will become a Manager effective upon receipt by the Company of a written notice (or at such later time or upon the happening of some other event specified in such notice) of such Person’s designation from the Person(s) entitled to designate such Manager pursuant to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Persons identified by name in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became Managers on or prior to and will continue to be Managers following the Effective Date. A Manager may resign at any time by delivering written notice to the Company. Such resignation will be effective upon receipt by the Company unless it is specified to be effective at some other time or upon the happening of some other event.</w:t>
      </w:r>
    </w:p>
    <w:p>
      <w:pPr>
        <w:spacing w:after="0" w:line="143" w:lineRule="exact"/>
        <w:rPr>
          <w:rFonts w:ascii="Times New Roman" w:cs="Times New Roman" w:eastAsia="Times New Roman" w:hAnsi="Times New Roman"/>
          <w:sz w:val="16"/>
          <w:szCs w:val="16"/>
          <w:color w:val="auto"/>
        </w:rPr>
      </w:pPr>
    </w:p>
    <w:p>
      <w:pPr>
        <w:jc w:val="both"/>
        <w:ind w:firstLine="962"/>
        <w:spacing w:after="0" w:line="264" w:lineRule="auto"/>
        <w:tabs>
          <w:tab w:leader="none" w:pos="143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w:t>
      </w:r>
      <w:r>
        <w:rPr>
          <w:rFonts w:ascii="Times New Roman" w:cs="Times New Roman" w:eastAsia="Times New Roman" w:hAnsi="Times New Roman"/>
          <w:sz w:val="16"/>
          <w:szCs w:val="16"/>
          <w:color w:val="auto"/>
        </w:rPr>
        <w:t>. Any Manager will be removed automatically from the Board and each committee thereof or from the board of managers, board of directors or similar governing body of any Subsidiary, or any committee thereof (without any further action on the part of such Manager, the Board, such Subsidiary governing body or such committee(s)):</w:t>
      </w:r>
    </w:p>
    <w:p>
      <w:pPr>
        <w:spacing w:after="0" w:line="123"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SB Manager, for any or no reason upon the written request of the SB Member;</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Symbotic Manager, for any or no reason upon the written request of the Symbotic Member;</w:t>
      </w:r>
    </w:p>
    <w:p>
      <w:pPr>
        <w:spacing w:after="0" w:line="176"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22"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Independent Manager, (A) for any or no reason upon the written consent of either Initial Member (or, if only one Initial Member remains a Major Investor, then with the written consent of either (x) such Initial Member that remains a Major Investor or (y) the other Members holding a majority of the aggregate number of Units held by such other Members), or (B) in the event the Independent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57" w:name="page158"/>
    <w:bookmarkEnd w:id="157"/>
    <w:p>
      <w:pPr>
        <w:ind w:left="480"/>
        <w:spacing w:after="0" w:line="280" w:lineRule="auto"/>
        <w:rPr>
          <w:sz w:val="20"/>
          <w:szCs w:val="20"/>
          <w:color w:val="auto"/>
        </w:rPr>
      </w:pPr>
      <w:r>
        <w:rPr>
          <w:rFonts w:ascii="Times New Roman" w:cs="Times New Roman" w:eastAsia="Times New Roman" w:hAnsi="Times New Roman"/>
          <w:sz w:val="16"/>
          <w:szCs w:val="16"/>
          <w:color w:val="auto"/>
        </w:rPr>
        <w:t>Manager is no longer independent (vis-à-vis each Initial Member to the extent such Initial Member remains a Major Investor, and who would otherwise, if a director of a listed issuer, qualify as an “independent director” under the listing standards of NASDAQ and Rule 10A-3(b)(ii) of the Securities Exchange Act);</w:t>
      </w:r>
    </w:p>
    <w:p>
      <w:pPr>
        <w:spacing w:after="0" w:line="112" w:lineRule="exact"/>
        <w:rPr>
          <w:sz w:val="20"/>
          <w:szCs w:val="20"/>
          <w:color w:val="auto"/>
        </w:rPr>
      </w:pPr>
    </w:p>
    <w:p>
      <w:pPr>
        <w:ind w:left="480" w:firstLine="962"/>
        <w:spacing w:after="0" w:line="293" w:lineRule="auto"/>
        <w:tabs>
          <w:tab w:leader="none" w:pos="1913" w:val="left"/>
        </w:tabs>
        <w:numPr>
          <w:ilvl w:val="2"/>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Board (excluding the Manager that is the subject of the Board’s evaluation of whether there is Cause for Removal of such Manager) determines that Cause for Removal exists; or</w:t>
      </w:r>
    </w:p>
    <w:p>
      <w:pPr>
        <w:spacing w:after="0" w:line="101"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Manager is an employee of the Company or any of its Subsidiaries and ceases to be employed by the Company or any of its Subsidiaries.</w:t>
      </w:r>
    </w:p>
    <w:p>
      <w:pPr>
        <w:spacing w:after="0" w:line="166" w:lineRule="exact"/>
        <w:rPr>
          <w:rFonts w:ascii="Times New Roman" w:cs="Times New Roman" w:eastAsia="Times New Roman" w:hAnsi="Times New Roman"/>
          <w:sz w:val="16"/>
          <w:szCs w:val="16"/>
          <w:color w:val="auto"/>
        </w:rPr>
      </w:pPr>
    </w:p>
    <w:p>
      <w:pPr>
        <w:jc w:val="both"/>
        <w:ind w:firstLine="962"/>
        <w:spacing w:after="0" w:line="259" w:lineRule="auto"/>
        <w:tabs>
          <w:tab w:leader="none" w:pos="14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Vacancies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(i) a vacancy on the Board because of the resignation, death, incapacity or removal of a SB Manager will be filled by the SB Member, (ii) a vacancy on the Board because of the resignation, death, incapacity or removal of a Symbotic Manager will be filled by the Symbotic Member, and</w:t>
      </w:r>
    </w:p>
    <w:p>
      <w:pPr>
        <w:spacing w:after="0" w:line="1" w:lineRule="exact"/>
        <w:rPr>
          <w:rFonts w:ascii="Times New Roman" w:cs="Times New Roman" w:eastAsia="Times New Roman" w:hAnsi="Times New Roman"/>
          <w:sz w:val="16"/>
          <w:szCs w:val="16"/>
          <w:color w:val="auto"/>
        </w:rPr>
      </w:pPr>
    </w:p>
    <w:p>
      <w:pPr>
        <w:jc w:val="both"/>
        <w:spacing w:after="0" w:line="252" w:lineRule="auto"/>
        <w:tabs>
          <w:tab w:leader="none" w:pos="28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vacancy on the Board because of the resignation, death, incapacity or removal of an Independent Manager will be filled by the unanimous written consent of the Initial Members who remain Major Investors at such time, or, if only one Initial Member remains a Major Investor, by mutual consent of (x) the Initial Member who remains a Major Investor and (y) the other Members holding a majority of the aggregate number of Units held by such other Members. If such Initial Members are not able to agree on an Independent Manager within 30 days of a vacancy in an Independent Manager on the Board, the most senior Officer who is independent (vis-à-vis each Member) shall become an interim Independent Manager (a “</w:t>
      </w:r>
      <w:r>
        <w:rPr>
          <w:rFonts w:ascii="Times New Roman" w:cs="Times New Roman" w:eastAsia="Times New Roman" w:hAnsi="Times New Roman"/>
          <w:sz w:val="16"/>
          <w:szCs w:val="16"/>
          <w:u w:val="single" w:color="auto"/>
          <w:color w:val="auto"/>
        </w:rPr>
        <w:t>Temporary Independent Manager</w:t>
      </w:r>
      <w:r>
        <w:rPr>
          <w:rFonts w:ascii="Times New Roman" w:cs="Times New Roman" w:eastAsia="Times New Roman" w:hAnsi="Times New Roman"/>
          <w:sz w:val="16"/>
          <w:szCs w:val="16"/>
          <w:color w:val="auto"/>
        </w:rPr>
        <w:t xml:space="preserve">”). Such Temporary Independent Manager shall serve as Independent Manager until the earlier of (x) the appointment of an Independent Manager with the unanimous consent of the Initial Members who remain Major Investors at such time (or, if only one Initial Member remains a Major Investor, then pursuant to the procedure described in the first sentence of this </w:t>
      </w:r>
      <w:r>
        <w:rPr>
          <w:rFonts w:ascii="Times New Roman" w:cs="Times New Roman" w:eastAsia="Times New Roman" w:hAnsi="Times New Roman"/>
          <w:sz w:val="16"/>
          <w:szCs w:val="16"/>
          <w:u w:val="single" w:color="auto"/>
          <w:color w:val="auto"/>
        </w:rPr>
        <w:t>Section 5.2(e)</w:t>
      </w:r>
      <w:r>
        <w:rPr>
          <w:rFonts w:ascii="Times New Roman" w:cs="Times New Roman" w:eastAsia="Times New Roman" w:hAnsi="Times New Roman"/>
          <w:sz w:val="16"/>
          <w:szCs w:val="16"/>
          <w:color w:val="auto"/>
        </w:rPr>
        <w:t xml:space="preserve">), (y) the removal of the Temporary Independent Manager in accordance with either </w:t>
      </w:r>
      <w:r>
        <w:rPr>
          <w:rFonts w:ascii="Times New Roman" w:cs="Times New Roman" w:eastAsia="Times New Roman" w:hAnsi="Times New Roman"/>
          <w:sz w:val="16"/>
          <w:szCs w:val="16"/>
          <w:u w:val="single" w:color="auto"/>
          <w:color w:val="auto"/>
        </w:rPr>
        <w:t>Section 5.2(d)(iii)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as applied to such Temporary Independent Manager, and (z) the Temporary Independent Manager ceases to be employed as an officer of the Company.</w:t>
      </w:r>
    </w:p>
    <w:p>
      <w:pPr>
        <w:spacing w:after="0" w:line="136" w:lineRule="exact"/>
        <w:rPr>
          <w:rFonts w:ascii="Times New Roman" w:cs="Times New Roman" w:eastAsia="Times New Roman" w:hAnsi="Times New Roman"/>
          <w:sz w:val="16"/>
          <w:szCs w:val="16"/>
          <w:color w:val="auto"/>
        </w:rPr>
      </w:pPr>
    </w:p>
    <w:p>
      <w:pPr>
        <w:jc w:val="both"/>
        <w:ind w:firstLine="962"/>
        <w:spacing w:after="0" w:line="263" w:lineRule="auto"/>
        <w:tabs>
          <w:tab w:leader="none" w:pos="1442"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Chairperson</w:t>
      </w:r>
      <w:r>
        <w:rPr>
          <w:rFonts w:ascii="Times New Roman" w:cs="Times New Roman" w:eastAsia="Times New Roman" w:hAnsi="Times New Roman"/>
          <w:sz w:val="16"/>
          <w:szCs w:val="16"/>
          <w:color w:val="auto"/>
        </w:rPr>
        <w:t>. The Board may from time to time designate a chairperson of the Board (the “</w:t>
      </w:r>
      <w:r>
        <w:rPr>
          <w:rFonts w:ascii="Times New Roman" w:cs="Times New Roman" w:eastAsia="Times New Roman" w:hAnsi="Times New Roman"/>
          <w:sz w:val="16"/>
          <w:szCs w:val="16"/>
          <w:u w:val="single" w:color="auto"/>
          <w:color w:val="auto"/>
        </w:rPr>
        <w:t>Chairperson</w:t>
      </w:r>
      <w:r>
        <w:rPr>
          <w:rFonts w:ascii="Times New Roman" w:cs="Times New Roman" w:eastAsia="Times New Roman" w:hAnsi="Times New Roman"/>
          <w:sz w:val="16"/>
          <w:szCs w:val="16"/>
          <w:color w:val="auto"/>
        </w:rPr>
        <w:t xml:space="preserve">”) to preside at all meetings of the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matters involving a conflict or potential conflict of interest between the Company or any of its Subsidiaries, on the one hand, and the Chairperson, on the other hand, another Manager without a conflict or potential conflict of interest with the Company or any of its Subsidiaries with respect to the matter will preside, if available. The Chairperson will otherwise have no special, enhanced voting or governance rights.</w:t>
      </w:r>
    </w:p>
    <w:p>
      <w:pPr>
        <w:spacing w:after="0" w:line="124" w:lineRule="exact"/>
        <w:rPr>
          <w:rFonts w:ascii="Times New Roman" w:cs="Times New Roman" w:eastAsia="Times New Roman" w:hAnsi="Times New Roman"/>
          <w:sz w:val="16"/>
          <w:szCs w:val="16"/>
          <w:color w:val="auto"/>
        </w:rPr>
      </w:pPr>
    </w:p>
    <w:p>
      <w:pPr>
        <w:jc w:val="both"/>
        <w:ind w:firstLine="962"/>
        <w:spacing w:after="0" w:line="264" w:lineRule="auto"/>
        <w:tabs>
          <w:tab w:leader="none" w:pos="1439"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Subsidiary Governing Bodies; Committees</w:t>
      </w:r>
      <w:r>
        <w:rPr>
          <w:rFonts w:ascii="Times New Roman" w:cs="Times New Roman" w:eastAsia="Times New Roman" w:hAnsi="Times New Roman"/>
          <w:sz w:val="16"/>
          <w:szCs w:val="16"/>
          <w:color w:val="auto"/>
        </w:rPr>
        <w:t>. Each Subsidiary of the Company will, to the greatest extent permitted by applicable Law, have a board of managers, board of directors or similar governing body that provides for the same constitution of such governing body and the same voting rights as are, in each case, applicable to the Company and set forth herein. To the greatest extent permitted by applicable Law, the Board may from time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58" w:name="page159"/>
    <w:bookmarkEnd w:id="158"/>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time establish and delegate authority to one or more committees. To the greatest extent permitted by applicable Law, the board of managers, board of directors or similar governing body of any of the Company’s Subsidiaries may from time to time establish and delegate authority to one or more committees on the same basis as the Company’s Board. Any committee of the Board or the board of managers, board of directors or similar governing body of any of the Company’s Subsidiaries will promptly notify the Board or such Subsidiary’s board of managers, board of directors or similar governing body, as applicable, of any decisions it has made. Except for any Transaction Committee set forth in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or other conflicts or special committees overseeing actions or transactions of the Company involving a conflict or potential conflict of interest between the Company or any of its Subsidiaries, on the one hand, and any Member or any executive officer, manager, director, Affiliate or Related Party of a Member, on the other hand, with respect to which the Symbotic Managers or the SB Managers, as applicable, are recused pursuant to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 as applicable, the Symbotic Member and the SB Member, so long as such Member is a Major Investor, shall each be entitled to appoint the Symbotic Managers and the SB Managers, as applicable, to any committee created by the Board and as a member of any board of managers, board of directors or similar governing body (or committee thereof) of any Subsidiary.</w:t>
      </w:r>
    </w:p>
    <w:p>
      <w:pPr>
        <w:spacing w:after="0" w:line="134" w:lineRule="exact"/>
        <w:rPr>
          <w:sz w:val="20"/>
          <w:szCs w:val="20"/>
          <w:color w:val="auto"/>
        </w:rPr>
      </w:pPr>
    </w:p>
    <w:p>
      <w:pPr>
        <w:jc w:val="both"/>
        <w:ind w:firstLine="962"/>
        <w:spacing w:after="0" w:line="255" w:lineRule="auto"/>
        <w:tabs>
          <w:tab w:leader="none" w:pos="143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Reimbursement; Compensation</w:t>
      </w:r>
      <w:r>
        <w:rPr>
          <w:rFonts w:ascii="Times New Roman" w:cs="Times New Roman" w:eastAsia="Times New Roman" w:hAnsi="Times New Roman"/>
          <w:sz w:val="16"/>
          <w:szCs w:val="16"/>
          <w:color w:val="auto"/>
        </w:rPr>
        <w:t>. The Company will pay, or will cause one of its Subsidiaries to pay, the reasonable and documented out-of-pocket costs and expenses incurred by each Manager in the course of such Manager’s service hereunder, including expenses for travel, meals and accommodation in connection with attending regular and special meetings of the Board, any board of managers, board of directors or similar governing body of each of the Company’s Subsidiaries or any of their respective committees, in each case, subject to the Company’s policies and procedures with respect thereto (including the requirement of reasonable documentation thereof). The Company may enter into a customary contract with a Manager that may include reasonable compensation for serving as a Manager, as approved by the unanimous consent of the Initial Members who remain Major Investors at such time (or, if only one Initial Member remains a Major Investor, then with the written consent of (i) such Initial Member that remains a Major Investor and (ii) the other Members holding a majority of the aggregate number of Units held by such other Members).</w:t>
      </w:r>
    </w:p>
    <w:p>
      <w:pPr>
        <w:spacing w:after="0" w:line="134"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V.3</w:t>
      </w:r>
      <w:r>
        <w:rPr>
          <w:sz w:val="20"/>
          <w:szCs w:val="20"/>
          <w:color w:val="auto"/>
        </w:rPr>
        <w:tab/>
      </w:r>
      <w:r>
        <w:rPr>
          <w:rFonts w:ascii="Times New Roman" w:cs="Times New Roman" w:eastAsia="Times New Roman" w:hAnsi="Times New Roman"/>
          <w:sz w:val="16"/>
          <w:szCs w:val="16"/>
          <w:u w:val="single" w:color="auto"/>
          <w:color w:val="auto"/>
        </w:rPr>
        <w:t>Board Actions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5" w:lineRule="auto"/>
        <w:tabs>
          <w:tab w:leader="none" w:pos="14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 xml:space="preserve">. Except as otherwise contemplated in this Agreement (including, for the avoidance of doubt, </w:t>
      </w:r>
      <w:r>
        <w:rPr>
          <w:rFonts w:ascii="Times New Roman" w:cs="Times New Roman" w:eastAsia="Times New Roman" w:hAnsi="Times New Roman"/>
          <w:sz w:val="16"/>
          <w:szCs w:val="16"/>
          <w:u w:val="single" w:color="auto"/>
          <w:color w:val="auto"/>
        </w:rPr>
        <w:t>Section 5.3(b)</w:t>
      </w:r>
      <w:r>
        <w:rPr>
          <w:rFonts w:ascii="Times New Roman" w:cs="Times New Roman" w:eastAsia="Times New Roman" w:hAnsi="Times New Roman"/>
          <w:sz w:val="16"/>
          <w:szCs w:val="16"/>
          <w:color w:val="auto"/>
        </w:rPr>
        <w:t xml:space="preserve">), each Manager voting on any matter submitted to the Board or any committee thereof (whether the consideration of such matter is taken at a meeting, by written consent or otherwise) will have one vote. Subject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or as otherwise set forth in this Agreement, (i) the affirmative vote (whether by proxy or otherwise) of the Managers holding a majority of the votes of all Managers present at any meeting of the Board will be the act of the Board and (ii) except as otherwise provided by the Board when establishing any committee, the affirmative vote (whether by proxy or otherwise) of the Managers then serving on such committee holding a majority of the votes of all Managers then serving on such committee will be the act of such committee. The actions by the Board or any committee thereof may be taken by vote of the Board or such committee at a meeting thereof or by written consent (without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59" w:name="page160"/>
    <w:bookmarkEnd w:id="159"/>
    <w:p>
      <w:pPr>
        <w:spacing w:after="0" w:line="280" w:lineRule="auto"/>
        <w:rPr>
          <w:sz w:val="20"/>
          <w:szCs w:val="20"/>
          <w:color w:val="auto"/>
        </w:rPr>
      </w:pPr>
      <w:r>
        <w:rPr>
          <w:rFonts w:ascii="Times New Roman" w:cs="Times New Roman" w:eastAsia="Times New Roman" w:hAnsi="Times New Roman"/>
          <w:sz w:val="16"/>
          <w:szCs w:val="16"/>
          <w:color w:val="auto"/>
        </w:rPr>
        <w:t xml:space="preserve">a meeting, without notice and without a vote) so long as, except as otherwise contemplated by this Agreement, such written consent is signed by all Managers then serving on the Board or such committee, as the case may be (including, for the avoidance of doubt, the SB Managers and the Symbotic Managers, subject to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both"/>
        <w:ind w:firstLine="962"/>
        <w:spacing w:after="0" w:line="252" w:lineRule="auto"/>
        <w:tabs>
          <w:tab w:leader="none" w:pos="143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Meetings</w:t>
      </w:r>
      <w:r>
        <w:rPr>
          <w:rFonts w:ascii="Times New Roman" w:cs="Times New Roman" w:eastAsia="Times New Roman" w:hAnsi="Times New Roman"/>
          <w:sz w:val="16"/>
          <w:szCs w:val="16"/>
          <w:color w:val="auto"/>
        </w:rPr>
        <w:t xml:space="preserve">. Meetings of the Board and any committee thereof will be held at the principal office of the Company, by telephone or video conference or similar communications equipment by means of which all individuals participating in the meeting can be heard or at such other place as may be determined by the Board or such committee. Except as otherwise contemplated by this Agreement, the presence of at least one SB Manager and at least one Symbotic Manager, in person, telephonically, virtually or through their duly authorized proxy, shall constitute a quorum at any meeting of the Board or any committee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that only one of the SB Managers or only one of the Symbotic Managers is present, such SB Manager or Symbotic Manager will have two votes when voting on any matter submitted to the Board or any committee thereof (whether the consideration of such matter is taken at a meeting, by written consent or otherwise). Business may be conducted once a quorum is present. If a quorum is not present at any meeting, such meeting of the Board shall be adjourned for at least seven days to a date, time and place proposed by the Chairperson (if any) or any other Manager. If, after three such adjournments, at the fourth consecutive meeting a quorum is not present, the members of the Board present shall constitute a quorum. Regular meetings of the Board will be held on such dates and at such times as will be determined by the Board. Except as otherwise determined by the Board, the Company will endeavor to hold at least four regular meetings during any period of 12 consecutive months. Special meetings of the Board may be called by the Chairperson (if any) or any other Manager, and special meetings of any committee may be called by the Chairperson (if any) or any Manager on such committee. Notice of each meeting of the Board or committee stating the date, place and time, and the purpose or purposes of, and the business to be transacted at, such meeting will be given to each Manager (in the case of a Board meeting) or each Manager on such committee (in the case of a committee meeting) by hand, telephone, email, overnight courier or the U.S. mail at least 24 hours prior to such meeting. Attendance of a Manager at a meeting will constitute a waiver of notice of such meeting, except where a Manager attends a meeting for the express purpose of objecting to the meeting on the ground that the meeting is not lawfully called or convened. Notice may be otherwise waived by any Manager before or after a meeting in writing. The actions taken by the Board or any committee at any meeting (as opposed to by written consent), however called and noticed, will be as valid as though taken at a meeting duly held after regular call and notice if (but not until), either before, at or after the meeting, the Managers as to whom it was improperly held sign a written waiver of notice or a consent to the holding of such meeting or an approval of the minutes thereof. The Board and each committee may adopt such other procedures governing meetings and the conduct of business at such meetings as the Board or such committee, as applicable, will deem appropriate.</w:t>
      </w:r>
    </w:p>
    <w:p>
      <w:pPr>
        <w:spacing w:after="0" w:line="145" w:lineRule="exact"/>
        <w:rPr>
          <w:rFonts w:ascii="Times New Roman" w:cs="Times New Roman" w:eastAsia="Times New Roman" w:hAnsi="Times New Roman"/>
          <w:sz w:val="16"/>
          <w:szCs w:val="16"/>
          <w:color w:val="auto"/>
        </w:rPr>
      </w:pPr>
    </w:p>
    <w:p>
      <w:pPr>
        <w:jc w:val="both"/>
        <w:ind w:firstLine="962"/>
        <w:spacing w:after="0" w:line="264" w:lineRule="auto"/>
        <w:tabs>
          <w:tab w:leader="none" w:pos="14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Conflicts of Interest</w:t>
      </w:r>
      <w:r>
        <w:rPr>
          <w:rFonts w:ascii="Times New Roman" w:cs="Times New Roman" w:eastAsia="Times New Roman" w:hAnsi="Times New Roman"/>
          <w:sz w:val="16"/>
          <w:szCs w:val="16"/>
          <w:color w:val="auto"/>
        </w:rPr>
        <w:t>. Notwithstanding anything to the contrary in this Agreement, to the extent that a conflict or a potential conflict of interest exists or arises between the Company or any of its Subsidiaries, on the one hand, and any Member or any executive officer, manager, director, Affiliate, or Related Party of a Member, on the other hand (a “</w:t>
      </w:r>
      <w:r>
        <w:rPr>
          <w:rFonts w:ascii="Times New Roman" w:cs="Times New Roman" w:eastAsia="Times New Roman" w:hAnsi="Times New Roman"/>
          <w:sz w:val="16"/>
          <w:szCs w:val="16"/>
          <w:u w:val="single" w:color="auto"/>
          <w:color w:val="auto"/>
        </w:rPr>
        <w:t>Conflict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0" w:name="page161"/>
    <w:bookmarkEnd w:id="160"/>
    <w:p>
      <w:pPr>
        <w:jc w:val="both"/>
        <w:spacing w:after="0" w:line="254" w:lineRule="auto"/>
        <w:rPr>
          <w:sz w:val="20"/>
          <w:szCs w:val="20"/>
          <w:color w:val="auto"/>
        </w:rPr>
      </w:pPr>
      <w:r>
        <w:rPr>
          <w:rFonts w:ascii="Times New Roman" w:cs="Times New Roman" w:eastAsia="Times New Roman" w:hAnsi="Times New Roman"/>
          <w:sz w:val="16"/>
          <w:szCs w:val="16"/>
          <w:u w:val="single" w:color="auto"/>
          <w:color w:val="auto"/>
        </w:rPr>
        <w:t>of Interest</w:t>
      </w:r>
      <w:r>
        <w:rPr>
          <w:rFonts w:ascii="Times New Roman" w:cs="Times New Roman" w:eastAsia="Times New Roman" w:hAnsi="Times New Roman"/>
          <w:sz w:val="16"/>
          <w:szCs w:val="16"/>
          <w:color w:val="auto"/>
        </w:rPr>
        <w:t xml:space="preserve">”), in connection with a matter or action to be taken by the Board or any committee thereof, then (i) any Manager that is appointed by such conflicted or potentially conflicted Member shall be recused from the deliberation with respect to or approval of such matter or action, (ii) any other Manager that another Member unilaterally has the right to appoint pursuant to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shall be recused from the deliberation with respect to or approval of such matter or action and (iii) the Independent Manager(s) shall unilaterally consider and determine the resolution of or approve the matter or action and the requisite action to be taken by the Company or any of its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only one Independent Manager exists and such Independent Manager is removed pursuant to </w:t>
      </w:r>
      <w:r>
        <w:rPr>
          <w:rFonts w:ascii="Times New Roman" w:cs="Times New Roman" w:eastAsia="Times New Roman" w:hAnsi="Times New Roman"/>
          <w:sz w:val="16"/>
          <w:szCs w:val="16"/>
          <w:u w:val="single" w:color="auto"/>
          <w:color w:val="auto"/>
        </w:rPr>
        <w:t>Section 5.2(d)</w:t>
      </w:r>
      <w:r>
        <w:rPr>
          <w:rFonts w:ascii="Times New Roman" w:cs="Times New Roman" w:eastAsia="Times New Roman" w:hAnsi="Times New Roman"/>
          <w:sz w:val="16"/>
          <w:szCs w:val="16"/>
          <w:color w:val="auto"/>
        </w:rPr>
        <w:t xml:space="preserve"> or otherwise resigns or becomes incapacitated during the pendency of considering and determining such matter or action with respect to a Conflict of Interest, and the Initial Members are not able to agree on an Independent Manager within 30 days of a vacancy in such Independent Manager, then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shall apply to such matter or action (and, for the avoidance of doubt, the Temporary Independent Manager shall not consider or determine the resolution of or approve any matter or action with respect to such matter or action). The determination of the Independent Manager(s) of such matter or action shall be binding on the Company and its Subsidiaries, and no Member or other Manager consent or vote shall be required for passage of, or counted in favor or against the approval of, such matter or action, including for purposes of the unanimous prior approval or unanimous written consent standard set forth in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or in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w:t>
      </w:r>
    </w:p>
    <w:p>
      <w:pPr>
        <w:spacing w:after="0" w:line="132"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V.4 </w:t>
      </w:r>
      <w:r>
        <w:rPr>
          <w:rFonts w:ascii="Times New Roman" w:cs="Times New Roman" w:eastAsia="Times New Roman" w:hAnsi="Times New Roman"/>
          <w:sz w:val="16"/>
          <w:szCs w:val="16"/>
          <w:u w:val="single" w:color="auto"/>
          <w:color w:val="auto"/>
        </w:rPr>
        <w:t>Actions Requiring Unanimous Consent of the Board</w:t>
      </w:r>
      <w:r>
        <w:rPr>
          <w:rFonts w:ascii="Times New Roman" w:cs="Times New Roman" w:eastAsia="Times New Roman" w:hAnsi="Times New Roman"/>
          <w:sz w:val="16"/>
          <w:szCs w:val="16"/>
          <w:color w:val="auto"/>
        </w:rPr>
        <w:t xml:space="preserve">. Notwithstanding the generality of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or anything else in this Agreement to the contrary, other than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without the unanimous prior approval or unanimous written consent by the affirmative vote of all of the Managers then serving on the Board (excluding any vacancies on the Board and any Managers recused pursuant to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 xml:space="preserve"> or as otherwise contemplated by this Agreement), the Company will not take, and will cause each of its Subsidiaries to refrain from taking, any of the following actions (whether, directly or indirectly, by amendment to the Certificate or other applicable document or by merger, recapitalization, reclassification, consolidation or otherwise, and any such action taken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force or effect whatsoever)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shall be subject to and not be interpreted to modify any rights or obligations of any Member or the Board under </w:t>
      </w:r>
      <w:r>
        <w:rPr>
          <w:rFonts w:ascii="Times New Roman" w:cs="Times New Roman" w:eastAsia="Times New Roman" w:hAnsi="Times New Roman"/>
          <w:sz w:val="16"/>
          <w:szCs w:val="16"/>
          <w:u w:val="single" w:color="auto"/>
          <w:color w:val="auto"/>
        </w:rPr>
        <w:t>Sections 5.7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9.12</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ind w:left="1440" w:hanging="478"/>
        <w:spacing w:after="0"/>
        <w:tabs>
          <w:tab w:leader="none" w:pos="1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w:t>
      </w:r>
      <w:r>
        <w:rPr>
          <w:rFonts w:ascii="Times New Roman" w:cs="Times New Roman" w:eastAsia="Times New Roman" w:hAnsi="Times New Roman"/>
          <w:sz w:val="16"/>
          <w:szCs w:val="16"/>
          <w:u w:val="single" w:color="auto"/>
          <w:color w:val="auto"/>
        </w:rPr>
        <w:t>Section 9.1(a)</w:t>
      </w:r>
      <w:r>
        <w:rPr>
          <w:rFonts w:ascii="Times New Roman" w:cs="Times New Roman" w:eastAsia="Times New Roman" w:hAnsi="Times New Roman"/>
          <w:sz w:val="16"/>
          <w:szCs w:val="16"/>
          <w:color w:val="auto"/>
        </w:rPr>
        <w:t xml:space="preserve"> and subject to the exceptions set forth therein, consenting to any Transfer of Units by any Member;</w:t>
      </w:r>
    </w:p>
    <w:p>
      <w:pPr>
        <w:spacing w:after="0" w:line="166" w:lineRule="exact"/>
        <w:rPr>
          <w:rFonts w:ascii="Times New Roman" w:cs="Times New Roman" w:eastAsia="Times New Roman" w:hAnsi="Times New Roman"/>
          <w:sz w:val="16"/>
          <w:szCs w:val="16"/>
          <w:color w:val="auto"/>
        </w:rPr>
      </w:pPr>
    </w:p>
    <w:p>
      <w:pPr>
        <w:jc w:val="both"/>
        <w:ind w:firstLine="962"/>
        <w:spacing w:after="0" w:line="263" w:lineRule="auto"/>
        <w:tabs>
          <w:tab w:leader="none" w:pos="14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issuing, creating, incurring, assuming, guaranteeing, endorsing or otherwise becoming liable or responsible for any indebtedness for borrowed money (other than any Emergency Loans pursuant to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or increasing any facilities with respect to any existing indebtedness for borrowed money, in each case, following which the Company and its Subsidiaries would have a total consolidated indebtedness for borrowed money in excess of 25% of the total consolidated assets of the Company and its Subsidiaries;</w:t>
      </w:r>
    </w:p>
    <w:p>
      <w:pPr>
        <w:spacing w:after="0" w:line="124" w:lineRule="exact"/>
        <w:rPr>
          <w:rFonts w:ascii="Times New Roman" w:cs="Times New Roman" w:eastAsia="Times New Roman" w:hAnsi="Times New Roman"/>
          <w:sz w:val="16"/>
          <w:szCs w:val="16"/>
          <w:color w:val="auto"/>
        </w:rPr>
      </w:pPr>
    </w:p>
    <w:p>
      <w:pPr>
        <w:ind w:firstLine="962"/>
        <w:spacing w:after="0" w:line="280" w:lineRule="auto"/>
        <w:tabs>
          <w:tab w:leader="none" w:pos="1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leasing or otherwise disposing of the consolidated assets of the Company or its Subsidiaries, other than sales of inventory and used equipment in the ordinary course of business, with a value in excess of $1,000,000;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1" w:name="page162"/>
    <w:bookmarkEnd w:id="161"/>
    <w:p>
      <w:pPr>
        <w:ind w:left="1440" w:hanging="478"/>
        <w:spacing w:after="0"/>
        <w:tabs>
          <w:tab w:leader="none" w:pos="14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acquiring, including through any series of transaction, any equity interests of any third party or assets of any third party with a value in excess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$1,000,000;</w:t>
      </w:r>
    </w:p>
    <w:p>
      <w:pPr>
        <w:spacing w:after="0" w:line="149" w:lineRule="exact"/>
        <w:rPr>
          <w:sz w:val="20"/>
          <w:szCs w:val="20"/>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approving the Annual Budget and Operating Plan in accordance with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firstLine="962"/>
        <w:spacing w:after="0" w:line="264" w:lineRule="auto"/>
        <w:tabs>
          <w:tab w:leader="none" w:pos="144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making any expenditure not otherwise subject to approval under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which exceeds by more than five percent the amount set forth in the appropriate line item for such expenditure in the Annual Budget, if applicable, or which causes the category of expenditures which encompasses such line item (</w:t>
      </w:r>
      <w:r>
        <w:rPr>
          <w:rFonts w:ascii="Times New Roman" w:cs="Times New Roman" w:eastAsia="Times New Roman" w:hAnsi="Times New Roman"/>
          <w:sz w:val="16"/>
          <w:szCs w:val="16"/>
          <w:i w:val="1"/>
          <w:iCs w:val="1"/>
          <w:color w:val="auto"/>
        </w:rPr>
        <w:t>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w:t>
      </w:r>
      <w:r>
        <w:rPr>
          <w:rFonts w:ascii="Times New Roman" w:cs="Times New Roman" w:eastAsia="Times New Roman" w:hAnsi="Times New Roman"/>
          <w:sz w:val="16"/>
          <w:szCs w:val="16"/>
          <w:color w:val="auto"/>
        </w:rPr>
        <w:t>., general and administrative expenses, capital expenditures, lease expenses) to exceed by more than five percent the amount set forth for such category in such Annual Budget;</w:t>
      </w:r>
    </w:p>
    <w:p>
      <w:pPr>
        <w:spacing w:after="0" w:line="123"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transactions contemplated by the Commercial Agreement and the Framework Agreement, entering into transactions, contracts or other agreements involving aggregate payments in excess of $5,000,000 in a calendar year;</w:t>
      </w:r>
    </w:p>
    <w:p>
      <w:pPr>
        <w:spacing w:after="0" w:line="121"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incurring or assuming any material Liens (other than Permitted Liens) with respect to any assets of the Company or its Subsidiaries;</w:t>
      </w:r>
    </w:p>
    <w:p>
      <w:pPr>
        <w:spacing w:after="0" w:line="166"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assigning, licensing, pledging or encumbering any material technology or intellectual property;</w:t>
      </w:r>
    </w:p>
    <w:p>
      <w:pPr>
        <w:spacing w:after="0" w:line="166"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guaranteeing the financial obligations of another Person;</w:t>
      </w:r>
    </w:p>
    <w:p>
      <w:pPr>
        <w:spacing w:after="0" w:line="166"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retaining or terminating the Chief Executive Officer, Chief Financial Officer, Chief Operating Officer, and the Head of Sales of, or individuals who hold similar roles with, the Company;</w:t>
      </w:r>
    </w:p>
    <w:p>
      <w:pPr>
        <w:spacing w:after="0" w:line="111" w:lineRule="exact"/>
        <w:rPr>
          <w:rFonts w:ascii="Times New Roman" w:cs="Times New Roman" w:eastAsia="Times New Roman" w:hAnsi="Times New Roman"/>
          <w:sz w:val="16"/>
          <w:szCs w:val="16"/>
          <w:color w:val="auto"/>
        </w:rPr>
      </w:pPr>
    </w:p>
    <w:p>
      <w:pPr>
        <w:ind w:firstLine="962"/>
        <w:spacing w:after="0" w:line="293" w:lineRule="auto"/>
        <w:tabs>
          <w:tab w:leader="none" w:pos="143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or modifying any compensation (including salary, bonuses, benefits and other forms of current and deferred compensation) payable to the Chief Executive Officer, Chief Financial Officer, Chief Operating Officer and the Head of Sales of, or individuals who hold similar roles with, the Company;</w:t>
      </w:r>
    </w:p>
    <w:p>
      <w:pPr>
        <w:spacing w:after="0" w:line="101"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annual and quarterly financial statements of the Company and any of its Subsidiaries;</w:t>
      </w:r>
    </w:p>
    <w:p>
      <w:pPr>
        <w:spacing w:after="0" w:line="166"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pursuant to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or as required by the terms of the Commercial Agreement, (i) approving or purchasing any insurance for an officer, director, employee or representative of the Company or (ii) providing indemnification to any officer, director, employee or representative of the Company;</w:t>
      </w:r>
    </w:p>
    <w:p>
      <w:pPr>
        <w:spacing w:after="0" w:line="111"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altering, amending, modifying, or terminating any material agreement to which the Company is a party, or waiving any material provision</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thereof; or</w:t>
      </w:r>
    </w:p>
    <w:p>
      <w:pPr>
        <w:spacing w:after="0" w:line="158"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agreeing or committing to any of the foregoing.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2" w:name="page163"/>
    <w:bookmarkEnd w:id="162"/>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V.5</w:t>
      </w:r>
      <w:r>
        <w:rPr>
          <w:sz w:val="20"/>
          <w:szCs w:val="20"/>
          <w:color w:val="auto"/>
        </w:rPr>
        <w:tab/>
      </w:r>
      <w:r>
        <w:rPr>
          <w:rFonts w:ascii="Times New Roman" w:cs="Times New Roman" w:eastAsia="Times New Roman" w:hAnsi="Times New Roman"/>
          <w:sz w:val="16"/>
          <w:szCs w:val="16"/>
          <w:u w:val="single" w:color="auto"/>
          <w:color w:val="auto"/>
        </w:rPr>
        <w:t>Officers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4" w:lineRule="auto"/>
        <w:tabs>
          <w:tab w:leader="none" w:pos="14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Designation and Appointment</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the Board may (but need not), from time to time, designate and appoint one or more Persons as an Officer or Officers. No Officer need be a resident of the State of Delaware, a Member or a Manager. Any Officers so designated will have such authority and perform such duties as the Board may, from time to time, delegate to them. The Board may assign titles to particular Officers (including Executive Chairperson, Chief Executive Officer, President, Chief Financial Officer, Chief Operating Officer, Vice President, Executive Vice President, Secretary, Assistant Secretary, Treasurer or Assistant Treasurer). Unless the Board otherwise decides, if an Officer is assigned a title that is commonly used for officers of a business corporation incorporated under the Laws of the State of Delaware, then the assignment of such title will constitute the delegation to such Officer of the authority and duties that are normally associated with that office, subject to (i) any specific delegation of authority and duties made to such Officer by the Board pursuant to the third sentence of this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 xml:space="preserve"> or (ii) any delegation of authority and duties made to one or more Officers under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Any number of offices may be held by the same person. Subject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(i) each Officer will hold office until such Officer’s successor is duly designated and qualified or until such Officer’s death or until such Officer resigns or has been removed in the manner hereinafter provided and (ii) the salaries or other compensation, if any, of the Officers and agents of the Company will be fixed from time to time by the affirmative vote (whether by proxy or otherwise) of the Managers holding a majority of the votes of all Managers then serving on the Board (excluding any vacancies on the Board).</w:t>
      </w:r>
    </w:p>
    <w:p>
      <w:pPr>
        <w:spacing w:after="0" w:line="131" w:lineRule="exact"/>
        <w:rPr>
          <w:rFonts w:ascii="Times New Roman" w:cs="Times New Roman" w:eastAsia="Times New Roman" w:hAnsi="Times New Roman"/>
          <w:sz w:val="16"/>
          <w:szCs w:val="16"/>
          <w:color w:val="auto"/>
        </w:rPr>
      </w:pPr>
    </w:p>
    <w:p>
      <w:pPr>
        <w:jc w:val="both"/>
        <w:ind w:firstLine="962"/>
        <w:spacing w:after="0" w:line="255" w:lineRule="auto"/>
        <w:tabs>
          <w:tab w:leader="none" w:pos="143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Resignation; Removal; Vacancies</w:t>
      </w:r>
      <w:r>
        <w:rPr>
          <w:rFonts w:ascii="Times New Roman" w:cs="Times New Roman" w:eastAsia="Times New Roman" w:hAnsi="Times New Roman"/>
          <w:sz w:val="16"/>
          <w:szCs w:val="16"/>
          <w:color w:val="auto"/>
        </w:rPr>
        <w:t xml:space="preserve">. Any Officer (subject to any contract rights available to the Company or any of its Subsidiaries, if applicable) may resign as such at any time. Such resignation will be made in writing and will take effect at the time specified therein, or if no time is specified therein, at the time of its receipt by the Board. The acceptance of a resignation will not be necessary to make it effective, unless expressly so provided in the resignation. Subject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any Officer may be removed as an Officer, either with or without cause, by the affirmative vote (whether by proxy or otherwise) of the Managers holding a majority of the votes of all Managers then serving on the Board (excluding any vacancies on the Board), at any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removal will be without prejudice to any expressly surviving contract rights, if any, of the individual so removed. Designation of an Officer will not of itself create contract rights. Subject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any vacancy occurring in any office of the Company may be filled by the Board and will remain vacant unless and until it is filled by the Board.</w:t>
      </w:r>
    </w:p>
    <w:p>
      <w:pPr>
        <w:spacing w:after="0" w:line="143" w:lineRule="exact"/>
        <w:rPr>
          <w:rFonts w:ascii="Times New Roman" w:cs="Times New Roman" w:eastAsia="Times New Roman" w:hAnsi="Times New Roman"/>
          <w:sz w:val="16"/>
          <w:szCs w:val="16"/>
          <w:color w:val="auto"/>
        </w:rPr>
      </w:pPr>
    </w:p>
    <w:p>
      <w:pPr>
        <w:jc w:val="both"/>
        <w:ind w:firstLine="962"/>
        <w:spacing w:after="0" w:line="256" w:lineRule="auto"/>
        <w:tabs>
          <w:tab w:leader="none" w:pos="14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Duties of Managers and Officers</w:t>
      </w:r>
      <w:r>
        <w:rPr>
          <w:rFonts w:ascii="Times New Roman" w:cs="Times New Roman" w:eastAsia="Times New Roman" w:hAnsi="Times New Roman"/>
          <w:sz w:val="16"/>
          <w:szCs w:val="16"/>
          <w:color w:val="auto"/>
        </w:rPr>
        <w:t xml:space="preserve">. Except as otherwise provided in this Agreement, and subject to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the Managers and the Officers, in the performance of their duties as Managers or Officers, as applicable, will owe to the Company and its Subsidiaries and the Members fiduciary duties (including the duties of loyalty and due care) of the type owed by the directors or officers, as applicable, of a corporation incorporated under the General Corporation Law of the State of Delaware to such corporation and its stockholders. Notwithstanding any other provision of this Agreement or any duty otherwise existing at Law, in equity or otherwise, whenever in this Agreement a Person who is a Member is permitted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63" w:name="page164"/>
    <w:bookmarkEnd w:id="163"/>
    <w:p>
      <w:pPr>
        <w:jc w:val="both"/>
        <w:spacing w:after="0" w:line="259" w:lineRule="auto"/>
        <w:rPr>
          <w:sz w:val="20"/>
          <w:szCs w:val="20"/>
          <w:color w:val="auto"/>
        </w:rPr>
      </w:pPr>
      <w:r>
        <w:rPr>
          <w:rFonts w:ascii="Times New Roman" w:cs="Times New Roman" w:eastAsia="Times New Roman" w:hAnsi="Times New Roman"/>
          <w:sz w:val="16"/>
          <w:szCs w:val="16"/>
          <w:color w:val="auto"/>
        </w:rPr>
        <w:t>required to make a decision or take an action solely in the capacity as a Member, an investor or holder of Units in the Company or on behalf of a Member (including as a partner, officer, director, manager, representative or owner of an entity that is a Member) (and not in the capacity as a Manager), such Person making such decisions or taking such actions shall not be subject to any fiduciary duties such Person would otherwise have under applicable Law and shall be entitled to consider only such interests and factors as such Person desires, including such Person’s own interests or those of any such Person’s Affiliates, and shall, to the fullest extent permitted by applicable Law, have no duty or obligation to give any consideration to any interest of or factors affecting the Company or any other Person.</w:t>
      </w:r>
    </w:p>
    <w:p>
      <w:pPr>
        <w:spacing w:after="0" w:line="129" w:lineRule="exact"/>
        <w:rPr>
          <w:sz w:val="20"/>
          <w:szCs w:val="20"/>
          <w:color w:val="auto"/>
        </w:rPr>
      </w:pPr>
    </w:p>
    <w:p>
      <w:pPr>
        <w:jc w:val="both"/>
        <w:ind w:firstLine="962"/>
        <w:spacing w:after="0" w:line="252" w:lineRule="auto"/>
        <w:tabs>
          <w:tab w:leader="none" w:pos="143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 of Managers</w:t>
      </w:r>
      <w:r>
        <w:rPr>
          <w:rFonts w:ascii="Times New Roman" w:cs="Times New Roman" w:eastAsia="Times New Roman" w:hAnsi="Times New Roman"/>
          <w:sz w:val="16"/>
          <w:szCs w:val="16"/>
          <w:color w:val="auto"/>
        </w:rPr>
        <w:t xml:space="preserve">. Notwithstanding anything to the contrary,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will no longer apply to any Manager if the SB Member Transfers any Units, except for (i) Transfers of any Units to any new Members of the Company (for the avoidance of doubt, not including any new Members admitted pursuant to an Exempt Transfer) who are approved and admitted pursuant to </w:t>
      </w:r>
      <w:r>
        <w:rPr>
          <w:rFonts w:ascii="Times New Roman" w:cs="Times New Roman" w:eastAsia="Times New Roman" w:hAnsi="Times New Roman"/>
          <w:sz w:val="16"/>
          <w:szCs w:val="16"/>
          <w:u w:val="single" w:color="auto"/>
          <w:color w:val="auto"/>
        </w:rPr>
        <w:t>Section 6.3(b)(xii)</w:t>
      </w:r>
      <w:r>
        <w:rPr>
          <w:rFonts w:ascii="Times New Roman" w:cs="Times New Roman" w:eastAsia="Times New Roman" w:hAnsi="Times New Roman"/>
          <w:sz w:val="16"/>
          <w:szCs w:val="16"/>
          <w:color w:val="auto"/>
        </w:rPr>
        <w:t xml:space="preserve">, (ii) any Permitted Syndication as provided in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 xml:space="preserve"> or (iii) Exempt Transfers as provided in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(the date of such Transfer other than those expressly contemplated by the foregoing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Fiduciary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Duty Fallaway Date</w:t>
      </w:r>
      <w:r>
        <w:rPr>
          <w:rFonts w:ascii="Times New Roman" w:cs="Times New Roman" w:eastAsia="Times New Roman" w:hAnsi="Times New Roman"/>
          <w:sz w:val="16"/>
          <w:szCs w:val="16"/>
          <w:color w:val="auto"/>
        </w:rPr>
        <w:t xml:space="preserve">”). From and after the Fiduciary Duty Fallaway Date, notwithstanding any duty otherwise existing at law or in equity, to the fullest extent permitted by applicable Law, including, for the avoidance of doubt, Section 18-1101(c) of the Delaware Act, and except as expressly contemplated by this Agreement or any other agreement entered into between a Manager and any Member or the Company or any of its Subsidiaries, no Manager shall have any duty (including any fiduciary duty) in such capacity as Manager otherwise applicable at law or in equity to the Company, any other Manager, any Member or any other Person with respect to or in connection with the Company or the Company’s business or affairs. It is the intent and agreement of the Parties that, after the Fiduciary Duty Fallaway Date, all fiduciary duties be, and hereby are, eliminated and no fiduciary duties shall apply to any action or omission taken by any Manager (in such Manager’s capacity as such) in connection with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foregoing shall not eliminate the obligation of the Managers to act in compliance with the express terms of this Agreement and (B) the foregoing shall not be deemed to eliminate the implied contractual covenant of good faith and fair dealing of the Managers. Notwithstanding anything to the contrary contained herein, each Member agrees not to file a lawsuit or other legal claim or charge to assert against any Manager any claim regarding any breach of any duty (including any fiduciary duty) in such Manager’s capacity as such or challenging the provisions of this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V.6</w:t>
      </w:r>
      <w:r>
        <w:rPr>
          <w:sz w:val="20"/>
          <w:szCs w:val="20"/>
          <w:color w:val="auto"/>
        </w:rPr>
        <w:tab/>
      </w:r>
      <w:r>
        <w:rPr>
          <w:rFonts w:ascii="Times New Roman" w:cs="Times New Roman" w:eastAsia="Times New Roman" w:hAnsi="Times New Roman"/>
          <w:sz w:val="16"/>
          <w:szCs w:val="16"/>
          <w:u w:val="single" w:color="auto"/>
          <w:color w:val="auto"/>
        </w:rPr>
        <w:t>Operating Plan and Budget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9" w:lineRule="auto"/>
        <w:tabs>
          <w:tab w:leader="none" w:pos="144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Proposals</w:t>
      </w:r>
      <w:r>
        <w:rPr>
          <w:rFonts w:ascii="Times New Roman" w:cs="Times New Roman" w:eastAsia="Times New Roman" w:hAnsi="Times New Roman"/>
          <w:sz w:val="16"/>
          <w:szCs w:val="16"/>
          <w:color w:val="auto"/>
        </w:rPr>
        <w:t xml:space="preserve">. The Officers shall prepare and provide to the Board for the Board’s approval, in accordance with </w:t>
      </w:r>
      <w:r>
        <w:rPr>
          <w:rFonts w:ascii="Times New Roman" w:cs="Times New Roman" w:eastAsia="Times New Roman" w:hAnsi="Times New Roman"/>
          <w:sz w:val="16"/>
          <w:szCs w:val="16"/>
          <w:u w:val="single" w:color="auto"/>
          <w:color w:val="auto"/>
        </w:rPr>
        <w:t>Section 5.4(e)</w:t>
      </w:r>
      <w:r>
        <w:rPr>
          <w:rFonts w:ascii="Times New Roman" w:cs="Times New Roman" w:eastAsia="Times New Roman" w:hAnsi="Times New Roman"/>
          <w:sz w:val="16"/>
          <w:szCs w:val="16"/>
          <w:color w:val="auto"/>
        </w:rPr>
        <w:t>, no later than 90 days prior to the end of each Fiscal Year: (i) a proposed annual operating and capital budget of the Company and its Subsidiaries for the following Fiscal Year, which shall be broken down into quarterly periods for such Fiscal Year (the “</w:t>
      </w:r>
      <w:r>
        <w:rPr>
          <w:rFonts w:ascii="Times New Roman" w:cs="Times New Roman" w:eastAsia="Times New Roman" w:hAnsi="Times New Roman"/>
          <w:sz w:val="16"/>
          <w:szCs w:val="16"/>
          <w:u w:val="single" w:color="auto"/>
          <w:color w:val="auto"/>
        </w:rPr>
        <w:t>Annual Budget</w:t>
      </w:r>
      <w:r>
        <w:rPr>
          <w:rFonts w:ascii="Times New Roman" w:cs="Times New Roman" w:eastAsia="Times New Roman" w:hAnsi="Times New Roman"/>
          <w:sz w:val="16"/>
          <w:szCs w:val="16"/>
          <w:color w:val="auto"/>
        </w:rPr>
        <w:t>”); and (ii) a proposed operating plan for the Company and its Subsidiaries for the following three Fiscal Years (the “</w:t>
      </w:r>
      <w:r>
        <w:rPr>
          <w:rFonts w:ascii="Times New Roman" w:cs="Times New Roman" w:eastAsia="Times New Roman" w:hAnsi="Times New Roman"/>
          <w:sz w:val="16"/>
          <w:szCs w:val="16"/>
          <w:u w:val="single" w:color="auto"/>
          <w:color w:val="auto"/>
        </w:rPr>
        <w:t>Operating Plan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64" w:name="page165"/>
    <w:bookmarkEnd w:id="164"/>
    <w:p>
      <w:pPr>
        <w:spacing w:after="0" w:line="280" w:lineRule="auto"/>
        <w:rPr>
          <w:sz w:val="20"/>
          <w:szCs w:val="20"/>
          <w:color w:val="auto"/>
        </w:rPr>
      </w:pPr>
      <w:r>
        <w:rPr>
          <w:rFonts w:ascii="Times New Roman" w:cs="Times New Roman" w:eastAsia="Times New Roman" w:hAnsi="Times New Roman"/>
          <w:sz w:val="16"/>
          <w:szCs w:val="16"/>
          <w:color w:val="auto"/>
        </w:rPr>
        <w:t>requested by the unanimous consent of the Board, the Officers shall prepare and provide to the Board a revised Annual Budget or Operating Plan with such updates as requested by the Board.</w:t>
      </w:r>
    </w:p>
    <w:p>
      <w:pPr>
        <w:spacing w:after="0" w:line="112" w:lineRule="exact"/>
        <w:rPr>
          <w:sz w:val="20"/>
          <w:szCs w:val="20"/>
          <w:color w:val="auto"/>
        </w:rPr>
      </w:pPr>
    </w:p>
    <w:p>
      <w:pPr>
        <w:jc w:val="both"/>
        <w:ind w:firstLine="962"/>
        <w:spacing w:after="0" w:line="257" w:lineRule="auto"/>
        <w:tabs>
          <w:tab w:leader="none" w:pos="143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Submission to Major Investors</w:t>
      </w:r>
      <w:r>
        <w:rPr>
          <w:rFonts w:ascii="Times New Roman" w:cs="Times New Roman" w:eastAsia="Times New Roman" w:hAnsi="Times New Roman"/>
          <w:sz w:val="16"/>
          <w:szCs w:val="16"/>
          <w:color w:val="auto"/>
        </w:rPr>
        <w:t xml:space="preserve">. Promptly upon approval of an Annual Budget and Operating Plan by the Board pursuant to </w:t>
      </w:r>
      <w:r>
        <w:rPr>
          <w:rFonts w:ascii="Times New Roman" w:cs="Times New Roman" w:eastAsia="Times New Roman" w:hAnsi="Times New Roman"/>
          <w:sz w:val="16"/>
          <w:szCs w:val="16"/>
          <w:u w:val="single" w:color="auto"/>
          <w:color w:val="auto"/>
        </w:rPr>
        <w:t>Section 5.4(e)</w:t>
      </w:r>
      <w:r>
        <w:rPr>
          <w:rFonts w:ascii="Times New Roman" w:cs="Times New Roman" w:eastAsia="Times New Roman" w:hAnsi="Times New Roman"/>
          <w:sz w:val="16"/>
          <w:szCs w:val="16"/>
          <w:color w:val="auto"/>
        </w:rPr>
        <w:t xml:space="preserve">, the Annual Budget and Operating Plan shall be submitted to the Major Investors for their approval pursuant to </w:t>
      </w:r>
      <w:r>
        <w:rPr>
          <w:rFonts w:ascii="Times New Roman" w:cs="Times New Roman" w:eastAsia="Times New Roman" w:hAnsi="Times New Roman"/>
          <w:sz w:val="16"/>
          <w:szCs w:val="16"/>
          <w:u w:val="single" w:color="auto"/>
          <w:color w:val="auto"/>
        </w:rPr>
        <w:t>Section 6.3(b)(xi)</w:t>
      </w:r>
      <w:r>
        <w:rPr>
          <w:rFonts w:ascii="Times New Roman" w:cs="Times New Roman" w:eastAsia="Times New Roman" w:hAnsi="Times New Roman"/>
          <w:sz w:val="16"/>
          <w:szCs w:val="16"/>
          <w:color w:val="auto"/>
        </w:rPr>
        <w:t xml:space="preserve">. If (x) the Board fails to approve or submit the Annual Budget or Operating Plan to the Major Investors prior to the beginning of any Fiscal Year or (y) the Major Investors fail to approve an Annual Budget or Operating Plan prior to the beginning of any Fiscal Year, then the prior Fiscal Year’s Annual Budget or Operating Plan (as applicable), adjusted for any changes in the consumer price index over the relevant period (excluding non-recurring expenditures), will be deemed approved by the Board and the Major Investors until an Annual Budget or Operating Plan (as applicable) is unanimously approved by the Board and has received Major Investor Approval;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 Annual Budget or Operating Plan fails to be approved for any two consecutive Fiscal Years, then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shall apply with respect to the approval of the subsequent Annual Budget or Operating Plan.</w:t>
      </w:r>
    </w:p>
    <w:p>
      <w:pPr>
        <w:spacing w:after="0" w:line="133" w:lineRule="exact"/>
        <w:rPr>
          <w:rFonts w:ascii="Times New Roman" w:cs="Times New Roman" w:eastAsia="Times New Roman" w:hAnsi="Times New Roman"/>
          <w:sz w:val="16"/>
          <w:szCs w:val="16"/>
          <w:color w:val="auto"/>
        </w:rPr>
      </w:pPr>
    </w:p>
    <w:p>
      <w:pPr>
        <w:jc w:val="both"/>
        <w:ind w:firstLine="962"/>
        <w:spacing w:after="0" w:line="264" w:lineRule="auto"/>
        <w:tabs>
          <w:tab w:leader="none" w:pos="14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Operation of the Company</w:t>
      </w:r>
      <w:r>
        <w:rPr>
          <w:rFonts w:ascii="Times New Roman" w:cs="Times New Roman" w:eastAsia="Times New Roman" w:hAnsi="Times New Roman"/>
          <w:sz w:val="16"/>
          <w:szCs w:val="16"/>
          <w:color w:val="auto"/>
        </w:rPr>
        <w:t>. The Members and the Officers shall take or cause to be taken the actions described herein to cause the Company to be operated in accordance with the then-current Operating Plan and Annual Budget. The Officers shall provide quarterly progress updates to the Board on the then-current Operating Plan and Annual Budget.</w:t>
      </w:r>
    </w:p>
    <w:p>
      <w:pPr>
        <w:spacing w:after="0" w:line="124"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V.7</w:t>
      </w:r>
      <w:r>
        <w:rPr>
          <w:sz w:val="20"/>
          <w:szCs w:val="20"/>
          <w:color w:val="auto"/>
        </w:rPr>
        <w:tab/>
      </w:r>
      <w:r>
        <w:rPr>
          <w:rFonts w:ascii="Times New Roman" w:cs="Times New Roman" w:eastAsia="Times New Roman" w:hAnsi="Times New Roman"/>
          <w:sz w:val="16"/>
          <w:szCs w:val="16"/>
          <w:u w:val="single" w:color="auto"/>
          <w:color w:val="auto"/>
        </w:rPr>
        <w:t>Indemnification; Exculpation</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4" w:lineRule="auto"/>
        <w:tabs>
          <w:tab w:leader="none" w:pos="14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Generally</w:t>
      </w:r>
      <w:r>
        <w:rPr>
          <w:rFonts w:ascii="Times New Roman" w:cs="Times New Roman" w:eastAsia="Times New Roman" w:hAnsi="Times New Roman"/>
          <w:sz w:val="16"/>
          <w:szCs w:val="16"/>
          <w:color w:val="auto"/>
        </w:rPr>
        <w:t xml:space="preserve">. Subject to the other provisions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the Company will, and will cause its Subsidiaries to, indemnify, defend and hold harmless each Person who is or was serving as a Manager or an Officer or is or was a Member (each, an “</w:t>
      </w:r>
      <w:r>
        <w:rPr>
          <w:rFonts w:ascii="Times New Roman" w:cs="Times New Roman" w:eastAsia="Times New Roman" w:hAnsi="Times New Roman"/>
          <w:sz w:val="16"/>
          <w:szCs w:val="16"/>
          <w:u w:val="single" w:color="auto"/>
          <w:color w:val="auto"/>
        </w:rPr>
        <w:t>Indemnified Person</w:t>
      </w:r>
      <w:r>
        <w:rPr>
          <w:rFonts w:ascii="Times New Roman" w:cs="Times New Roman" w:eastAsia="Times New Roman" w:hAnsi="Times New Roman"/>
          <w:sz w:val="16"/>
          <w:szCs w:val="16"/>
          <w:color w:val="auto"/>
        </w:rPr>
        <w:t xml:space="preserve">”), in each case, to the fullest extent permitted under the Delaware Act or other applicable Law,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whatsoever (including attorneys’ fees and expenses, judgments, fines, amounts paid in settlement, excise Taxes or penalties) reasonably incurred or suffered by such Indemnified Person (or one or more of such Indemnified Person’s Affiliates) arising from Proceedings in which such Indemnified Person may be involved, as a party or otherwise, by reason of its being a Member, a Manager or an Officer (including by reason of its serving as a director, officer, employee or agent of a corporation, partnership, joint venture, trust, employee benefit plan, fund, other enterprise or nonprofit entity at the request of the Company), or by reason of its involvement in the management of the affairs of the Company, whether or not it continues to be such at the time any such loss, liability or expense is paid or incurred;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the Board otherwise consents in writing, no Indemnified Person will be indemnified for any expenses, liabilities or losses suffered for (i) actions or omissions by an Indemnified Person or its Affiliates (excluding, for purposes hereof, the Company and its Subsidiaries) constituting gross negligence, bad faith,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65" w:name="page166"/>
    <w:bookmarkEnd w:id="165"/>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willful misconduct or fraud; or (ii) any present or future breaches of any representations, warranties or covenants by such Indemnified Person, his, her, their or its Affiliates (excluding, for purposes hereof, the Company and its Subsidiaries), or any of their respective employees, agents or representatives, herein or in any other agreement with the Company or any of its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unless the Board otherwise determines, no Indemnified Person will be entitled to indemnification hereunder with respect to a Proceeding initiated by such Indemnified Person. Expenses, including attorneys’ fees and expenses, incurred by any Indemnified Person in defending a threatened, pending or completed Proceeding to which such Indemnified Person was or is a party or is threatened to be made a party by reason of its being a Member, a Manager or an Officer (including by reason of its serving as a director, officer, employee or agent of a corporation, partnership, joint venture, trust, employee benefit plan, fund, other enterprise or nonprofit entity at the request of the Company) or by reason of its involvement in the management of the affairs of the Company (other than a Proceeding initiated by such Indemnified Person not authorized by the Board) will be paid by or on behalf of the Company in advance of the final disposition of such Proceeding, including any appeal therefrom, upon receipt of an undertaking by or on behalf of such Indemnified Person (in form and substance reasonably acceptable to the Board) to repay such amount if it will ultimately be determined that such Indemnified Person is not entitled to be indemnified by or on behalf of the Company. The indemnification provided by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will inure to the benefit of the heirs and personal representatives of each Indemnified Person.</w:t>
      </w:r>
    </w:p>
    <w:p>
      <w:pPr>
        <w:spacing w:after="0" w:line="132" w:lineRule="exact"/>
        <w:rPr>
          <w:sz w:val="20"/>
          <w:szCs w:val="20"/>
          <w:color w:val="auto"/>
        </w:rPr>
      </w:pPr>
    </w:p>
    <w:p>
      <w:pPr>
        <w:jc w:val="both"/>
        <w:ind w:firstLine="962"/>
        <w:spacing w:after="0" w:line="263" w:lineRule="auto"/>
        <w:tabs>
          <w:tab w:leader="none" w:pos="143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Non-Exclusivity of Rights</w:t>
      </w:r>
      <w:r>
        <w:rPr>
          <w:rFonts w:ascii="Times New Roman" w:cs="Times New Roman" w:eastAsia="Times New Roman" w:hAnsi="Times New Roman"/>
          <w:sz w:val="16"/>
          <w:szCs w:val="16"/>
          <w:color w:val="auto"/>
        </w:rPr>
        <w:t xml:space="preserve">. The right to indemnification and the advancement of expenses conferred in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will not be exclusive of any other right that any Indemnified Person may have or hereafter acquire under any statute, agreement, law, determination or vote of the Board or otherwise (but excluding insurance obtained by the Company or any of its Affiliates) (such other rights, “</w:t>
      </w:r>
      <w:r>
        <w:rPr>
          <w:rFonts w:ascii="Times New Roman" w:cs="Times New Roman" w:eastAsia="Times New Roman" w:hAnsi="Times New Roman"/>
          <w:sz w:val="16"/>
          <w:szCs w:val="16"/>
          <w:u w:val="single" w:color="auto"/>
          <w:color w:val="auto"/>
        </w:rPr>
        <w:t>Supplemental Indemnification Rights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5.4(n)</w:t>
      </w:r>
      <w:r>
        <w:rPr>
          <w:rFonts w:ascii="Times New Roman" w:cs="Times New Roman" w:eastAsia="Times New Roman" w:hAnsi="Times New Roman"/>
          <w:sz w:val="16"/>
          <w:szCs w:val="16"/>
          <w:color w:val="auto"/>
        </w:rPr>
        <w:t xml:space="preserve">, the Board may grant any rights comparable to those set forth in </w:t>
      </w:r>
      <w:r>
        <w:rPr>
          <w:rFonts w:ascii="Times New Roman" w:cs="Times New Roman" w:eastAsia="Times New Roman" w:hAnsi="Times New Roman"/>
          <w:sz w:val="16"/>
          <w:szCs w:val="16"/>
          <w:u w:val="single" w:color="auto"/>
          <w:color w:val="auto"/>
        </w:rPr>
        <w:t>Section 5.7(a)</w:t>
      </w:r>
      <w:r>
        <w:rPr>
          <w:rFonts w:ascii="Times New Roman" w:cs="Times New Roman" w:eastAsia="Times New Roman" w:hAnsi="Times New Roman"/>
          <w:sz w:val="16"/>
          <w:szCs w:val="16"/>
          <w:color w:val="auto"/>
        </w:rPr>
        <w:t xml:space="preserve"> to any Manager, Officer or Member as it may determine.</w:t>
      </w:r>
    </w:p>
    <w:p>
      <w:pPr>
        <w:spacing w:after="0" w:line="124" w:lineRule="exact"/>
        <w:rPr>
          <w:rFonts w:ascii="Times New Roman" w:cs="Times New Roman" w:eastAsia="Times New Roman" w:hAnsi="Times New Roman"/>
          <w:sz w:val="16"/>
          <w:szCs w:val="16"/>
          <w:color w:val="auto"/>
        </w:rPr>
      </w:pPr>
    </w:p>
    <w:p>
      <w:pPr>
        <w:jc w:val="both"/>
        <w:ind w:firstLine="962"/>
        <w:spacing w:after="0" w:line="257" w:lineRule="auto"/>
        <w:tabs>
          <w:tab w:leader="none" w:pos="14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The Company will use commercially reasonable efforts to purchase and maintain, or cause its Subsidiaries to purchase and maintain, at its own expense, director and officer liability insurance on terms and in an amount approved by the Board, to protect any Indemnified Person against any expense, liability or loss of the nature described in </w:t>
      </w:r>
      <w:r>
        <w:rPr>
          <w:rFonts w:ascii="Times New Roman" w:cs="Times New Roman" w:eastAsia="Times New Roman" w:hAnsi="Times New Roman"/>
          <w:sz w:val="16"/>
          <w:szCs w:val="16"/>
          <w:u w:val="single" w:color="auto"/>
          <w:color w:val="auto"/>
        </w:rPr>
        <w:t>Section 5.7(a)</w:t>
      </w:r>
      <w:r>
        <w:rPr>
          <w:rFonts w:ascii="Times New Roman" w:cs="Times New Roman" w:eastAsia="Times New Roman" w:hAnsi="Times New Roman"/>
          <w:sz w:val="16"/>
          <w:szCs w:val="16"/>
          <w:color w:val="auto"/>
        </w:rPr>
        <w:t xml:space="preserve">, whether or not the Company would have the power to indemnify such Indemnified Person against such expense, liability or loss under the provisions of </w:t>
      </w:r>
      <w:r>
        <w:rPr>
          <w:rFonts w:ascii="Times New Roman" w:cs="Times New Roman" w:eastAsia="Times New Roman" w:hAnsi="Times New Roman"/>
          <w:sz w:val="16"/>
          <w:szCs w:val="16"/>
          <w:u w:val="single" w:color="auto"/>
          <w:color w:val="auto"/>
        </w:rPr>
        <w:t>Section 5.7(a)</w:t>
      </w:r>
      <w:r>
        <w:rPr>
          <w:rFonts w:ascii="Times New Roman" w:cs="Times New Roman" w:eastAsia="Times New Roman" w:hAnsi="Times New Roman"/>
          <w:sz w:val="16"/>
          <w:szCs w:val="16"/>
          <w:color w:val="auto"/>
        </w:rPr>
        <w:t xml:space="preserve">. Each Manager will be entitled to the same benefits under such insurance as each other Manager. The Company will ensure that any such insurance policies comply with </w:t>
      </w:r>
      <w:r>
        <w:rPr>
          <w:rFonts w:ascii="Times New Roman" w:cs="Times New Roman" w:eastAsia="Times New Roman" w:hAnsi="Times New Roman"/>
          <w:sz w:val="16"/>
          <w:szCs w:val="16"/>
          <w:u w:val="single" w:color="auto"/>
          <w:color w:val="auto"/>
        </w:rPr>
        <w:t>Section 5.7(d)</w:t>
      </w:r>
      <w:r>
        <w:rPr>
          <w:rFonts w:ascii="Times New Roman" w:cs="Times New Roman" w:eastAsia="Times New Roman" w:hAnsi="Times New Roman"/>
          <w:sz w:val="16"/>
          <w:szCs w:val="16"/>
          <w:color w:val="auto"/>
        </w:rPr>
        <w:t>, including that there be no right of contribution against any provider of Supplemental Indemnification Rights and that providers of Supplemental Indemnification Rights are subrogated to an Indemnified Person’s rights under such insurance policies.</w:t>
      </w:r>
    </w:p>
    <w:p>
      <w:pPr>
        <w:spacing w:after="0" w:line="129" w:lineRule="exact"/>
        <w:rPr>
          <w:rFonts w:ascii="Times New Roman" w:cs="Times New Roman" w:eastAsia="Times New Roman" w:hAnsi="Times New Roman"/>
          <w:sz w:val="16"/>
          <w:szCs w:val="16"/>
          <w:color w:val="auto"/>
        </w:rPr>
      </w:pPr>
    </w:p>
    <w:p>
      <w:pPr>
        <w:jc w:val="both"/>
        <w:ind w:firstLine="962"/>
        <w:spacing w:after="0" w:line="264" w:lineRule="auto"/>
        <w:tabs>
          <w:tab w:leader="none" w:pos="143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Primary Obligation</w:t>
      </w:r>
      <w:r>
        <w:rPr>
          <w:rFonts w:ascii="Times New Roman" w:cs="Times New Roman" w:eastAsia="Times New Roman" w:hAnsi="Times New Roman"/>
          <w:sz w:val="16"/>
          <w:szCs w:val="16"/>
          <w:color w:val="auto"/>
        </w:rPr>
        <w:t>. The Company and each Member hereby acknowledge and agree that the Initial Member Managers may have certain rights to indemnification, advancement of expenses or insurance provided by the SB Member and the Symbotic Member, respectively, which the Initial Member Managers and the Initial Members intend to be secondary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6" w:name="page167"/>
    <w:bookmarkEnd w:id="166"/>
    <w:p>
      <w:pPr>
        <w:jc w:val="both"/>
        <w:spacing w:after="0" w:line="253" w:lineRule="auto"/>
        <w:rPr>
          <w:sz w:val="20"/>
          <w:szCs w:val="20"/>
          <w:color w:val="auto"/>
        </w:rPr>
      </w:pPr>
      <w:r>
        <w:rPr>
          <w:rFonts w:ascii="Times New Roman" w:cs="Times New Roman" w:eastAsia="Times New Roman" w:hAnsi="Times New Roman"/>
          <w:sz w:val="16"/>
          <w:szCs w:val="16"/>
          <w:color w:val="auto"/>
        </w:rPr>
        <w:t>to the primary obligation of the Company to indemnify the Initial Member Managers as provided herein, with the Company’s acknowledgement and agreement to the foregoing being a material condition to the Initial Member Managers’ willingness to serve on the Board. Notwithstanding anything contained herein to the contrary, the Company and each Member hereby agree (i) that the Company is the indemnitor of first resort with respect to any expenses, liabilities and losses reasonably incurred or suffered by Initial Member Managers in connection with their roles as Managers of the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its obligations to the Initial Member Managers are primary and any obligations of an Initial Member to advance expenses or to provide indemnification for the same expenses or liabilities incurred by an Initial Member Manager in connection with their service as an Initial Member Manager are secondary), (ii) that the Company shall be required to advance the full amount of expenses incurred by any Initial Member Manager in connection with their service as an Initial Member Manager as required by the terms of this Agreement (or any other agreement between the Company and an Initial Member Manager), without regard to any rights that an Initial Member Manager may have against an Initial Member, and (iii) that the Company irrevocably waives, relinquishes and releases each Initial Member from any and all claims against such Initial Member for contribution, subrogation or any other recovery of any kind in respect thereof. The Company and each Member further agree that no advancement or payment by an Initial Member on behalf of an Initial Member Manager with respect to any claim for which such Initial Member Manager has sought indemnification from the Company shall affect the foregoing, and the applicable Initial Member shall have a right of contribution or be subrogated to the extent of any such advancement or payment to all of the rights of recovery of such Initial Member Manager against the Company. The Company agrees that each Initial Member and its respective Affiliates are express third-party beneficiaries of the terms of this </w:t>
      </w:r>
      <w:r>
        <w:rPr>
          <w:rFonts w:ascii="Times New Roman" w:cs="Times New Roman" w:eastAsia="Times New Roman" w:hAnsi="Times New Roman"/>
          <w:sz w:val="16"/>
          <w:szCs w:val="16"/>
          <w:u w:val="single" w:color="auto"/>
          <w:color w:val="auto"/>
        </w:rPr>
        <w:t>Section 5.7(d)</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firstLine="962"/>
        <w:spacing w:after="0" w:line="263" w:lineRule="auto"/>
        <w:tabs>
          <w:tab w:leader="none" w:pos="14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w:t>
      </w:r>
      <w:r>
        <w:rPr>
          <w:rFonts w:ascii="Times New Roman" w:cs="Times New Roman" w:eastAsia="Times New Roman" w:hAnsi="Times New Roman"/>
          <w:sz w:val="16"/>
          <w:szCs w:val="16"/>
          <w:color w:val="auto"/>
        </w:rPr>
        <w:t xml:space="preserve">. Notwithstanding anything herein to the contrary (including in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any indemnity by the Company relating to the matters covered in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will be provided solely out of and to the extent of the Company assets (including proceeds from insurance policies maintained by the Company), and no Member will have personal liability on account thereof or will be required to make additional Capital Contributions to help satisfy such indemnity of the Company (unless such Member otherwise agrees in writing or is found in a final decision by a court of competent jurisdiction to have personal liability on account thereof).</w:t>
      </w:r>
    </w:p>
    <w:p>
      <w:pPr>
        <w:spacing w:after="0" w:line="124" w:lineRule="exact"/>
        <w:rPr>
          <w:rFonts w:ascii="Times New Roman" w:cs="Times New Roman" w:eastAsia="Times New Roman" w:hAnsi="Times New Roman"/>
          <w:sz w:val="16"/>
          <w:szCs w:val="16"/>
          <w:color w:val="auto"/>
        </w:rPr>
      </w:pPr>
    </w:p>
    <w:p>
      <w:pPr>
        <w:jc w:val="both"/>
        <w:ind w:firstLine="962"/>
        <w:spacing w:after="0" w:line="259" w:lineRule="auto"/>
        <w:tabs>
          <w:tab w:leader="none" w:pos="144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Exculpation</w:t>
      </w:r>
      <w:r>
        <w:rPr>
          <w:rFonts w:ascii="Times New Roman" w:cs="Times New Roman" w:eastAsia="Times New Roman" w:hAnsi="Times New Roman"/>
          <w:sz w:val="16"/>
          <w:szCs w:val="16"/>
          <w:color w:val="auto"/>
        </w:rPr>
        <w:t xml:space="preserve">. To the fullest extent that would be permitted by Section 102(b)(7) of the General Corporation Law of Delaware, as it now exists or may hereafter be amended (but, in the case of any such amendment, only to the extent such amendment permits the Company to provide broader exculpation than permitted prior thereto), if the Company were a corporation incorporated under the General Corporation Law of the State of Delaware, no Manager of the Company shall be liable to the Company or its Members for monetary damages arising from a breach of fiduciary duty as a Manager, if applicable. Each Manager shall be a third-party beneficiary of this Agreement for purposes of this </w:t>
      </w:r>
      <w:r>
        <w:rPr>
          <w:rFonts w:ascii="Times New Roman" w:cs="Times New Roman" w:eastAsia="Times New Roman" w:hAnsi="Times New Roman"/>
          <w:sz w:val="16"/>
          <w:szCs w:val="16"/>
          <w:u w:val="single" w:color="auto"/>
          <w:color w:val="auto"/>
        </w:rPr>
        <w:t>Section 5.7(f)</w:t>
      </w:r>
      <w:r>
        <w:rPr>
          <w:rFonts w:ascii="Times New Roman" w:cs="Times New Roman" w:eastAsia="Times New Roman" w:hAnsi="Times New Roman"/>
          <w:sz w:val="16"/>
          <w:szCs w:val="16"/>
          <w:color w:val="auto"/>
        </w:rPr>
        <w:t>.</w:t>
      </w:r>
    </w:p>
    <w:p>
      <w:pPr>
        <w:spacing w:after="0" w:line="129"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Savings Clause</w:t>
      </w:r>
      <w:r>
        <w:rPr>
          <w:rFonts w:ascii="Times New Roman" w:cs="Times New Roman" w:eastAsia="Times New Roman" w:hAnsi="Times New Roman"/>
          <w:sz w:val="16"/>
          <w:szCs w:val="16"/>
          <w:color w:val="auto"/>
        </w:rPr>
        <w:t xml:space="preserve">. If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or any portion hereof is invalidated on any ground by any court of competent jurisdiction, then the Company will</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nevertheless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7" w:name="page168"/>
    <w:bookmarkEnd w:id="167"/>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indemnify and hold harmless each Indemnified Person pursuant to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to the fullest extent permitted by any applicable portion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that has not been invalidated and to the fullest extent permitted by applicable Law. The indemnification provisions set forth in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will be deemed to be a contract between the Company and each of the Persons constituting Indemnified Persons at any time while the provisions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remain in effect, whether or not such Indemnified Person continues to serve in such capacity and whether or not such Indemnified Person is a party hereto. The rights of the Indemnified Persons under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will survive the termination of this Agreement.</w:t>
      </w:r>
    </w:p>
    <w:p>
      <w:pPr>
        <w:spacing w:after="0" w:line="129" w:lineRule="exact"/>
        <w:rPr>
          <w:sz w:val="20"/>
          <w:szCs w:val="20"/>
          <w:color w:val="auto"/>
        </w:rPr>
      </w:pPr>
    </w:p>
    <w:p>
      <w:pPr>
        <w:jc w:val="both"/>
        <w:ind w:firstLine="962"/>
        <w:spacing w:after="0" w:line="257" w:lineRule="auto"/>
        <w:tabs>
          <w:tab w:leader="none" w:pos="143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of Indemnification, Advancement of Expenses and Exculpation</w:t>
      </w:r>
      <w:r>
        <w:rPr>
          <w:rFonts w:ascii="Times New Roman" w:cs="Times New Roman" w:eastAsia="Times New Roman" w:hAnsi="Times New Roman"/>
          <w:sz w:val="16"/>
          <w:szCs w:val="16"/>
          <w:color w:val="auto"/>
        </w:rPr>
        <w:t xml:space="preserve">. The indemnification, advancement of expenses and exculpation provided by, or granted pursuant to,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will, unless otherwise provided when authorized or ratified, inure to the benefit of the heirs, executors and administrators of an Indemnified Person or Manager, as applicable. Any amendment, modification or repeal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or any provision hereof will be prospective only and will not in any way affect the limitations on liability of an Indemnified Person, or terminate, reduce or impair the right of any past or present Indemnified Persons, under and in accordance with the provisions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30" w:lineRule="exact"/>
        <w:rPr>
          <w:sz w:val="20"/>
          <w:szCs w:val="20"/>
          <w:color w:val="auto"/>
        </w:rPr>
      </w:pPr>
    </w:p>
    <w:p>
      <w:pPr>
        <w:ind w:left="480"/>
        <w:spacing w:after="0"/>
        <w:tabs>
          <w:tab w:leader="none" w:pos="920" w:val="left"/>
        </w:tabs>
        <w:rPr>
          <w:sz w:val="20"/>
          <w:szCs w:val="20"/>
          <w:color w:val="auto"/>
        </w:rPr>
      </w:pPr>
      <w:r>
        <w:rPr>
          <w:rFonts w:ascii="Times New Roman" w:cs="Times New Roman" w:eastAsia="Times New Roman" w:hAnsi="Times New Roman"/>
          <w:sz w:val="16"/>
          <w:szCs w:val="16"/>
          <w:color w:val="auto"/>
        </w:rPr>
        <w:t>V.8</w:t>
      </w:r>
      <w:r>
        <w:rPr>
          <w:sz w:val="20"/>
          <w:szCs w:val="20"/>
          <w:color w:val="auto"/>
        </w:rPr>
        <w:tab/>
      </w:r>
      <w:r>
        <w:rPr>
          <w:rFonts w:ascii="Times New Roman" w:cs="Times New Roman" w:eastAsia="Times New Roman" w:hAnsi="Times New Roman"/>
          <w:sz w:val="16"/>
          <w:szCs w:val="16"/>
          <w:u w:val="single" w:color="auto"/>
          <w:color w:val="auto"/>
        </w:rPr>
        <w:t>Dispute and Deadlock Resolution</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9" w:lineRule="auto"/>
        <w:tabs>
          <w:tab w:leader="none" w:pos="14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set forth herein, if any material business matter has been presented to the Board or the Members for consideration and has not been adopted, an Initial Member or Initial Member Manager that voted in favor of the adoption of such matter may issue a notice to the other Initial Member requiring the escalation of such matter to a steering committee to resolve such matter. The members of the steering committee shall consist of the CEO of the Company and an authorized representative of each of the Initial Members (such committee, the “</w:t>
      </w:r>
      <w:r>
        <w:rPr>
          <w:rFonts w:ascii="Times New Roman" w:cs="Times New Roman" w:eastAsia="Times New Roman" w:hAnsi="Times New Roman"/>
          <w:sz w:val="16"/>
          <w:szCs w:val="16"/>
          <w:u w:val="single" w:color="auto"/>
          <w:color w:val="auto"/>
        </w:rPr>
        <w:t>Steering Committee</w:t>
      </w:r>
      <w:r>
        <w:rPr>
          <w:rFonts w:ascii="Times New Roman" w:cs="Times New Roman" w:eastAsia="Times New Roman" w:hAnsi="Times New Roman"/>
          <w:sz w:val="16"/>
          <w:szCs w:val="16"/>
          <w:color w:val="auto"/>
        </w:rPr>
        <w:t>”). The Steering Committee will attempt to reach a unanimous decision to resolve such matter.</w:t>
      </w:r>
    </w:p>
    <w:p>
      <w:pPr>
        <w:spacing w:after="0" w:line="129" w:lineRule="exact"/>
        <w:rPr>
          <w:rFonts w:ascii="Times New Roman" w:cs="Times New Roman" w:eastAsia="Times New Roman" w:hAnsi="Times New Roman"/>
          <w:sz w:val="16"/>
          <w:szCs w:val="16"/>
          <w:color w:val="auto"/>
        </w:rPr>
      </w:pPr>
    </w:p>
    <w:p>
      <w:pPr>
        <w:jc w:val="both"/>
        <w:ind w:firstLine="962"/>
        <w:spacing w:after="0" w:line="270" w:lineRule="auto"/>
        <w:tabs>
          <w:tab w:leader="none" w:pos="143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matter or dispute is not resolved by the Steering Committee within 15 days of being referred thereto, the dispute shall be raised to the SB Member’s ultimate parent’s CEO and the Symbotic Member’s ultimate parent’s CEO for discussion and potential resolution. To the extent that a resolution is not reached by such Persons within 30 days of being referred thereto, the dispute may then be resolved in accordance with </w:t>
      </w:r>
      <w:r>
        <w:rPr>
          <w:rFonts w:ascii="Times New Roman" w:cs="Times New Roman" w:eastAsia="Times New Roman" w:hAnsi="Times New Roman"/>
          <w:sz w:val="16"/>
          <w:szCs w:val="16"/>
          <w:u w:val="single" w:color="auto"/>
          <w:color w:val="auto"/>
        </w:rPr>
        <w:t>Section 14.7</w:t>
      </w:r>
      <w:r>
        <w:rPr>
          <w:rFonts w:ascii="Times New Roman" w:cs="Times New Roman" w:eastAsia="Times New Roman" w:hAnsi="Times New Roman"/>
          <w:sz w:val="16"/>
          <w:szCs w:val="16"/>
          <w:color w:val="auto"/>
        </w:rPr>
        <w:t xml:space="preserve"> of this Agreement.</w:t>
      </w:r>
    </w:p>
    <w:p>
      <w:pPr>
        <w:spacing w:after="0" w:line="120"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V.9 </w:t>
      </w:r>
      <w:r>
        <w:rPr>
          <w:rFonts w:ascii="Times New Roman" w:cs="Times New Roman" w:eastAsia="Times New Roman" w:hAnsi="Times New Roman"/>
          <w:sz w:val="16"/>
          <w:szCs w:val="16"/>
          <w:u w:val="single" w:color="auto"/>
          <w:color w:val="auto"/>
        </w:rPr>
        <w:t>Additional Financing</w:t>
      </w:r>
      <w:r>
        <w:rPr>
          <w:rFonts w:ascii="Times New Roman" w:cs="Times New Roman" w:eastAsia="Times New Roman" w:hAnsi="Times New Roman"/>
          <w:sz w:val="16"/>
          <w:szCs w:val="16"/>
          <w:color w:val="auto"/>
        </w:rPr>
        <w:t xml:space="preserve">. The Board shall use its commercially reasonable efforts, and each of the Initial Members shall use their respective commercially reasonable efforts to support the Company in such efforts, to seek and obtain third-party debt or equity financing in order to fund amounts payable under the Commercial Agreement in excess of the Required Commitment Amount of both of the Initial Members, on terms reasonably acceptable to the Company and subject to </w:t>
      </w:r>
      <w:r>
        <w:rPr>
          <w:rFonts w:ascii="Times New Roman" w:cs="Times New Roman" w:eastAsia="Times New Roman" w:hAnsi="Times New Roman"/>
          <w:sz w:val="16"/>
          <w:szCs w:val="16"/>
          <w:u w:val="single" w:color="auto"/>
          <w:color w:val="auto"/>
        </w:rPr>
        <w:t>Section 5.4(b)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efforts do not and shall not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8" w:name="page169"/>
    <w:bookmarkEnd w:id="168"/>
    <w:p>
      <w:pPr>
        <w:jc w:val="both"/>
        <w:spacing w:after="0" w:line="255" w:lineRule="auto"/>
        <w:tabs>
          <w:tab w:leader="none" w:pos="20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such cooperation from any Member to the extent it would require any Member, or any of its Affiliates or its or their respective directors, officers, employees or equityholders, to incur any monetary liability, pay any fees, reimburse any expenses, or provide any indemnity, in each case, for which the Company is not obligated to reimburse or indemnify such Member under this Agreement, (ii) require such cooperation to the extent it would unreasonably interfere with the operations of any Member, (iii) require any Member, or any of its Affiliates or its or their respective directors, officers, employees or equityholders to be the issuer of any securities or issue any offering document, (iv) require any Member, or any of its Affiliates or its or their respective directors, officers, employees or equityholders to provide any information the disclosure of which is prohibited by applicable Law or (v) require any Member, or any of its Affiliates or its or their respective directors, officers, employees or equityholders to take any action that will conflict with or violate the organizational documents of such person or any applicable Law or legal proceeding.</w:t>
      </w:r>
    </w:p>
    <w:p>
      <w:pPr>
        <w:spacing w:after="0" w:line="1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VI</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RIGHTS AND OBLIGATIONS OF MEMBERS; MEMBERS’ MEETINGS</w:t>
      </w:r>
    </w:p>
    <w:p>
      <w:pPr>
        <w:spacing w:after="0" w:line="158"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VI.1</w:t>
      </w:r>
      <w:r>
        <w:rPr>
          <w:sz w:val="20"/>
          <w:szCs w:val="20"/>
          <w:color w:val="auto"/>
        </w:rPr>
        <w:tab/>
      </w:r>
      <w:r>
        <w:rPr>
          <w:rFonts w:ascii="Times New Roman" w:cs="Times New Roman" w:eastAsia="Times New Roman" w:hAnsi="Times New Roman"/>
          <w:sz w:val="16"/>
          <w:szCs w:val="16"/>
          <w:u w:val="single" w:color="auto"/>
          <w:color w:val="auto"/>
        </w:rPr>
        <w:t>Limitation of Liability of Members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4" w:lineRule="auto"/>
        <w:tabs>
          <w:tab w:leader="none" w:pos="14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provided herein or required by the Delaware Act, the debts, obligations and liabilities of the Company, whether arising in contract, tort or otherwise, will be solely the debts, obligations and liabilities of the Company, and no Member will be obligated personally for any such debt, obligation or liability of the Company solely by reason of being a Member or acting as a Member, other than any Member’s obligation to make any Capital Contributions to the Company pursuant to the terms hereof or other written agreement with the Company. Except as otherwise provided in this Agreement, a Member’s liability (in its capacity as a Member) for debts, liabilities and losses of the Company will be such Member’s share of the Company’s assets;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Member will be required to return to the Company any Distribution (including any Tax Distribution) made to such Member as a result of a clear and manifest accounting or similar error or as a result of a clear, manifest and material breach of this Agreement, in each case, with respect to which written notice thereof has been delivered to the applicable Member, within 60 days after the applicable Distribution. The immediately preceding sentence will constitute a compromise to which all Members have consented within the meaning of the Delaware Act. Notwithstanding anything herein to the contrary, the failure of the Company to observe any formalities or requirements relating to the exercise of its powers or management of its business and affairs under this Agreement or the Delaware Act will not be grounds for imposing personal liability on the Members or Managers for liabilities of the Company.</w:t>
      </w:r>
    </w:p>
    <w:p>
      <w:pPr>
        <w:spacing w:after="0" w:line="136" w:lineRule="exact"/>
        <w:rPr>
          <w:rFonts w:ascii="Times New Roman" w:cs="Times New Roman" w:eastAsia="Times New Roman" w:hAnsi="Times New Roman"/>
          <w:sz w:val="16"/>
          <w:szCs w:val="16"/>
          <w:color w:val="auto"/>
        </w:rPr>
      </w:pPr>
    </w:p>
    <w:p>
      <w:pPr>
        <w:jc w:val="both"/>
        <w:ind w:firstLine="962"/>
        <w:spacing w:after="0" w:line="259" w:lineRule="auto"/>
        <w:tabs>
          <w:tab w:leader="none" w:pos="143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or any duty otherwise existing at Law, in equity or otherwise, whenever in this Agreement a Person that is a Member is permitted or required to make a decision or take an action solely in the capacity as a Member, an investor or holder of Units in the Company or on behalf of a Member (including as a partner, officer, director, manager, representative or owner of an entity that is a Member) (and not in the capacity as a Manager), such Person making such decisions or taking such actions shall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69" w:name="page170"/>
    <w:bookmarkEnd w:id="169"/>
    <w:p>
      <w:pPr>
        <w:jc w:val="both"/>
        <w:spacing w:after="0" w:line="264" w:lineRule="auto"/>
        <w:rPr>
          <w:sz w:val="20"/>
          <w:szCs w:val="20"/>
          <w:color w:val="auto"/>
        </w:rPr>
      </w:pPr>
      <w:r>
        <w:rPr>
          <w:rFonts w:ascii="Times New Roman" w:cs="Times New Roman" w:eastAsia="Times New Roman" w:hAnsi="Times New Roman"/>
          <w:sz w:val="16"/>
          <w:szCs w:val="16"/>
          <w:color w:val="auto"/>
        </w:rPr>
        <w:t>not be subject to any fiduciary duties such Person would otherwise have under applicable Law and shall be entitled to consider only such interests and factors as such Person desires, including such Person’s own interests or those of any such Person’s Affiliates, and shall, to the fullest extent permitted by applicable Law, have no duty or obligation to give any consideration to any interest of or factors affecting the Company or any other Person.</w:t>
      </w:r>
    </w:p>
    <w:p>
      <w:pPr>
        <w:spacing w:after="0" w:line="13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VI.2</w:t>
      </w:r>
      <w:r>
        <w:rPr>
          <w:sz w:val="20"/>
          <w:szCs w:val="20"/>
          <w:color w:val="auto"/>
        </w:rPr>
        <w:tab/>
      </w:r>
      <w:r>
        <w:rPr>
          <w:rFonts w:ascii="Times New Roman" w:cs="Times New Roman" w:eastAsia="Times New Roman" w:hAnsi="Times New Roman"/>
          <w:sz w:val="16"/>
          <w:szCs w:val="16"/>
          <w:u w:val="single" w:color="auto"/>
          <w:color w:val="auto"/>
        </w:rPr>
        <w:t>Members’ Right to Act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3" w:lineRule="auto"/>
        <w:tabs>
          <w:tab w:leader="none" w:pos="14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Lack of Authority</w:t>
      </w:r>
      <w:r>
        <w:rPr>
          <w:rFonts w:ascii="Times New Roman" w:cs="Times New Roman" w:eastAsia="Times New Roman" w:hAnsi="Times New Roman"/>
          <w:sz w:val="16"/>
          <w:szCs w:val="16"/>
          <w:color w:val="auto"/>
        </w:rPr>
        <w:t xml:space="preserve">. No Member in its capacity as such has the authority or power to act for or on behalf of the Company in any manner or way, to bind the Company, or do any act that would be (or could be construed as) binding on the Company, in any manner or way, or to make any expenditures on behalf of the Company, unless such specific authority and power has been expressly granted to and not revoked from such Member by the Board or pursuant to this Agreement, and the Members consent to the exercise by the Board of the powers conferred on it by Law and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of a Symbotic Succession Event (as defined in the Commercial Agreement), notwithstanding (i) any Conflict of Interest between the SB Member or any executive officer, manager, director, Affiliate or Related Party thereof and the Company or any of its Subsidiaries, (ii) any Major Investor Approval required pursuant to </w:t>
      </w:r>
      <w:r>
        <w:rPr>
          <w:rFonts w:ascii="Times New Roman" w:cs="Times New Roman" w:eastAsia="Times New Roman" w:hAnsi="Times New Roman"/>
          <w:sz w:val="16"/>
          <w:szCs w:val="16"/>
          <w:u w:val="single" w:color="auto"/>
          <w:color w:val="auto"/>
        </w:rPr>
        <w:t>Section 6.3(b)(vi)</w:t>
      </w:r>
      <w:r>
        <w:rPr>
          <w:rFonts w:ascii="Times New Roman" w:cs="Times New Roman" w:eastAsia="Times New Roman" w:hAnsi="Times New Roman"/>
          <w:sz w:val="16"/>
          <w:szCs w:val="16"/>
          <w:color w:val="auto"/>
        </w:rPr>
        <w:t xml:space="preserve">, (iii) any unanimous Board approval or consent required pursuant to </w:t>
      </w:r>
      <w:r>
        <w:rPr>
          <w:rFonts w:ascii="Times New Roman" w:cs="Times New Roman" w:eastAsia="Times New Roman" w:hAnsi="Times New Roman"/>
          <w:sz w:val="16"/>
          <w:szCs w:val="16"/>
          <w:u w:val="single" w:color="auto"/>
          <w:color w:val="auto"/>
        </w:rPr>
        <w:t>Section 5.4(o)</w:t>
      </w:r>
      <w:r>
        <w:rPr>
          <w:rFonts w:ascii="Times New Roman" w:cs="Times New Roman" w:eastAsia="Times New Roman" w:hAnsi="Times New Roman"/>
          <w:sz w:val="16"/>
          <w:szCs w:val="16"/>
          <w:color w:val="auto"/>
        </w:rPr>
        <w:t xml:space="preserve"> or (iv) anything in this Agreement to the contrary, the SB Member shall have the sole authority and power to cause the Company to exercise its option under Section 15.1 of the Commercial Agreement in connection with such Symbotic Succession Event;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in the event the SB Member decides to cause the Company to exercise the Company’s option under Section 15.1 of the Commercial Agreement, then the Annual Budget shall automatically be adjusted to reflect such reduction of the Company’s commitment under the Commercial Agreement. Any Member that acts in violation of the foregoing will be solely responsible to the Company for any resulting loss or expense to the Company and (notwithstanding anything to the contrary contained herein) will not be entitled to any indemnification, whether set forth herein or otherwise.</w:t>
      </w:r>
    </w:p>
    <w:p>
      <w:pPr>
        <w:spacing w:after="0" w:line="136" w:lineRule="exact"/>
        <w:rPr>
          <w:rFonts w:ascii="Times New Roman" w:cs="Times New Roman" w:eastAsia="Times New Roman" w:hAnsi="Times New Roman"/>
          <w:sz w:val="16"/>
          <w:szCs w:val="16"/>
          <w:color w:val="auto"/>
        </w:rPr>
      </w:pPr>
    </w:p>
    <w:p>
      <w:pPr>
        <w:jc w:val="both"/>
        <w:ind w:firstLine="962"/>
        <w:spacing w:after="0" w:line="255" w:lineRule="auto"/>
        <w:tabs>
          <w:tab w:leader="none" w:pos="143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Member Voting</w:t>
      </w:r>
      <w:r>
        <w:rPr>
          <w:rFonts w:ascii="Times New Roman" w:cs="Times New Roman" w:eastAsia="Times New Roman" w:hAnsi="Times New Roman"/>
          <w:sz w:val="16"/>
          <w:szCs w:val="16"/>
          <w:color w:val="auto"/>
        </w:rPr>
        <w:t xml:space="preserve">. For situations for which the approval of the Members or any class of Members (rather than the approval of the Board on behalf of the Members) is expressly required by this Agreement or by applicable Law, except as otherwise contemplated in this Agreement, each Member will be entitled to one vote per Common Unit held by such Member on matters requiring a vote or consent of the Members;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any consent of the Members is required other than where 10% Member Consent or Major Investor Approval is required, the number of Common Units deemed voted by the SB Member will be limited to 50% of all Common Units counted for such consent. Any vote of the Members holding Common Units or any class of Members may be taken at a meeting of the Members in accordance with the provisions of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The Class A Common Units and Class B Common Units shall vote as a single class. The vote of the Members holding a majority of the then-outstanding Common Units entitled to vote and represented at a meeting of the Members, voting as a single class, or such higher threshold as may be set forth in this Agreement, at which a quorum is present, will be the act of the Members. Any action permitted or required by the Delaware Act or this Agreement to be taken at a meeting of the Members may be taken without a meeting if 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70" w:name="page171"/>
    <w:bookmarkEnd w:id="170"/>
    <w:p>
      <w:pPr>
        <w:jc w:val="both"/>
        <w:spacing w:after="0" w:line="259" w:lineRule="auto"/>
        <w:rPr>
          <w:sz w:val="20"/>
          <w:szCs w:val="20"/>
          <w:color w:val="auto"/>
        </w:rPr>
      </w:pPr>
      <w:r>
        <w:rPr>
          <w:rFonts w:ascii="Times New Roman" w:cs="Times New Roman" w:eastAsia="Times New Roman" w:hAnsi="Times New Roman"/>
          <w:sz w:val="16"/>
          <w:szCs w:val="16"/>
          <w:color w:val="auto"/>
        </w:rPr>
        <w:t>consent in writing, setting forth the action to be taken, is signed by such of the Members as will be required to authorize, approve, ratify or otherwise consent to such action under the Delaware Act and this Agreement (which may be less than all of the Members, in which event a copy thereof will be sent to each of the Members entitled to vote or consent to such action who did not sign the consent). Such consent will have the same force and effect as a vote at a meeting and may be stated as such in any document or instrument filed with the Secretary of State of the State of Delaware, and the execution of such consent will constitute attendance or presence in person by such person executing such consent at a meeting of the Members.</w:t>
      </w:r>
    </w:p>
    <w:p>
      <w:pPr>
        <w:spacing w:after="0" w:line="129" w:lineRule="exact"/>
        <w:rPr>
          <w:sz w:val="20"/>
          <w:szCs w:val="20"/>
          <w:color w:val="auto"/>
        </w:rPr>
      </w:pPr>
    </w:p>
    <w:p>
      <w:pPr>
        <w:jc w:val="both"/>
        <w:ind w:firstLine="962"/>
        <w:spacing w:after="0" w:line="254" w:lineRule="auto"/>
        <w:tabs>
          <w:tab w:leader="none" w:pos="14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Member Meetings</w:t>
      </w:r>
      <w:r>
        <w:rPr>
          <w:rFonts w:ascii="Times New Roman" w:cs="Times New Roman" w:eastAsia="Times New Roman" w:hAnsi="Times New Roman"/>
          <w:sz w:val="16"/>
          <w:szCs w:val="16"/>
          <w:color w:val="auto"/>
        </w:rPr>
        <w:t>. Meetings of the Members may be held at such place, including by telephone or video conference or similar communications equipment by means of which all individuals participating in the meeting can be heard, as will be determined from time to time by resolution of the Board. At all meetings of the Members, business will be transacted in such order as will from time to time be determined by resolution of the Board. Except as otherwise contemplated in this Agreement, the presence of Members representing at least 50% of the outstanding Common Units, including the SB Member and the Symbotic Member, will constitute a quorum for the transaction of business of the Members. If a quorum is not present at any meeting, such meeting of the Members shall be adjourned for at least seven days to a date, time and place proposed by the Board. If, after three such adjournments, at the fourth consecutive meeting a quorum is not present, the Members present shall constitute a quorum. Notice of each meeting of the Members stating the date, place and time, the purpose or purposes of, and the business to be transacted at, such meeting will be given to each Member by hand, telephone, email, overnight courier or the U.S. mail at least three days prior to such meeting. Attendance of a Member at a meeting will constitute a waiver of notice of such meeting, except where a Member attends a meeting for the express purpose of objecting to the meeting on the ground that the meeting is not lawfully called or convened.</w:t>
      </w:r>
    </w:p>
    <w:p>
      <w:pPr>
        <w:spacing w:after="0" w:line="136"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VI.3</w:t>
      </w:r>
      <w:r>
        <w:rPr>
          <w:sz w:val="20"/>
          <w:szCs w:val="20"/>
          <w:color w:val="auto"/>
        </w:rPr>
        <w:tab/>
      </w:r>
      <w:r>
        <w:rPr>
          <w:rFonts w:ascii="Times New Roman" w:cs="Times New Roman" w:eastAsia="Times New Roman" w:hAnsi="Times New Roman"/>
          <w:sz w:val="16"/>
          <w:szCs w:val="16"/>
          <w:u w:val="single" w:color="auto"/>
          <w:color w:val="auto"/>
        </w:rPr>
        <w:t>Actions Requiring Member Consent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9" w:lineRule="auto"/>
        <w:tabs>
          <w:tab w:leader="none" w:pos="14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generality of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or anything else in this Agreement to the contrary, other than </w:t>
      </w:r>
      <w:r>
        <w:rPr>
          <w:rFonts w:ascii="Times New Roman" w:cs="Times New Roman" w:eastAsia="Times New Roman" w:hAnsi="Times New Roman"/>
          <w:sz w:val="16"/>
          <w:szCs w:val="16"/>
          <w:u w:val="single" w:color="auto"/>
          <w:color w:val="auto"/>
        </w:rPr>
        <w:t>Section 3.3(e)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without 10% Member Consent, the Company will not take, and will cause each of its Subsidiaries to refrain from taking, any of the following actions (whether, directly or indirectly, by amendment to the Certificate or other applicable document or by merger, recapitalization, reclassification, consolidation or otherwise and any such action taken shall be void </w:t>
      </w:r>
      <w:r>
        <w:rPr>
          <w:rFonts w:ascii="Times New Roman" w:cs="Times New Roman" w:eastAsia="Times New Roman" w:hAnsi="Times New Roman"/>
          <w:sz w:val="16"/>
          <w:szCs w:val="16"/>
          <w:i w:val="1"/>
          <w:iCs w:val="1"/>
          <w:color w:val="auto"/>
        </w:rPr>
        <w:t xml:space="preserve">ab initio </w:t>
      </w:r>
      <w:r>
        <w:rPr>
          <w:rFonts w:ascii="Times New Roman" w:cs="Times New Roman" w:eastAsia="Times New Roman" w:hAnsi="Times New Roman"/>
          <w:sz w:val="16"/>
          <w:szCs w:val="16"/>
          <w:color w:val="auto"/>
        </w:rPr>
        <w:t>and of no force or effect whatsoever)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subject to and not be interpreted to modify any rights or obligations of any Member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Board under </w:t>
      </w:r>
      <w:r>
        <w:rPr>
          <w:rFonts w:ascii="Times New Roman" w:cs="Times New Roman" w:eastAsia="Times New Roman" w:hAnsi="Times New Roman"/>
          <w:sz w:val="16"/>
          <w:szCs w:val="16"/>
          <w:u w:val="single" w:color="auto"/>
          <w:color w:val="auto"/>
        </w:rPr>
        <w:t>Sections 5.7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9.12</w:t>
      </w:r>
      <w:r>
        <w:rPr>
          <w:rFonts w:ascii="Times New Roman" w:cs="Times New Roman" w:eastAsia="Times New Roman" w:hAnsi="Times New Roman"/>
          <w:sz w:val="16"/>
          <w:szCs w:val="16"/>
          <w:color w:val="auto"/>
        </w:rPr>
        <w:t>):</w:t>
      </w:r>
    </w:p>
    <w:p>
      <w:pPr>
        <w:spacing w:after="0" w:line="129" w:lineRule="exact"/>
        <w:rPr>
          <w:rFonts w:ascii="Times New Roman" w:cs="Times New Roman" w:eastAsia="Times New Roman" w:hAnsi="Times New Roman"/>
          <w:sz w:val="16"/>
          <w:szCs w:val="16"/>
          <w:color w:val="auto"/>
        </w:rPr>
      </w:pPr>
    </w:p>
    <w:p>
      <w:pPr>
        <w:ind w:left="480" w:firstLine="962"/>
        <w:spacing w:after="0" w:line="280" w:lineRule="auto"/>
        <w:tabs>
          <w:tab w:leader="none" w:pos="1913"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amending, restating or amending and restating this Agreement or the Certificate or any governing document of any Subsidiary, other than (A) to increase or decrease the size of the Board or (B) administrative or otherwise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modifications that do not adversely affect any 10% Member;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71" w:name="page172"/>
    <w:bookmarkEnd w:id="171"/>
    <w:p>
      <w:pPr>
        <w:ind w:left="1920" w:hanging="478"/>
        <w:spacing w:after="0"/>
        <w:tabs>
          <w:tab w:leader="none" w:pos="192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altering, amending or modifying the terms of any Equity Securities;</w:t>
      </w:r>
    </w:p>
    <w:p>
      <w:pPr>
        <w:spacing w:after="0" w:line="166" w:lineRule="exact"/>
        <w:rPr>
          <w:rFonts w:ascii="Times New Roman" w:cs="Times New Roman" w:eastAsia="Times New Roman" w:hAnsi="Times New Roman"/>
          <w:sz w:val="16"/>
          <w:szCs w:val="16"/>
          <w:color w:val="auto"/>
        </w:rPr>
      </w:pPr>
    </w:p>
    <w:p>
      <w:pPr>
        <w:ind w:left="480" w:firstLine="962"/>
        <w:spacing w:after="0" w:line="280" w:lineRule="auto"/>
        <w:tabs>
          <w:tab w:leader="none" w:pos="1922"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issuing any Equity Securities of the Company or any Subsidiary thereof (other than pursuant to the terms of any Plan) or participating in any public or private offering or sale of Equity Securities of the Company or any Subsidiary thereof;</w:t>
      </w:r>
    </w:p>
    <w:p>
      <w:pPr>
        <w:spacing w:after="0" w:line="121" w:lineRule="exact"/>
        <w:rPr>
          <w:rFonts w:ascii="Times New Roman" w:cs="Times New Roman" w:eastAsia="Times New Roman" w:hAnsi="Times New Roman"/>
          <w:sz w:val="16"/>
          <w:szCs w:val="16"/>
          <w:color w:val="auto"/>
        </w:rPr>
      </w:pPr>
    </w:p>
    <w:p>
      <w:pPr>
        <w:ind w:left="480" w:firstLine="962"/>
        <w:spacing w:after="0" w:line="280" w:lineRule="auto"/>
        <w:tabs>
          <w:tab w:leader="none" w:pos="1913"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liquidating, dissolving or effecting a recapitalization, restructuring or reorganization in any form of transaction of the Company (including making or permitting any change in the manner in which the Company is treated for federal income tax purposes);</w:t>
      </w:r>
    </w:p>
    <w:p>
      <w:pPr>
        <w:spacing w:after="0" w:line="111"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a voluntary bankruptcy or similar proceeding or failing to contest any bankruptcy or similar proceeding filed against the Company or any of</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Subsidiaries;</w:t>
      </w:r>
    </w:p>
    <w:p>
      <w:pPr>
        <w:spacing w:after="0" w:line="148"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a new line of business or materially changing the scope of the business of the Company;</w:t>
      </w:r>
    </w:p>
    <w:p>
      <w:pPr>
        <w:spacing w:after="0" w:line="17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or permitting any change to the Tax treatment of the Company or any of its Subsidiaries, or to the classification of any of the foregoing</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Code;</w:t>
      </w:r>
    </w:p>
    <w:p>
      <w:pPr>
        <w:spacing w:after="0" w:line="148"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altering, amending or modifying any Tax, accounting or record-keeping principles of the Company; or</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agreeing or committing to any of the foregoing.</w:t>
      </w:r>
    </w:p>
    <w:p>
      <w:pPr>
        <w:spacing w:after="0" w:line="166" w:lineRule="exact"/>
        <w:rPr>
          <w:rFonts w:ascii="Times New Roman" w:cs="Times New Roman" w:eastAsia="Times New Roman" w:hAnsi="Times New Roman"/>
          <w:sz w:val="16"/>
          <w:szCs w:val="16"/>
          <w:color w:val="auto"/>
        </w:rPr>
      </w:pPr>
    </w:p>
    <w:p>
      <w:pPr>
        <w:jc w:val="both"/>
        <w:ind w:firstLine="962"/>
        <w:spacing w:after="0" w:line="259" w:lineRule="auto"/>
        <w:tabs>
          <w:tab w:leader="none" w:pos="1439"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Requiring Major Investor Approval</w:t>
      </w:r>
      <w:r>
        <w:rPr>
          <w:rFonts w:ascii="Times New Roman" w:cs="Times New Roman" w:eastAsia="Times New Roman" w:hAnsi="Times New Roman"/>
          <w:sz w:val="16"/>
          <w:szCs w:val="16"/>
          <w:color w:val="auto"/>
        </w:rPr>
        <w:t xml:space="preserve">. Notwithstanding the generality of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or anything else in this Agreement to the contrary, other than </w:t>
      </w:r>
      <w:r>
        <w:rPr>
          <w:rFonts w:ascii="Times New Roman" w:cs="Times New Roman" w:eastAsia="Times New Roman" w:hAnsi="Times New Roman"/>
          <w:sz w:val="16"/>
          <w:szCs w:val="16"/>
          <w:u w:val="single" w:color="auto"/>
          <w:color w:val="auto"/>
        </w:rPr>
        <w:t>Section 3.3(e)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without the vote of each of the Major Investors (“</w:t>
      </w:r>
      <w:r>
        <w:rPr>
          <w:rFonts w:ascii="Times New Roman" w:cs="Times New Roman" w:eastAsia="Times New Roman" w:hAnsi="Times New Roman"/>
          <w:sz w:val="16"/>
          <w:szCs w:val="16"/>
          <w:u w:val="single" w:color="auto"/>
          <w:color w:val="auto"/>
        </w:rPr>
        <w:t>Major Investor Approval</w:t>
      </w:r>
      <w:r>
        <w:rPr>
          <w:rFonts w:ascii="Times New Roman" w:cs="Times New Roman" w:eastAsia="Times New Roman" w:hAnsi="Times New Roman"/>
          <w:sz w:val="16"/>
          <w:szCs w:val="16"/>
          <w:color w:val="auto"/>
        </w:rPr>
        <w:t xml:space="preserve">”), the Company will not take, and will cause each of its Subsidiaries to refrain from taking, any of the following actions (whether, directly or indirectly, by amendment to the Certificate or other applicable document or by merger, recapitalization, reclassification, consolidation or otherwise and any such action taken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force or effect whatsoever)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shall be subject to and not be interpreted to modify any rights or obligations of any Member or the Board under </w:t>
      </w:r>
      <w:r>
        <w:rPr>
          <w:rFonts w:ascii="Times New Roman" w:cs="Times New Roman" w:eastAsia="Times New Roman" w:hAnsi="Times New Roman"/>
          <w:sz w:val="16"/>
          <w:szCs w:val="16"/>
          <w:u w:val="single" w:color="auto"/>
          <w:color w:val="auto"/>
        </w:rPr>
        <w:t>Sections 5.7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9.12</w:t>
      </w:r>
      <w:r>
        <w:rPr>
          <w:rFonts w:ascii="Times New Roman" w:cs="Times New Roman" w:eastAsia="Times New Roman" w:hAnsi="Times New Roman"/>
          <w:sz w:val="16"/>
          <w:szCs w:val="16"/>
          <w:color w:val="auto"/>
        </w:rPr>
        <w:t>):</w:t>
      </w:r>
    </w:p>
    <w:p>
      <w:pPr>
        <w:spacing w:after="0" w:line="129"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consummating any Sale Transaction or Public Offering;</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or decreasing the size of the Board;</w:t>
      </w:r>
    </w:p>
    <w:p>
      <w:pPr>
        <w:spacing w:after="0" w:line="17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declaring or paying any Distributions upon any of its Equity Securities, other than (A) Tax Distributions pursuant to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and</w:t>
      </w:r>
    </w:p>
    <w:p>
      <w:pPr>
        <w:spacing w:after="0" w:line="24" w:lineRule="exact"/>
        <w:rPr>
          <w:rFonts w:ascii="Times New Roman" w:cs="Times New Roman" w:eastAsia="Times New Roman" w:hAnsi="Times New Roman"/>
          <w:sz w:val="16"/>
          <w:szCs w:val="16"/>
          <w:color w:val="auto"/>
        </w:rPr>
      </w:pPr>
    </w:p>
    <w:p>
      <w:pPr>
        <w:ind w:left="740" w:hanging="259"/>
        <w:spacing w:after="0"/>
        <w:tabs>
          <w:tab w:leader="none" w:pos="7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Distributions of Available Cash or proceeds of a Sale Transaction pursuant to </w:t>
      </w:r>
      <w:r>
        <w:rPr>
          <w:rFonts w:ascii="Times New Roman" w:cs="Times New Roman" w:eastAsia="Times New Roman" w:hAnsi="Times New Roman"/>
          <w:sz w:val="16"/>
          <w:szCs w:val="16"/>
          <w:u w:val="single" w:color="auto"/>
          <w:color w:val="auto"/>
        </w:rPr>
        <w:t>Sections 4.2(a)</w:t>
      </w:r>
      <w:r>
        <w:rPr>
          <w:rFonts w:ascii="Times New Roman" w:cs="Times New Roman" w:eastAsia="Times New Roman" w:hAnsi="Times New Roman"/>
          <w:sz w:val="16"/>
          <w:szCs w:val="16"/>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72" w:name="page173"/>
    <w:bookmarkEnd w:id="172"/>
    <w:p>
      <w:pPr>
        <w:ind w:left="480"/>
        <w:spacing w:after="0" w:line="280" w:lineRule="auto"/>
        <w:rPr>
          <w:sz w:val="20"/>
          <w:szCs w:val="20"/>
          <w:color w:val="auto"/>
        </w:rPr>
      </w:pPr>
      <w:r>
        <w:rPr>
          <w:rFonts w:ascii="Times New Roman" w:cs="Times New Roman" w:eastAsia="Times New Roman" w:hAnsi="Times New Roman"/>
          <w:sz w:val="16"/>
          <w:szCs w:val="16"/>
          <w:u w:val="single" w:color="auto"/>
          <w:color w:val="auto"/>
        </w:rPr>
        <w:t>4.2(b)</w:t>
      </w:r>
      <w:r>
        <w:rPr>
          <w:rFonts w:ascii="Times New Roman" w:cs="Times New Roman" w:eastAsia="Times New Roman" w:hAnsi="Times New Roman"/>
          <w:sz w:val="16"/>
          <w:szCs w:val="16"/>
          <w:color w:val="auto"/>
        </w:rPr>
        <w:t xml:space="preserve">, declaring or paying any distributions less than Distributions of Available Cash as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or entering into, altering, amending or modifying any agreement that would reasonably be expected to restrict the ability of the Company to declare or pay Distributions in any way;</w:t>
      </w:r>
    </w:p>
    <w:p>
      <w:pPr>
        <w:spacing w:after="0" w:line="112" w:lineRule="exact"/>
        <w:rPr>
          <w:sz w:val="20"/>
          <w:szCs w:val="20"/>
          <w:color w:val="auto"/>
        </w:rPr>
      </w:pPr>
    </w:p>
    <w:p>
      <w:pPr>
        <w:ind w:left="1920" w:hanging="478"/>
        <w:spacing w:after="0"/>
        <w:tabs>
          <w:tab w:leader="none" w:pos="19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altering the Company’s reserves policy as set forth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except as required by GAAP;</w:t>
      </w:r>
    </w:p>
    <w:p>
      <w:pPr>
        <w:spacing w:after="0" w:line="176" w:lineRule="exact"/>
        <w:rPr>
          <w:rFonts w:ascii="Times New Roman" w:cs="Times New Roman" w:eastAsia="Times New Roman" w:hAnsi="Times New Roman"/>
          <w:sz w:val="16"/>
          <w:szCs w:val="16"/>
          <w:color w:val="auto"/>
        </w:rPr>
      </w:pPr>
    </w:p>
    <w:p>
      <w:pPr>
        <w:ind w:left="480" w:firstLine="962"/>
        <w:spacing w:after="0" w:line="280" w:lineRule="auto"/>
        <w:tabs>
          <w:tab w:leader="none" w:pos="191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or amending any Plan, or waiving any provision thereunder, other than in accordance with any waiver provision under the Plan previously approved by Major Investor Approval;</w:t>
      </w:r>
    </w:p>
    <w:p>
      <w:pPr>
        <w:spacing w:after="0" w:line="111"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1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amending or waiving any provision under any contract or transaction between the Company or any of its Subsidiaries, on the one hand, and any of the Company’s or any of its Subsidiaries’ Members, executive officers, managers, directors or Affiliates, or any Related Party of the foregoing, on the other hand, including, for the avoidance of doubt, the Ancillary Agreements;</w:t>
      </w:r>
    </w:p>
    <w:p>
      <w:pPr>
        <w:spacing w:after="0" w:line="134"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1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instituting or filing any Proceeding in excess of $1,000,000, or (B) settling any Proceeding (1) in excess of $1,000,000, (2) that would impose any equitable relief of behavioral modification on the Company or its Subsidiaries, or (3) on terms that would impose any liability on any Member or involving any admission of wrongdoing;</w:t>
      </w:r>
    </w:p>
    <w:p>
      <w:pPr>
        <w:spacing w:after="0" w:line="123" w:lineRule="exact"/>
        <w:rPr>
          <w:rFonts w:ascii="Times New Roman" w:cs="Times New Roman" w:eastAsia="Times New Roman" w:hAnsi="Times New Roman"/>
          <w:sz w:val="16"/>
          <w:szCs w:val="16"/>
          <w:color w:val="auto"/>
        </w:rPr>
      </w:pPr>
    </w:p>
    <w:p>
      <w:pPr>
        <w:ind w:left="480" w:firstLine="962"/>
        <w:spacing w:after="0" w:line="280" w:lineRule="auto"/>
        <w:tabs>
          <w:tab w:leader="none" w:pos="192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any filing with a Governmental Authority, the approval, denial or acceptance of which could reasonably be expected to have a material effect on the business, operations or prospects of the Company;</w:t>
      </w:r>
    </w:p>
    <w:p>
      <w:pPr>
        <w:spacing w:after="0" w:line="111" w:lineRule="exact"/>
        <w:rPr>
          <w:rFonts w:ascii="Times New Roman" w:cs="Times New Roman" w:eastAsia="Times New Roman" w:hAnsi="Times New Roman"/>
          <w:sz w:val="16"/>
          <w:szCs w:val="16"/>
          <w:color w:val="auto"/>
        </w:rPr>
      </w:pPr>
    </w:p>
    <w:p>
      <w:pPr>
        <w:ind w:left="480" w:firstLine="962"/>
        <w:spacing w:after="0" w:line="293" w:lineRule="auto"/>
        <w:tabs>
          <w:tab w:leader="none" w:pos="191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any action that would result in a filing by the Company or any Member with the Committee on Foreign Investment in the United States (“</w:t>
      </w:r>
      <w:r>
        <w:rPr>
          <w:rFonts w:ascii="Times New Roman" w:cs="Times New Roman" w:eastAsia="Times New Roman" w:hAnsi="Times New Roman"/>
          <w:sz w:val="16"/>
          <w:szCs w:val="16"/>
          <w:u w:val="single" w:color="auto"/>
          <w:color w:val="auto"/>
        </w:rPr>
        <w:t>CFIUS</w:t>
      </w:r>
      <w:r>
        <w:rPr>
          <w:rFonts w:ascii="Times New Roman" w:cs="Times New Roman" w:eastAsia="Times New Roman" w:hAnsi="Times New Roman"/>
          <w:sz w:val="16"/>
          <w:szCs w:val="16"/>
          <w:color w:val="auto"/>
        </w:rPr>
        <w:t>”), or any member agency thereof acting in its capacity as a CFIUS member agency or require an amendment or modification to an existing CFIUS process;</w:t>
      </w:r>
    </w:p>
    <w:p>
      <w:pPr>
        <w:spacing w:after="0" w:line="101"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or removing any auditor of the Company;</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approving the Annual Budget and Operating Plan in accordance with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admitting any new Members to the Company (for the avoidance of doubt, not including any new Members admitted pursuant to an Exempt</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or</w:t>
      </w:r>
    </w:p>
    <w:p>
      <w:pPr>
        <w:spacing w:after="0" w:line="158"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agreeing or committing to any of the foregoing.</w:t>
      </w:r>
    </w:p>
    <w:p>
      <w:pPr>
        <w:spacing w:after="0" w:line="167" w:lineRule="exact"/>
        <w:rPr>
          <w:sz w:val="20"/>
          <w:szCs w:val="20"/>
          <w:color w:val="auto"/>
        </w:rPr>
      </w:pPr>
    </w:p>
    <w:p>
      <w:pPr>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VI.4 </w:t>
      </w:r>
      <w:r>
        <w:rPr>
          <w:rFonts w:ascii="Times New Roman" w:cs="Times New Roman" w:eastAsia="Times New Roman" w:hAnsi="Times New Roman"/>
          <w:sz w:val="16"/>
          <w:szCs w:val="16"/>
          <w:u w:val="single" w:color="auto"/>
          <w:color w:val="auto"/>
        </w:rPr>
        <w:t>No Right of Partition</w:t>
      </w:r>
      <w:r>
        <w:rPr>
          <w:rFonts w:ascii="Times New Roman" w:cs="Times New Roman" w:eastAsia="Times New Roman" w:hAnsi="Times New Roman"/>
          <w:sz w:val="16"/>
          <w:szCs w:val="16"/>
          <w:color w:val="auto"/>
        </w:rPr>
        <w:t>. No Member will have the right to seek or obtain partition by court decree or operation of law of any Company property, or the right to own or use particular or individual assets of the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73" w:name="page174"/>
    <w:bookmarkEnd w:id="173"/>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VI.5</w:t>
      </w:r>
      <w:r>
        <w:rPr>
          <w:sz w:val="20"/>
          <w:szCs w:val="20"/>
          <w:color w:val="auto"/>
        </w:rPr>
        <w:tab/>
      </w:r>
      <w:r>
        <w:rPr>
          <w:rFonts w:ascii="Times New Roman" w:cs="Times New Roman" w:eastAsia="Times New Roman" w:hAnsi="Times New Roman"/>
          <w:sz w:val="16"/>
          <w:szCs w:val="16"/>
          <w:u w:val="single" w:color="auto"/>
          <w:color w:val="auto"/>
        </w:rPr>
        <w:t>Investment Opportunities and Conflicts of Interest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4" w:lineRule="auto"/>
        <w:tabs>
          <w:tab w:leader="none" w:pos="14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 expressly acknowledge and agree that (i) each of the Initial Members and their respective directors, managers, officers, equityholders, members, partners, employees, agents, representatives and Affiliates (including any designee of any Initial Member serving on the Board or on the board of directors, board of managers or similar governing body of any Subsidiary or as an officer of the Company or any of its Subsidiaries) (the “</w:t>
      </w:r>
      <w:r>
        <w:rPr>
          <w:rFonts w:ascii="Times New Roman" w:cs="Times New Roman" w:eastAsia="Times New Roman" w:hAnsi="Times New Roman"/>
          <w:sz w:val="16"/>
          <w:szCs w:val="16"/>
          <w:u w:val="single" w:color="auto"/>
          <w:color w:val="auto"/>
        </w:rPr>
        <w:t>Specified Persons</w:t>
      </w:r>
      <w:r>
        <w:rPr>
          <w:rFonts w:ascii="Times New Roman" w:cs="Times New Roman" w:eastAsia="Times New Roman" w:hAnsi="Times New Roman"/>
          <w:sz w:val="16"/>
          <w:szCs w:val="16"/>
          <w:color w:val="auto"/>
        </w:rPr>
        <w:t>”) are permitted to (A) have and develop, and may presently or in the future have and develop, investments, transactions, business ventures, contractual, strategic or other business relationships, prospective economic advantages or other opportunities, including in businesses that are or may be competitive or complementary with the Company or any of its Subsidiaries (each, a “</w:t>
      </w:r>
      <w:r>
        <w:rPr>
          <w:rFonts w:ascii="Times New Roman" w:cs="Times New Roman" w:eastAsia="Times New Roman" w:hAnsi="Times New Roman"/>
          <w:sz w:val="16"/>
          <w:szCs w:val="16"/>
          <w:u w:val="single" w:color="auto"/>
          <w:color w:val="auto"/>
        </w:rPr>
        <w:t>Business Opportunity</w:t>
      </w:r>
      <w:r>
        <w:rPr>
          <w:rFonts w:ascii="Times New Roman" w:cs="Times New Roman" w:eastAsia="Times New Roman" w:hAnsi="Times New Roman"/>
          <w:sz w:val="16"/>
          <w:szCs w:val="16"/>
          <w:color w:val="auto"/>
        </w:rPr>
        <w:t xml:space="preserve">”), for their own account or for the account of any Person other than the Company or its Subsidiaries or any other Member, or (B) direct any Business Opportunities to any other Person, in each case,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Business Opportunities were not presented to a Specified Person in his, her, their or its capacity as a Manager, director or manager on the board of directors, board of managers or similar governing body of any Subsidiary or officer of the Company or any of its Subsidiaries,</w:t>
      </w:r>
    </w:p>
    <w:p>
      <w:pPr>
        <w:spacing w:after="0" w:line="2" w:lineRule="exact"/>
        <w:rPr>
          <w:rFonts w:ascii="Times New Roman" w:cs="Times New Roman" w:eastAsia="Times New Roman" w:hAnsi="Times New Roman"/>
          <w:sz w:val="16"/>
          <w:szCs w:val="16"/>
          <w:color w:val="auto"/>
        </w:rPr>
      </w:pPr>
    </w:p>
    <w:p>
      <w:pPr>
        <w:jc w:val="both"/>
        <w:spacing w:after="0" w:line="250" w:lineRule="auto"/>
        <w:tabs>
          <w:tab w:leader="none" w:pos="2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Specified Persons will be prohibited by virtue of any direct or indirect investment in the Company or any of its Subsidiaries or such Specified Person’s service as a Manager or service on the board of directors, board of managers or similar governing body of any of the Company’s Subsidiaries or as an officer of the Company or any of its Subsidiaries or otherwise from pursuing and engaging in any such Business Opportunity, (iii) none of the Specified Persons will be obligated to inform or present the Company or any of its Subsidiaries or the Board or the board of directors, board of managers or similar governing body of any Subsidiary or any other Member of or with any such Business Opportunity, (iv) none of the Company, its Subsidiaries, or the other Members will have or acquire or be entitled to any interest or expectancy or participation (such right to any interest, expectancy or participation, if any, being expressly renounced and waived) in any Business Opportunity as a result of the involvement therein of any of the Specified Persons, and (v) the involvement of any of the Specified Persons in any Business Opportunity will not constitute a conflict of interest or breach of any fiduciary or other duty by such Persons with respect to the Company or any of its Subsidiaries or the other Members. The Company, on behalf of itself and each of its current or future Subsidiaries, hereby renounces any interest, right, or expectancy in any such opportunity not offered to it by a Specified Person to the fullest extent permitted by Law, and the Company, on behalf of itself and each of its current or future Subsidiaries, and, except as expressly provided for hereunder, each Member hereby waives any claim against any Specified Person, or any of their respective direct or indirect beneficial owners based on the corporate opportunity doctrine or otherwise that would require any Specified Person, or any of their respective direct or indirect beneficial owners to offer any Business Opportunity to the Company or the Board. For the avoidance of doubt, notwithstanding anything to the contrary in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each Member is subject to the provisions set forth in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and will not have the rights hereunder with respect to any Business Opportunity obtained or developed in violation of such Member’s obligations under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Agreement, to the extent that a Conflict of Interest exists or arises in connection with a matter or action</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74" w:name="page175"/>
    <w:bookmarkEnd w:id="174"/>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consent of (a) Member(s), including pursuant to 10% Member Consent or Major Investor Approval, then the Independent Manager(s) shall unilaterally consider and determine the resolution of such matter or action and the requisite action to be taken by the Company or any of its Subsidiaries. The determination of the Independent Manager(s) of such matter or action shall be binding on the Company and its Subsidiaries, and no Member or other Manager consent or vote shall be required for passage of, or counted in favor or against the approval of, such matter or action, including for purposes of the unanimous prior approval or unanimous written consent standard set forth in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or in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VI.6</w:t>
      </w:r>
      <w:r>
        <w:rPr>
          <w:sz w:val="20"/>
          <w:szCs w:val="20"/>
          <w:color w:val="auto"/>
        </w:rPr>
        <w:tab/>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3" w:lineRule="auto"/>
        <w:tabs>
          <w:tab w:leader="none" w:pos="14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Member recognizes and acknowledges that it has and may in the future develop or receive certain confidential and proprietary information and trade secrets of the Company or any of its Subsidiaries (including their predecessors, if any) (collectively, the “</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xml:space="preserve">”). Except as otherwise consented to by the Board in writing, each Member (on behalf of such Member and such Member’s Representatives to the extent that such Member would be responsible under principles of agency law for the acts of such Persons) agrees that such Member will keep confidential and not disclose to any other Person or use for such Member’s own benefit or the benefit of any other Person any Confidential Information, except that such Member may disclose such information to its Affiliates and its and its Affiliates’ Representatives (excluding any Portfolio Companies) and as otherwise may be proper in the course of performing such Member’s obligations, or exercising or enforcing such Member’s rights, under this Agreement and the agreements expressly contemplated by this Agreement, or in connection with the evaluating or monitoring of such Member’s interest in the Company. For purposes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the term “Confidential Information” will not include any information that (i) is or becomes generally available to the public without breach of the commitment provided for in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or other act of any such Member or any of its Affiliates in violation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(ii) is lawfully known by or in the possession of such Member prior to its receipt of such information and is not, to such Member’s knowledge, subject to obligations of confidentiality to the Company or its Subsidiaries, (iii) is subsequently disclosed to such Member on a non-confidential basis by a third party not, to such Member’s knowledge, having a confidential relationship with the Company or its Subsidiaries or (iv) is independently developed by such Member without the use of any of the Confidential Information.</w:t>
      </w:r>
    </w:p>
    <w:p>
      <w:pPr>
        <w:spacing w:after="0" w:line="136" w:lineRule="exact"/>
        <w:rPr>
          <w:rFonts w:ascii="Times New Roman" w:cs="Times New Roman" w:eastAsia="Times New Roman" w:hAnsi="Times New Roman"/>
          <w:sz w:val="16"/>
          <w:szCs w:val="16"/>
          <w:color w:val="auto"/>
        </w:rPr>
      </w:pPr>
    </w:p>
    <w:p>
      <w:pPr>
        <w:jc w:val="both"/>
        <w:ind w:firstLine="962"/>
        <w:spacing w:after="0" w:line="257" w:lineRule="auto"/>
        <w:tabs>
          <w:tab w:leader="none" w:pos="143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herein shall prevent any Member from disclosing any of the Confidential Information as necessary pursuant to the lawful requirement of any Governmental Authority, including any securities Laws or stock exchange listing requirements, or by any order;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promptly following receipt of any order compelling such disclosure, or a reasonable determination that disclosure is required under this </w:t>
      </w:r>
      <w:r>
        <w:rPr>
          <w:rFonts w:ascii="Times New Roman" w:cs="Times New Roman" w:eastAsia="Times New Roman" w:hAnsi="Times New Roman"/>
          <w:sz w:val="16"/>
          <w:szCs w:val="16"/>
          <w:u w:val="single" w:color="auto"/>
          <w:color w:val="auto"/>
        </w:rPr>
        <w:t>Section 6.6(b)</w:t>
      </w:r>
      <w:r>
        <w:rPr>
          <w:rFonts w:ascii="Times New Roman" w:cs="Times New Roman" w:eastAsia="Times New Roman" w:hAnsi="Times New Roman"/>
          <w:sz w:val="16"/>
          <w:szCs w:val="16"/>
          <w:color w:val="auto"/>
        </w:rPr>
        <w:t>, such Member has notified, to the extent not prohibited by Law, the Company in writing of such requirement to disclose and has cooperated with the Company’s, at the Company’s sole cost and expense, reasonable, lawful efforts to resist, limit or delay disclosure, including by requesting confidential treatment with respect to any public filing. Nothing herein shall prevent any Member from disclosing any of the Confidential Information if, and to the extent, such disclosure was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75" w:name="page176"/>
    <w:bookmarkEnd w:id="175"/>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specifically approved by the Company, in writing, prior to such disclosure by such Member. Disclosure of any of the Confidential Information under the circumstances described in this </w:t>
      </w:r>
      <w:r>
        <w:rPr>
          <w:rFonts w:ascii="Times New Roman" w:cs="Times New Roman" w:eastAsia="Times New Roman" w:hAnsi="Times New Roman"/>
          <w:sz w:val="16"/>
          <w:szCs w:val="16"/>
          <w:u w:val="single" w:color="auto"/>
          <w:color w:val="auto"/>
        </w:rPr>
        <w:t>Section 6.6(b)</w:t>
      </w:r>
      <w:r>
        <w:rPr>
          <w:rFonts w:ascii="Times New Roman" w:cs="Times New Roman" w:eastAsia="Times New Roman" w:hAnsi="Times New Roman"/>
          <w:sz w:val="16"/>
          <w:szCs w:val="16"/>
          <w:color w:val="auto"/>
        </w:rPr>
        <w:t xml:space="preserve"> shall not be deemed to render the Confidential Information as non-confidential, and such Member’s obligations with respect to the Confidential Information shall not be changed or lessened by virtue of any such disclosure.</w:t>
      </w:r>
    </w:p>
    <w:p>
      <w:pPr>
        <w:spacing w:after="0" w:line="134" w:lineRule="exact"/>
        <w:rPr>
          <w:sz w:val="20"/>
          <w:szCs w:val="20"/>
          <w:color w:val="auto"/>
        </w:rPr>
      </w:pPr>
    </w:p>
    <w:p>
      <w:pPr>
        <w:jc w:val="both"/>
        <w:ind w:firstLine="962"/>
        <w:spacing w:after="0" w:line="253" w:lineRule="auto"/>
        <w:tabs>
          <w:tab w:leader="none" w:pos="14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herein, other than with respect to any Symbotic Competitor or Portfolio Company that, as of the time of disclosure, competes with the core businesses of the Symbotic Member or its Affiliates,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shall not limit SB Member’s ability to disclose Confidential Information to (i) its Affiliates and its and its Affiliates’ Representatives,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SB Member (A) informs such Persons that such Confidential Information is subject to the confidential provisions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and (B) directs such Persons to hold, in strict confidence and trust, any and all such Confidential Information in accordance with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or (ii) any of its actual or potential Granting Member’s Financial Institutions to the extent such Granting Member’s Financial Institution (A) needs to know such information and (B) is bound to a duty of confidentiality to the SB Member or its Affiliates by a confidentiality agreement no less restrictive than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SB Member will promptly notify the Company with respect to any such disclosure to a Granting Member’s Financial Institution. For the avoidance of doubt, subject to the last sentence of </w:t>
      </w:r>
      <w:r>
        <w:rPr>
          <w:rFonts w:ascii="Times New Roman" w:cs="Times New Roman" w:eastAsia="Times New Roman" w:hAnsi="Times New Roman"/>
          <w:sz w:val="16"/>
          <w:szCs w:val="16"/>
          <w:u w:val="single" w:color="auto"/>
          <w:color w:val="auto"/>
        </w:rPr>
        <w:t>Section 6.6(d)</w:t>
      </w:r>
      <w:r>
        <w:rPr>
          <w:rFonts w:ascii="Times New Roman" w:cs="Times New Roman" w:eastAsia="Times New Roman" w:hAnsi="Times New Roman"/>
          <w:sz w:val="16"/>
          <w:szCs w:val="16"/>
          <w:color w:val="auto"/>
        </w:rPr>
        <w:t xml:space="preserve"> and the first sentence of </w:t>
      </w:r>
      <w:r>
        <w:rPr>
          <w:rFonts w:ascii="Times New Roman" w:cs="Times New Roman" w:eastAsia="Times New Roman" w:hAnsi="Times New Roman"/>
          <w:sz w:val="16"/>
          <w:szCs w:val="16"/>
          <w:u w:val="single" w:color="auto"/>
          <w:color w:val="auto"/>
        </w:rPr>
        <w:t>Section 6.6(e)</w:t>
      </w:r>
      <w:r>
        <w:rPr>
          <w:rFonts w:ascii="Times New Roman" w:cs="Times New Roman" w:eastAsia="Times New Roman" w:hAnsi="Times New Roman"/>
          <w:sz w:val="16"/>
          <w:szCs w:val="16"/>
          <w:color w:val="auto"/>
        </w:rPr>
        <w:t>, in no event shall SB Member disclose any Confidential Information to any Symbotic Competitor or any Portfolio Company of SB Member that, as of the time of disclosure, competes with the core businesses of the Symbotic Member or its Affiliates.</w:t>
      </w:r>
    </w:p>
    <w:p>
      <w:pPr>
        <w:spacing w:after="0" w:line="137" w:lineRule="exact"/>
        <w:rPr>
          <w:rFonts w:ascii="Times New Roman" w:cs="Times New Roman" w:eastAsia="Times New Roman" w:hAnsi="Times New Roman"/>
          <w:sz w:val="16"/>
          <w:szCs w:val="16"/>
          <w:color w:val="auto"/>
        </w:rPr>
      </w:pPr>
    </w:p>
    <w:p>
      <w:pPr>
        <w:jc w:val="both"/>
        <w:ind w:firstLine="962"/>
        <w:spacing w:after="0" w:line="254" w:lineRule="auto"/>
        <w:tabs>
          <w:tab w:leader="none" w:pos="143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herein, the Parties acknowledge that the SB Member and its Affiliates are in the investment business and that the SB Member and its Affiliates may now or in the future evaluate, invest in (directly or indirectly, including providing financing to) or do business with competitors or potential competitors of the Symbotic Member or its Affiliates (including, for the avoidance of doubt, any Symbotic Competitor), and that neither the execution of this Agreement nor receipt of the Confidential Information is intended to or shall restrict or preclude such activities;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SB Member agrees that nothing in this sentence shall be construed as relieving the SB Member from its obligations under this Agreement and the SB Member and its Affiliates shall not, directly or indirectly, cause, solicit or otherwise encourage any such competitors or potential competitors to take any action that the SB Member and its Affiliates could not take pursuant to this Agreement. Further, for purposes of clarification, a Portfolio Company shall not be deemed to have been provided with access to Confidential Information solely as a result of the SB Member’s or its Affiliates’ personnel, or the personnel of its or their respective affiliated funds or related management and advisor entities, providing services to such Portfolio Company (such personnel, a “</w:t>
      </w:r>
      <w:r>
        <w:rPr>
          <w:rFonts w:ascii="Times New Roman" w:cs="Times New Roman" w:eastAsia="Times New Roman" w:hAnsi="Times New Roman"/>
          <w:sz w:val="16"/>
          <w:szCs w:val="16"/>
          <w:u w:val="single" w:color="auto"/>
          <w:color w:val="auto"/>
        </w:rPr>
        <w:t>Dual Hat Person</w:t>
      </w:r>
      <w:r>
        <w:rPr>
          <w:rFonts w:ascii="Times New Roman" w:cs="Times New Roman" w:eastAsia="Times New Roman" w:hAnsi="Times New Roman"/>
          <w:sz w:val="16"/>
          <w:szCs w:val="16"/>
          <w:color w:val="auto"/>
        </w:rPr>
        <w:t>”) so long as such personnel does not provide any Confidential Information to the other directors, officers or employees of such Portfolio Companies (other than another Dual Hat Person) and such Dual Hat Person does not use any Confidential Information in any way in their capacity as the personnel of such Portfolio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76" w:name="page177"/>
    <w:bookmarkEnd w:id="176"/>
    <w:p>
      <w:pPr>
        <w:jc w:val="both"/>
        <w:ind w:firstLine="962"/>
        <w:spacing w:after="0" w:line="259" w:lineRule="auto"/>
        <w:tabs>
          <w:tab w:leader="none" w:pos="14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contrary in this Agreement, each Member shall have the right to use and disclose general ideas, concepts, know-how and techniques contained in or derived from the Confidential Information that are acquired and retained solely in, and such Member first reduces to tangible form solely from, the unaided memories of such Member’s managers, directors, officers, representatives, agents and employees who have had access to the Confidential Information under this Agreement (“</w:t>
      </w:r>
      <w:r>
        <w:rPr>
          <w:rFonts w:ascii="Times New Roman" w:cs="Times New Roman" w:eastAsia="Times New Roman" w:hAnsi="Times New Roman"/>
          <w:sz w:val="16"/>
          <w:szCs w:val="16"/>
          <w:u w:val="single" w:color="auto"/>
          <w:color w:val="auto"/>
        </w:rPr>
        <w:t>Residual Information</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6.6(e)</w:t>
      </w:r>
      <w:r>
        <w:rPr>
          <w:rFonts w:ascii="Times New Roman" w:cs="Times New Roman" w:eastAsia="Times New Roman" w:hAnsi="Times New Roman"/>
          <w:sz w:val="16"/>
          <w:szCs w:val="16"/>
          <w:color w:val="auto"/>
        </w:rPr>
        <w:t xml:space="preserve"> grants to any Member any right or license to or under the Company’s trade secrets or valid rights in other intellectual property, including in any patents, copyrights, or trademarks, or permits any Member, or its managers, directors, officers, representatives, agents and employees to:</w:t>
      </w:r>
    </w:p>
    <w:p>
      <w:pPr>
        <w:spacing w:after="0" w:line="129"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publish, disseminate, or use any of the Company's confidential and proprietary financial, statistical, customer, or personnel data or</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plans;</w:t>
      </w:r>
    </w:p>
    <w:p>
      <w:pPr>
        <w:spacing w:after="0" w:line="148"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memorize the Confidential Information for the purpose of retaining and subsequently using it; or</w:t>
      </w:r>
    </w:p>
    <w:p>
      <w:pPr>
        <w:spacing w:after="0" w:line="17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any of the Confidential Information or any Residual Information for any purpose or in any manner that is detrimental or injurious to the</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48" w:lineRule="exact"/>
        <w:rPr>
          <w:rFonts w:ascii="Times New Roman" w:cs="Times New Roman" w:eastAsia="Times New Roman" w:hAnsi="Times New Roman"/>
          <w:sz w:val="16"/>
          <w:szCs w:val="16"/>
          <w:color w:val="auto"/>
        </w:rPr>
      </w:pPr>
    </w:p>
    <w:p>
      <w:pPr>
        <w:jc w:val="both"/>
        <w:ind w:firstLine="962"/>
        <w:spacing w:after="0" w:line="264" w:lineRule="auto"/>
        <w:tabs>
          <w:tab w:leader="none" w:pos="144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means, with respect to any Person, any director, principal, partner, manager, member (if such Person is a member-managed limited liability company or similar entity), employee (including any officer), consultant, investment banker, financial advisor, legal counsel, attorney-in-fact, accountant or other advisor, agent or other representative of such Person, in each case acting in their capacity as such.</w:t>
      </w:r>
    </w:p>
    <w:p>
      <w:pPr>
        <w:spacing w:after="0" w:line="124" w:lineRule="exact"/>
        <w:rPr>
          <w:sz w:val="20"/>
          <w:szCs w:val="20"/>
          <w:color w:val="auto"/>
        </w:rPr>
      </w:pPr>
    </w:p>
    <w:p>
      <w:pPr>
        <w:jc w:val="both"/>
        <w:ind w:firstLine="481"/>
        <w:spacing w:after="0" w:line="293" w:lineRule="auto"/>
        <w:rPr>
          <w:sz w:val="20"/>
          <w:szCs w:val="20"/>
          <w:color w:val="auto"/>
        </w:rPr>
      </w:pPr>
      <w:r>
        <w:rPr>
          <w:rFonts w:ascii="Times New Roman" w:cs="Times New Roman" w:eastAsia="Times New Roman" w:hAnsi="Times New Roman"/>
          <w:sz w:val="16"/>
          <w:szCs w:val="16"/>
          <w:color w:val="auto"/>
        </w:rPr>
        <w:t xml:space="preserve">VI.7 </w:t>
      </w:r>
      <w:r>
        <w:rPr>
          <w:rFonts w:ascii="Times New Roman" w:cs="Times New Roman" w:eastAsia="Times New Roman" w:hAnsi="Times New Roman"/>
          <w:sz w:val="16"/>
          <w:szCs w:val="16"/>
          <w:u w:val="single" w:color="auto"/>
          <w:color w:val="auto"/>
        </w:rPr>
        <w:t>Legal Requirements</w:t>
      </w:r>
      <w:r>
        <w:rPr>
          <w:rFonts w:ascii="Times New Roman" w:cs="Times New Roman" w:eastAsia="Times New Roman" w:hAnsi="Times New Roman"/>
          <w:sz w:val="16"/>
          <w:szCs w:val="16"/>
          <w:color w:val="auto"/>
        </w:rPr>
        <w:t>. Each Member agrees that it shall provide to the Company any information regarding itself, its Affiliates and its Beneficial Owners (as defined in the CTA) that is reasonably requested by the Company to enable the Company to comply with applicable Law, including the CTA.</w:t>
      </w:r>
    </w:p>
    <w:p>
      <w:pPr>
        <w:spacing w:after="0" w:line="1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VII</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BOOKS, RECORDS, ACCOUNTING AND REPORTS</w:t>
      </w:r>
    </w:p>
    <w:p>
      <w:pPr>
        <w:spacing w:after="0" w:line="149"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VII.1 </w:t>
      </w:r>
      <w:r>
        <w:rPr>
          <w:rFonts w:ascii="Times New Roman" w:cs="Times New Roman" w:eastAsia="Times New Roman" w:hAnsi="Times New Roman"/>
          <w:sz w:val="16"/>
          <w:szCs w:val="16"/>
          <w:u w:val="single" w:color="auto"/>
          <w:color w:val="auto"/>
        </w:rPr>
        <w:t>Records and Accounting</w:t>
      </w:r>
      <w:r>
        <w:rPr>
          <w:rFonts w:ascii="Times New Roman" w:cs="Times New Roman" w:eastAsia="Times New Roman" w:hAnsi="Times New Roman"/>
          <w:sz w:val="16"/>
          <w:szCs w:val="16"/>
          <w:color w:val="auto"/>
        </w:rPr>
        <w:t xml:space="preserve">. The Company will keep, or cause to be kept, appropriate books and records with respect to the business of the Company and its Subsidiaries, including all books and records necessary to provide any information, lists and copies of documents required to be provided pursuant to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 pursuant to applicable Law. All matters concerning (a) the determination of the relative amount of allocations and Distributions among the Members pursuant to </w:t>
      </w:r>
      <w:r>
        <w:rPr>
          <w:rFonts w:ascii="Times New Roman" w:cs="Times New Roman" w:eastAsia="Times New Roman" w:hAnsi="Times New Roman"/>
          <w:sz w:val="16"/>
          <w:szCs w:val="16"/>
          <w:u w:val="single" w:color="auto"/>
          <w:color w:val="auto"/>
        </w:rPr>
        <w:t>Articles 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not specifically and expressly provided by the terms of this Agreement, and (b) accounting procedures and determinations, and other determinations not specifically and expressly provided for by the terms of this Agreement, will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77" w:name="page178"/>
    <w:bookmarkEnd w:id="177"/>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be determined by the Board, whose determination will be final and conclusive as to all Members, absent manifest error. At reasonable times and on reasonable notice, during normal business hours and without undue interference to its normal course operations, the Company shall permit designated representatives of the Major Investors (including, for these purposes, any independent third party engaged by any such Member to perform a valuation of the Company or its Subsidiaries pursuant to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 to</w:t>
      </w:r>
    </w:p>
    <w:p>
      <w:pPr>
        <w:spacing w:after="0" w:line="1" w:lineRule="exact"/>
        <w:rPr>
          <w:sz w:val="20"/>
          <w:szCs w:val="20"/>
          <w:color w:val="auto"/>
        </w:rPr>
      </w:pPr>
    </w:p>
    <w:p>
      <w:pPr>
        <w:jc w:val="both"/>
        <w:spacing w:after="0" w:line="255" w:lineRule="auto"/>
        <w:tabs>
          <w:tab w:leader="none" w:pos="192"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examine the corporate and financial books and records of each of the Company and its Subsidiaries and (ii) discuss the affairs, finances and accounts of the Company and its Subsidiaries with the Company’s Officers;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any information to be provided to any Major Investor may contain commercially sensitive non-public information, the Company may provide such commercially sensitive non-public information in accordance with customary “clean room” or other similar procedures designed to limit the disclosure of competitively sensitive information.</w:t>
      </w:r>
    </w:p>
    <w:p>
      <w:pPr>
        <w:spacing w:after="0" w:line="131"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VII.2</w:t>
      </w:r>
      <w:r>
        <w:rPr>
          <w:sz w:val="20"/>
          <w:szCs w:val="20"/>
          <w:color w:val="auto"/>
        </w:rPr>
        <w:tab/>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firstLine="962"/>
        <w:spacing w:after="0" w:line="280" w:lineRule="auto"/>
        <w:tabs>
          <w:tab w:leader="none" w:pos="14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Report</w:t>
      </w:r>
      <w:r>
        <w:rPr>
          <w:rFonts w:ascii="Times New Roman" w:cs="Times New Roman" w:eastAsia="Times New Roman" w:hAnsi="Times New Roman"/>
          <w:sz w:val="16"/>
          <w:szCs w:val="16"/>
          <w:color w:val="auto"/>
        </w:rPr>
        <w:t>. The Company will use commercially reasonable efforts to deliver or cause to be delivered to each Member as soon as practicable after the end of each Fiscal Year, an annual report containing a statement of changes in such Member’s equity and such Member’s Capital Account balance for such Fiscal Year.</w:t>
      </w:r>
    </w:p>
    <w:p>
      <w:pPr>
        <w:spacing w:after="0" w:line="111"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The Company will use commercially reasonable efforts to deliver or cause to be delivered to the SB Member and the Symbotic</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w:t>
      </w:r>
    </w:p>
    <w:p>
      <w:pPr>
        <w:spacing w:after="0" w:line="148" w:lineRule="exact"/>
        <w:rPr>
          <w:rFonts w:ascii="Times New Roman" w:cs="Times New Roman" w:eastAsia="Times New Roman" w:hAnsi="Times New Roman"/>
          <w:sz w:val="16"/>
          <w:szCs w:val="16"/>
          <w:color w:val="auto"/>
        </w:rPr>
      </w:pPr>
    </w:p>
    <w:p>
      <w:pPr>
        <w:jc w:val="both"/>
        <w:ind w:left="480" w:firstLine="962"/>
        <w:spacing w:after="0" w:line="270" w:lineRule="auto"/>
        <w:tabs>
          <w:tab w:leader="none" w:pos="1913"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the end of each Fiscal Year, and in any event within 35 days thereafter, an unaudited consolidated balance sheet, statement of income, statement of cash flows and statement of changes in Members’ equity of the Company and its consolidated Subsidiaries for and as at the end of such Fiscal Year, prepared in accordance with GAAP (except as noted therein);</w:t>
      </w:r>
    </w:p>
    <w:p>
      <w:pPr>
        <w:spacing w:after="0" w:line="120"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1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the end of each Fiscal Year, and in any event, within 90 days thereafter, a consolidated balance sheet, statement of income, statement of cash flows and statement of changes in Members’ equity of the Company and its consolidated Subsidiaries for and as at the end of such Fiscal Year, prepared in accordance with GAAP, consistently applied and audited by an independent accounting firm of recognized national standing;</w:t>
      </w:r>
    </w:p>
    <w:p>
      <w:pPr>
        <w:spacing w:after="0" w:line="123" w:lineRule="exact"/>
        <w:rPr>
          <w:rFonts w:ascii="Times New Roman" w:cs="Times New Roman" w:eastAsia="Times New Roman" w:hAnsi="Times New Roman"/>
          <w:sz w:val="16"/>
          <w:szCs w:val="16"/>
          <w:color w:val="auto"/>
        </w:rPr>
      </w:pPr>
    </w:p>
    <w:p>
      <w:pPr>
        <w:jc w:val="both"/>
        <w:ind w:left="480" w:firstLine="962"/>
        <w:spacing w:after="0" w:line="263" w:lineRule="auto"/>
        <w:tabs>
          <w:tab w:leader="none" w:pos="192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the end of each Fiscal Quarter, and in any event within 25 days thereafter, an unaudited consolidated balance sheet, statement of income, statement of cash flows and statement of changes in Members’ equity of the Company and its Subsidiaries for and as at the end of such Fiscal Quarter, prepared in accordance with GAAP (except for the absence of typical year-end adjustments, and except as noted therein or as disclosed to the recipients thereof);</w:t>
      </w:r>
    </w:p>
    <w:p>
      <w:pPr>
        <w:spacing w:after="0" w:line="124"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the end of each calendar month, and in any event within ten days thereafter, monthly management financials,</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78" w:name="page179"/>
    <w:bookmarkEnd w:id="178"/>
    <w:p>
      <w:pPr>
        <w:ind w:left="480"/>
        <w:spacing w:after="0" w:line="280" w:lineRule="auto"/>
        <w:rPr>
          <w:sz w:val="20"/>
          <w:szCs w:val="20"/>
          <w:color w:val="auto"/>
        </w:rPr>
      </w:pPr>
      <w:r>
        <w:rPr>
          <w:rFonts w:ascii="Times New Roman" w:cs="Times New Roman" w:eastAsia="Times New Roman" w:hAnsi="Times New Roman"/>
          <w:sz w:val="16"/>
          <w:szCs w:val="16"/>
          <w:color w:val="auto"/>
        </w:rPr>
        <w:t>unaudited statements of income, cash flows and changes in Members’ equity for each calendar month and an unaudited balance sheet as of the end of such calendar month and other key performance metrics, including both financial and operational metrics, prepared by management with respect to the Company; and</w:t>
      </w:r>
    </w:p>
    <w:p>
      <w:pPr>
        <w:spacing w:after="0" w:line="112" w:lineRule="exact"/>
        <w:rPr>
          <w:sz w:val="20"/>
          <w:szCs w:val="20"/>
          <w:color w:val="auto"/>
        </w:rPr>
      </w:pPr>
    </w:p>
    <w:p>
      <w:pPr>
        <w:jc w:val="both"/>
        <w:ind w:left="480" w:firstLine="962"/>
        <w:spacing w:after="0" w:line="270" w:lineRule="auto"/>
        <w:tabs>
          <w:tab w:leader="none" w:pos="191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but in any event 30 days before the end of each fiscal year, a budget for the next fiscal year, prepared on a monthly basis, including balance sheets, income statements, and statements of cash flow for such months and, promptly after prepared, any other budgets or revised budgets prepared by the Company or any of its Subsidiaries.</w:t>
      </w:r>
    </w:p>
    <w:p>
      <w:pPr>
        <w:spacing w:after="0" w:line="120"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VII.3 </w:t>
      </w:r>
      <w:r>
        <w:rPr>
          <w:rFonts w:ascii="Times New Roman" w:cs="Times New Roman" w:eastAsia="Times New Roman" w:hAnsi="Times New Roman"/>
          <w:sz w:val="16"/>
          <w:szCs w:val="16"/>
          <w:u w:val="single" w:color="auto"/>
          <w:color w:val="auto"/>
        </w:rPr>
        <w:t>Reporting</w:t>
      </w:r>
      <w:r>
        <w:rPr>
          <w:rFonts w:ascii="Times New Roman" w:cs="Times New Roman" w:eastAsia="Times New Roman" w:hAnsi="Times New Roman"/>
          <w:sz w:val="16"/>
          <w:szCs w:val="16"/>
          <w:color w:val="auto"/>
        </w:rPr>
        <w:t>. The Company and its Subsidiaries will provide the Major Investors with all information such Member reasonably requests and is necessary to satisfy such Member’s obligations under the Securities Act and the Securities Exchange Act or other similar obligations, including in any non-U.S. jurisdiction.</w:t>
      </w:r>
    </w:p>
    <w:p>
      <w:pPr>
        <w:spacing w:after="0" w:line="110" w:lineRule="exact"/>
        <w:rPr>
          <w:sz w:val="20"/>
          <w:szCs w:val="20"/>
          <w:color w:val="auto"/>
        </w:rPr>
      </w:pPr>
    </w:p>
    <w:p>
      <w:pPr>
        <w:jc w:val="both"/>
        <w:ind w:firstLine="481"/>
        <w:spacing w:after="0" w:line="272" w:lineRule="auto"/>
        <w:rPr>
          <w:sz w:val="20"/>
          <w:szCs w:val="20"/>
          <w:color w:val="auto"/>
        </w:rPr>
      </w:pPr>
      <w:r>
        <w:rPr>
          <w:rFonts w:ascii="Times New Roman" w:cs="Times New Roman" w:eastAsia="Times New Roman" w:hAnsi="Times New Roman"/>
          <w:sz w:val="16"/>
          <w:szCs w:val="16"/>
          <w:color w:val="auto"/>
        </w:rPr>
        <w:t xml:space="preserve">VII.4 </w:t>
      </w:r>
      <w:r>
        <w:rPr>
          <w:rFonts w:ascii="Times New Roman" w:cs="Times New Roman" w:eastAsia="Times New Roman" w:hAnsi="Times New Roman"/>
          <w:sz w:val="16"/>
          <w:szCs w:val="16"/>
          <w:u w:val="single" w:color="auto"/>
          <w:color w:val="auto"/>
        </w:rPr>
        <w:t>Waiver of Information Rights</w:t>
      </w:r>
      <w:r>
        <w:rPr>
          <w:rFonts w:ascii="Times New Roman" w:cs="Times New Roman" w:eastAsia="Times New Roman" w:hAnsi="Times New Roman"/>
          <w:sz w:val="16"/>
          <w:szCs w:val="16"/>
          <w:color w:val="auto"/>
        </w:rPr>
        <w:t>. Notwithstanding anything herein to the contrary, Section 18-305(a) of the Delaware Act (</w:t>
      </w:r>
      <w:r>
        <w:rPr>
          <w:rFonts w:ascii="Times New Roman" w:cs="Times New Roman" w:eastAsia="Times New Roman" w:hAnsi="Times New Roman"/>
          <w:sz w:val="16"/>
          <w:szCs w:val="16"/>
          <w:i w:val="1"/>
          <w:iCs w:val="1"/>
          <w:color w:val="auto"/>
        </w:rPr>
        <w:t>Access to and Confidentiality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 Records</w:t>
      </w:r>
      <w:r>
        <w:rPr>
          <w:rFonts w:ascii="Times New Roman" w:cs="Times New Roman" w:eastAsia="Times New Roman" w:hAnsi="Times New Roman"/>
          <w:sz w:val="16"/>
          <w:szCs w:val="16"/>
          <w:color w:val="auto"/>
        </w:rPr>
        <w:t>) will not apply to any Member (other than the Major Investors), and each Member (other than the Major Investors) expressly waives any and all rights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such section of the Delaware Act.</w:t>
      </w:r>
    </w:p>
    <w:p>
      <w:pPr>
        <w:spacing w:after="0" w:line="1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VIII</w:t>
      </w:r>
    </w:p>
    <w:p>
      <w:pPr>
        <w:spacing w:after="0" w:line="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TAX MATTERS</w:t>
      </w:r>
    </w:p>
    <w:p>
      <w:pPr>
        <w:spacing w:after="0" w:line="149"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VIII.1 </w:t>
      </w:r>
      <w:r>
        <w:rPr>
          <w:rFonts w:ascii="Times New Roman" w:cs="Times New Roman" w:eastAsia="Times New Roman" w:hAnsi="Times New Roman"/>
          <w:sz w:val="16"/>
          <w:szCs w:val="16"/>
          <w:u w:val="single" w:color="auto"/>
          <w:color w:val="auto"/>
        </w:rPr>
        <w:t>Preparation of Tax Returns</w:t>
      </w:r>
      <w:r>
        <w:rPr>
          <w:rFonts w:ascii="Times New Roman" w:cs="Times New Roman" w:eastAsia="Times New Roman" w:hAnsi="Times New Roman"/>
          <w:sz w:val="16"/>
          <w:szCs w:val="16"/>
          <w:color w:val="auto"/>
        </w:rPr>
        <w:t xml:space="preserve">. The Company will arrange for the preparation and timely filing of all Tax returns required to be filed by the Company, including making the elections described in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and will use commercially reasonable efforts to (a) deliver or cause to be delivered, as soon as practicable after the end of each Fiscal Year but no later than February 28 of such Fiscal Year, to each Person who was a Member at any time during such Fiscal Year an estimated Schedule K-1 and estimates of such other information reasonably requested by such Member relating to the Company that is necessary for such Member to comply with its tax reporting obligations, and</w:t>
      </w:r>
    </w:p>
    <w:p>
      <w:pPr>
        <w:spacing w:after="0" w:line="1" w:lineRule="exact"/>
        <w:rPr>
          <w:sz w:val="20"/>
          <w:szCs w:val="20"/>
          <w:color w:val="auto"/>
        </w:rPr>
      </w:pPr>
    </w:p>
    <w:p>
      <w:pPr>
        <w:jc w:val="both"/>
        <w:spacing w:after="0" w:line="252" w:lineRule="auto"/>
        <w:tabs>
          <w:tab w:leader="none" w:pos="231"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later than June 30 of each Fiscal Year, the final information with respect to the items in the foregoing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(including a final Schedule K-1). At least five Business Days prior to the making of any Tax Distribution, the Company shall use commercially reasonable efforts to deliver or cause to be delivered to each Member a statement setting forth such Member’s allocable share of the Company’s estimated taxable income or loss. Each Person that owns or controls Units on behalf of, or for the benefit of, another Person or Persons will be responsible for conveying any report, notice or other communication received from the Company to such other Person or Persons. Each Member will furnish to the Company all pertinent information in its possession relating to the Company’s operations that is necessary to enable the Company’s income Tax returns to be prepared and filed.</w:t>
      </w:r>
    </w:p>
    <w:p>
      <w:pPr>
        <w:spacing w:after="0" w:line="135" w:lineRule="exact"/>
        <w:rPr>
          <w:sz w:val="20"/>
          <w:szCs w:val="20"/>
          <w:color w:val="auto"/>
        </w:rPr>
      </w:pPr>
    </w:p>
    <w:p>
      <w:pPr>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VIII.2 </w:t>
      </w:r>
      <w:r>
        <w:rPr>
          <w:rFonts w:ascii="Times New Roman" w:cs="Times New Roman" w:eastAsia="Times New Roman" w:hAnsi="Times New Roman"/>
          <w:sz w:val="16"/>
          <w:szCs w:val="16"/>
          <w:u w:val="single" w:color="auto"/>
          <w:color w:val="auto"/>
        </w:rPr>
        <w:t>Tax Elections</w:t>
      </w:r>
      <w:r>
        <w:rPr>
          <w:rFonts w:ascii="Times New Roman" w:cs="Times New Roman" w:eastAsia="Times New Roman" w:hAnsi="Times New Roman"/>
          <w:sz w:val="16"/>
          <w:szCs w:val="16"/>
          <w:color w:val="auto"/>
        </w:rPr>
        <w:t xml:space="preserve">. The Taxable Year will be the Fiscal Year, unless the Board determines otherwise. Subject to this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the Board will determine whether to make or revoke any available election pursuant to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Board shall cause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79" w:name="page180"/>
    <w:bookmarkEnd w:id="179"/>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Company and each of its Subsidiaries that is treated as a partnership for U.S. federal income tax purposes to have in effect an election pursuant to Section 754 of the Code (or any similar provisions of applicable state, local or foreign tax Law) for each Taxable Year. Each Member will upon reasonable request by the Company supply to the Company any information in such Member’s possession that is reasonably necessary to give proper effect to any elections contemplated by this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 xml:space="preserve">VIII.3 </w:t>
      </w:r>
      <w:r>
        <w:rPr>
          <w:rFonts w:ascii="Times New Roman" w:cs="Times New Roman" w:eastAsia="Times New Roman" w:hAnsi="Times New Roman"/>
          <w:sz w:val="16"/>
          <w:szCs w:val="16"/>
          <w:u w:val="single" w:color="auto"/>
          <w:color w:val="auto"/>
        </w:rPr>
        <w:t>Tax Controversies</w:t>
      </w:r>
      <w:r>
        <w:rPr>
          <w:rFonts w:ascii="Times New Roman" w:cs="Times New Roman" w:eastAsia="Times New Roman" w:hAnsi="Times New Roman"/>
          <w:sz w:val="16"/>
          <w:szCs w:val="16"/>
          <w:color w:val="auto"/>
        </w:rPr>
        <w:t xml:space="preserve">. The SB Member will be the Partnership Representative and, as such, will be authorized and required to represent the Company (at the Company’s expense) in connection with all examinations of the Company’s affairs by Tax authorities, including resulting administrative and judicial proceedings, to expend the Company’s funds for professional services and reasonably incurred in connection therewith, and to appoint a “designated individual” for purposes of Treasury Regulations Section 301.6223-1(b)(3), to the extent applicable;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no action may be taken by the Partnership Representative without the prior written consent of the Board,</w:t>
      </w:r>
    </w:p>
    <w:p>
      <w:pPr>
        <w:jc w:val="both"/>
        <w:spacing w:after="0" w:line="251" w:lineRule="auto"/>
        <w:tabs>
          <w:tab w:leader="none" w:pos="23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such action will be subject to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(c) the Partnership Representative shall promptly inform each Member of any potential tax audit or proceeding and shall provide each Member with all material communications with the relevant Taxing Authority, including copies of any correspondence with the relevant Taxing Authority and summaries of any substantive oral discussions with such Taxing Authority and (d) the Partnership Representative shall not knowingly (after reasonable inquiry) take any action in its capacity as Partnership Representative that would materially and adversely impact in any manner any Member (or its direct or indirect owners, solely with respect to the Company) without the consent of such Member (such consent not to be unreasonably withheld, conditioned or delayed). Subject to the proviso to the foregoing sentence, the Partnership Representative shall have the right and obligation to take all actions authorized and required by the Code and Treasury Regulations (and analogous provisions of state or local Law), and is authorized to represent the Company (at the Company’s expense) in connection with all examinations of the Company’s affairs by Tax authorities (including any resulting administrative and judicial proceedings) and to expend Company funds for professional services reasonably incurred in connection therewith. Without limiting the generality of the foregoing, with respect to any audit or other proceeding, the Partnership Representative shall, unless otherwise determined by the Board, cause the Company (and any of its Subsidiaries) to make any available elections pursuant to Section 6226 of the Code (and similar provisions of state, local and other Law), and the Members shall cooperate to the extent reasonably requested by the Company or the Partnership Representative in connection therewith. The Company shall reimburse the Partnership Representative for all reasonable and documented out-of-pocket expenses incurred by the Partnership Representative, including reasonable fees of any professional attorneys, in carrying out its duties as the Partnership Representative. The foregoing covenants will survive the termination, dissolution, liquidation and winding up of the Company and the disposition by any Member of all of such Member’s Units.</w:t>
      </w:r>
    </w:p>
    <w:p>
      <w:pPr>
        <w:spacing w:after="0" w:line="143"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 xml:space="preserve">VIII.4 </w:t>
      </w:r>
      <w:r>
        <w:rPr>
          <w:rFonts w:ascii="Times New Roman" w:cs="Times New Roman" w:eastAsia="Times New Roman" w:hAnsi="Times New Roman"/>
          <w:sz w:val="16"/>
          <w:szCs w:val="16"/>
          <w:u w:val="single" w:color="auto"/>
          <w:color w:val="auto"/>
        </w:rPr>
        <w:t>Distribution of Warrant to Initial SB Member</w:t>
      </w:r>
      <w:r>
        <w:rPr>
          <w:rFonts w:ascii="Times New Roman" w:cs="Times New Roman" w:eastAsia="Times New Roman" w:hAnsi="Times New Roman"/>
          <w:sz w:val="16"/>
          <w:szCs w:val="16"/>
          <w:color w:val="auto"/>
        </w:rPr>
        <w:t>. Notwithstanding anything to the contrary in any of (a) the Ancillary Agreements, (b) the transfer letter by and among the Initial Symbotic Member, Symbotic Inc. and the Initial SB Member, (c) the Warrant to Purchase Class A Common Stock, by and between Symbotic Inc. and SVF II Strategic Investments AIV LLC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0" w:name="page181"/>
    <w:bookmarkEnd w:id="180"/>
    <w:p>
      <w:pPr>
        <w:jc w:val="both"/>
        <w:spacing w:after="0" w:line="259" w:lineRule="auto"/>
        <w:tabs>
          <w:tab w:leader="none" w:pos="22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instrument or document delivered in connection with any of the foregoing, the Warrant issued by Symbotic Inc. to the Initial SB Member shall be treated for U.S. federal (and applicable state and local) income tax purposes as first issued by Symbotic Inc. to the Symbotic Member, second transferred by the Symbotic Member to the Company as a rebate of payments by the Company (or its Affiliates) to the Symbotic Member (or its Affiliates) for the purchase of the Symbotic Systems pursuant to the Commercial Agreement, and third transferred by the Company to the Initial SB Member in a sale in consideration of the Initial SB Member’s Capital Contributions to the extent of the value of the Warrant on the date of such transfer.</w:t>
      </w:r>
    </w:p>
    <w:p>
      <w:pPr>
        <w:spacing w:after="0" w:line="1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IX</w:t>
      </w:r>
    </w:p>
    <w:p>
      <w:pPr>
        <w:spacing w:after="0" w:line="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TRANSFER OF UNITS</w:t>
      </w:r>
    </w:p>
    <w:p>
      <w:pPr>
        <w:spacing w:after="0" w:line="149"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IX.1</w:t>
      </w:r>
      <w:r>
        <w:rPr>
          <w:sz w:val="20"/>
          <w:szCs w:val="20"/>
          <w:color w:val="auto"/>
        </w:rPr>
        <w:tab/>
      </w:r>
      <w:r>
        <w:rPr>
          <w:rFonts w:ascii="Times New Roman" w:cs="Times New Roman" w:eastAsia="Times New Roman" w:hAnsi="Times New Roman"/>
          <w:sz w:val="16"/>
          <w:szCs w:val="16"/>
          <w:u w:val="single" w:color="auto"/>
          <w:color w:val="auto"/>
        </w:rPr>
        <w:t>Overview of Transfers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56" w:lineRule="auto"/>
        <w:tabs>
          <w:tab w:leader="none" w:pos="14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Prohibition on Transfer</w:t>
      </w:r>
      <w:r>
        <w:rPr>
          <w:rFonts w:ascii="Times New Roman" w:cs="Times New Roman" w:eastAsia="Times New Roman" w:hAnsi="Times New Roman"/>
          <w:sz w:val="16"/>
          <w:szCs w:val="16"/>
          <w:color w:val="auto"/>
        </w:rPr>
        <w:t xml:space="preserve">. No Member will Transfer any record, beneficial or other interest in any Units now owned or hereinafter acquired by such Member, or any Remaining Commitment Amount of such Member, without first obtaining the unanimous prior written consent of the Board, which consent, in each case, may be granted or withheld in the Board’s sole discretion, except (x) pursuant to an Exempt Transfer made pursuant to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(y) a Transfer conducted in compliance with the provisions of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9.5, Section 9.6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9.12</w:t>
      </w:r>
      <w:r>
        <w:rPr>
          <w:rFonts w:ascii="Times New Roman" w:cs="Times New Roman" w:eastAsia="Times New Roman" w:hAnsi="Times New Roman"/>
          <w:sz w:val="16"/>
          <w:szCs w:val="16"/>
          <w:color w:val="auto"/>
        </w:rPr>
        <w:t xml:space="preserve">, as applicable, or (z) a Permitted Syndication made pursuant to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w:t>
      </w:r>
    </w:p>
    <w:p>
      <w:pPr>
        <w:spacing w:after="0" w:line="130" w:lineRule="exact"/>
        <w:rPr>
          <w:rFonts w:ascii="Times New Roman" w:cs="Times New Roman" w:eastAsia="Times New Roman" w:hAnsi="Times New Roman"/>
          <w:sz w:val="16"/>
          <w:szCs w:val="16"/>
          <w:color w:val="auto"/>
        </w:rPr>
      </w:pPr>
    </w:p>
    <w:p>
      <w:pPr>
        <w:jc w:val="both"/>
        <w:ind w:firstLine="962"/>
        <w:spacing w:after="0" w:line="263" w:lineRule="auto"/>
        <w:tabs>
          <w:tab w:leader="none" w:pos="143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xml:space="preserve">. Notwithstanding anything to the contrary in this Agreement, except for (i) any Permitted Syndication as provided in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 xml:space="preserve">, (ii) Exempt Transfers as provided in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or (iii) a Transfer conducted in compliance with the provisions of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color w:val="auto"/>
        </w:rPr>
        <w:t>, no Member (including, for the avoidance of doubt, any Syndication Party) may Transfer any Units or Remaining Commitment Amount to any Person until the earlier of (x) the date on which the Required Commitment Amount with respect to all of its Units has been funded and (y) the date that is six years after the Original LLCA Effective Date (the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w:t>
      </w:r>
    </w:p>
    <w:p>
      <w:pPr>
        <w:spacing w:after="0" w:line="124" w:lineRule="exact"/>
        <w:rPr>
          <w:rFonts w:ascii="Times New Roman" w:cs="Times New Roman" w:eastAsia="Times New Roman" w:hAnsi="Times New Roman"/>
          <w:sz w:val="16"/>
          <w:szCs w:val="16"/>
          <w:color w:val="auto"/>
        </w:rPr>
      </w:pPr>
    </w:p>
    <w:p>
      <w:pPr>
        <w:jc w:val="both"/>
        <w:ind w:firstLine="962"/>
        <w:spacing w:after="0" w:line="259" w:lineRule="auto"/>
        <w:tabs>
          <w:tab w:leader="none" w:pos="14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Permitted Syndication</w:t>
      </w:r>
      <w:r>
        <w:rPr>
          <w:rFonts w:ascii="Times New Roman" w:cs="Times New Roman" w:eastAsia="Times New Roman" w:hAnsi="Times New Roman"/>
          <w:sz w:val="16"/>
          <w:szCs w:val="16"/>
          <w:color w:val="auto"/>
        </w:rPr>
        <w:t xml:space="preserve">. The SB Member may effect one or more Transfers of up to 50% of the SB Member’s Remaining Commitment Amount as of the Original LLCA Effective Date in the aggregate, without Board approval, to any Permitted Syndication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SB ECL remains in full force and effect following any such Transfer (a “</w:t>
      </w:r>
      <w:r>
        <w:rPr>
          <w:rFonts w:ascii="Times New Roman" w:cs="Times New Roman" w:eastAsia="Times New Roman" w:hAnsi="Times New Roman"/>
          <w:sz w:val="16"/>
          <w:szCs w:val="16"/>
          <w:u w:val="single" w:color="auto"/>
          <w:color w:val="auto"/>
        </w:rPr>
        <w:t>Permitted Syndication</w:t>
      </w:r>
      <w:r>
        <w:rPr>
          <w:rFonts w:ascii="Times New Roman" w:cs="Times New Roman" w:eastAsia="Times New Roman" w:hAnsi="Times New Roman"/>
          <w:sz w:val="16"/>
          <w:szCs w:val="16"/>
          <w:color w:val="auto"/>
        </w:rPr>
        <w:t>” and, Persons to whom the Remaining Commitment Amount is transferred pursuant to a Permitted Syndication, a “</w:t>
      </w:r>
      <w:r>
        <w:rPr>
          <w:rFonts w:ascii="Times New Roman" w:cs="Times New Roman" w:eastAsia="Times New Roman" w:hAnsi="Times New Roman"/>
          <w:sz w:val="16"/>
          <w:szCs w:val="16"/>
          <w:u w:val="single" w:color="auto"/>
          <w:color w:val="auto"/>
        </w:rPr>
        <w:t>Syndication 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SB Member must retain a Sharing Percentage (assuming the full funding of the Remaining Commitment Amount of all Members) of at least 32.5% following the Permitted Syndication.</w:t>
      </w:r>
    </w:p>
    <w:p>
      <w:pPr>
        <w:spacing w:after="0" w:line="129"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Exempt Transfers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81" w:name="page182"/>
    <w:bookmarkEnd w:id="181"/>
    <w:p>
      <w:pPr>
        <w:jc w:val="both"/>
        <w:ind w:left="480" w:firstLine="962"/>
        <w:spacing w:after="0" w:line="259" w:lineRule="auto"/>
        <w:tabs>
          <w:tab w:leader="none" w:pos="1913"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compliance with </w:t>
      </w:r>
      <w:r>
        <w:rPr>
          <w:rFonts w:ascii="Times New Roman" w:cs="Times New Roman" w:eastAsia="Times New Roman" w:hAnsi="Times New Roman"/>
          <w:sz w:val="16"/>
          <w:szCs w:val="16"/>
          <w:u w:val="single" w:color="auto"/>
          <w:color w:val="auto"/>
        </w:rPr>
        <w:t>Section 9.1(e)</w:t>
      </w:r>
      <w:r>
        <w:rPr>
          <w:rFonts w:ascii="Times New Roman" w:cs="Times New Roman" w:eastAsia="Times New Roman" w:hAnsi="Times New Roman"/>
          <w:sz w:val="16"/>
          <w:szCs w:val="16"/>
          <w:color w:val="auto"/>
        </w:rPr>
        <w:t>, a Member may, at any time, effect any Transfer in respect of any or all Units held by a Member (x) to a Permitted Transferee of such Member or (y) pursuant to a Public Offering (each, an “</w:t>
      </w:r>
      <w:r>
        <w:rPr>
          <w:rFonts w:ascii="Times New Roman" w:cs="Times New Roman" w:eastAsia="Times New Roman" w:hAnsi="Times New Roman"/>
          <w:sz w:val="16"/>
          <w:szCs w:val="16"/>
          <w:u w:val="single" w:color="auto"/>
          <w:color w:val="auto"/>
        </w:rPr>
        <w:t>Exempt Transfer</w:t>
      </w:r>
      <w:r>
        <w:rPr>
          <w:rFonts w:ascii="Times New Roman" w:cs="Times New Roman" w:eastAsia="Times New Roman" w:hAnsi="Times New Roman"/>
          <w:sz w:val="16"/>
          <w:szCs w:val="16"/>
          <w:color w:val="auto"/>
        </w:rPr>
        <w:t xml:space="preserve">”), without the consent of the Board or any other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case, the restrictions contained in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continue to be applicable to subsequent Transfers of Units after the Exempt Transfer. Notwithstanding anything to the contrary in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no Member shall avoid the provisions of this Agreement by making one or more Transfers to one or more Permitted Transferees and then disposing of all or any portion of such Member’s interest in such Permitted Transferee.</w:t>
      </w:r>
    </w:p>
    <w:p>
      <w:pPr>
        <w:spacing w:after="0" w:line="129" w:lineRule="exact"/>
        <w:rPr>
          <w:rFonts w:ascii="Times New Roman" w:cs="Times New Roman" w:eastAsia="Times New Roman" w:hAnsi="Times New Roman"/>
          <w:sz w:val="16"/>
          <w:szCs w:val="16"/>
          <w:color w:val="auto"/>
        </w:rPr>
      </w:pPr>
    </w:p>
    <w:p>
      <w:pPr>
        <w:jc w:val="both"/>
        <w:ind w:left="480" w:firstLine="962"/>
        <w:spacing w:after="0" w:line="257" w:lineRule="auto"/>
        <w:tabs>
          <w:tab w:leader="none" w:pos="1918"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determining the percentage of Units held and Sharing Percentage thresholds of a Member in this Agreement, the percentage of Units held and Sharing Percentage of a Member and any of its Permitted Transferees that remain party to this Agreement to which any Units have been Transferred pursuant to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be treated as held by a single Member and such Permitted Transferees shall act, and be treated, for all purposes of this Agreement jointly and vote as a block with only the rights, and subject to the obligations, of a Member holding such aggregated amount of Units and Sharing Percentage. In connection with a transfer to a Permitted Transferee, a Member shall notify the Company and each other Member of the designated representative that shall act jointly for such Member and its Permitted Transferees.</w:t>
      </w:r>
    </w:p>
    <w:p>
      <w:pPr>
        <w:spacing w:after="0" w:line="129" w:lineRule="exact"/>
        <w:rPr>
          <w:rFonts w:ascii="Times New Roman" w:cs="Times New Roman" w:eastAsia="Times New Roman" w:hAnsi="Times New Roman"/>
          <w:sz w:val="16"/>
          <w:szCs w:val="16"/>
          <w:color w:val="auto"/>
        </w:rPr>
      </w:pPr>
    </w:p>
    <w:p>
      <w:pPr>
        <w:jc w:val="both"/>
        <w:ind w:left="480" w:firstLine="962"/>
        <w:spacing w:after="0" w:line="263" w:lineRule="auto"/>
        <w:tabs>
          <w:tab w:leader="none" w:pos="1922"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request of the Board, a Member who is undertaking an Exempt Transfer shall provide evidence, reasonably satisfactory to the Board, that such Transfer complies with the requirements of this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by (A) delivering a certificate, duly executed by an authorized officer of the applicable Member, certifying to the Board that such transaction satisfies the requirements of this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and (B) providing such other support as may be reasonably requested by the Board.</w:t>
      </w:r>
    </w:p>
    <w:p>
      <w:pPr>
        <w:spacing w:after="0" w:line="124" w:lineRule="exact"/>
        <w:rPr>
          <w:rFonts w:ascii="Times New Roman" w:cs="Times New Roman" w:eastAsia="Times New Roman" w:hAnsi="Times New Roman"/>
          <w:sz w:val="16"/>
          <w:szCs w:val="16"/>
          <w:color w:val="auto"/>
        </w:rPr>
      </w:pPr>
    </w:p>
    <w:p>
      <w:pPr>
        <w:ind w:firstLine="962"/>
        <w:spacing w:after="0" w:line="280" w:lineRule="auto"/>
        <w:tabs>
          <w:tab w:leader="none" w:pos="14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Requirements Applicable to Any Transfer</w:t>
      </w:r>
      <w:r>
        <w:rPr>
          <w:rFonts w:ascii="Times New Roman" w:cs="Times New Roman" w:eastAsia="Times New Roman" w:hAnsi="Times New Roman"/>
          <w:sz w:val="16"/>
          <w:szCs w:val="16"/>
          <w:color w:val="auto"/>
        </w:rPr>
        <w:t>. Except as otherwise approved by unanimous prior written consent of the Board, a Transfer may be effected only upon the satisfaction of the following requirements:</w:t>
      </w:r>
    </w:p>
    <w:p>
      <w:pPr>
        <w:spacing w:after="0" w:line="111"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Transferring Member is not in Default, except upon satisfaction of the requirements set forth in </w:t>
      </w:r>
      <w:r>
        <w:rPr>
          <w:rFonts w:ascii="Times New Roman" w:cs="Times New Roman" w:eastAsia="Times New Roman" w:hAnsi="Times New Roman"/>
          <w:sz w:val="16"/>
          <w:szCs w:val="16"/>
          <w:u w:val="single" w:color="auto"/>
          <w:color w:val="auto"/>
        </w:rPr>
        <w:t>Section 3.3(e)(iii)(A)</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is in compliance with applicable Law, including the Securities Act;</w:t>
      </w:r>
    </w:p>
    <w:p>
      <w:pPr>
        <w:spacing w:after="0" w:line="176"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22"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would not (A) cause the Company to have more than 100 partners, as determined for purposes of Treasury Regulations Section 1.7704-1(h), including the look-through rule in Treasury Regulations Section 1.7704-1(h)(3), (B) cause the Company to be treated as a publicly traded partnership within the meaning of Section 7704 of the Code and Treasury Regulations Section 1.7704-1, (C) cause all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2" w:name="page183"/>
    <w:bookmarkEnd w:id="182"/>
    <w:p>
      <w:pPr>
        <w:ind w:left="480"/>
        <w:spacing w:after="0" w:line="280" w:lineRule="auto"/>
        <w:rPr>
          <w:sz w:val="20"/>
          <w:szCs w:val="20"/>
          <w:color w:val="auto"/>
        </w:rPr>
      </w:pPr>
      <w:r>
        <w:rPr>
          <w:rFonts w:ascii="Times New Roman" w:cs="Times New Roman" w:eastAsia="Times New Roman" w:hAnsi="Times New Roman"/>
          <w:sz w:val="16"/>
          <w:szCs w:val="16"/>
          <w:color w:val="auto"/>
        </w:rPr>
        <w:t>any portion of the assets of the Company to constitute “plan assets” for purposes of ERISA, or (D) cause the Company to be required to register under the Securities Exchange Act or as an “investment company” under the Investment Company Act of 1940;</w:t>
      </w:r>
    </w:p>
    <w:p>
      <w:pPr>
        <w:spacing w:after="0" w:line="112" w:lineRule="exact"/>
        <w:rPr>
          <w:sz w:val="20"/>
          <w:szCs w:val="20"/>
          <w:color w:val="auto"/>
        </w:rPr>
      </w:pPr>
    </w:p>
    <w:p>
      <w:pPr>
        <w:jc w:val="both"/>
        <w:ind w:left="480" w:firstLine="962"/>
        <w:spacing w:after="0" w:line="257" w:lineRule="auto"/>
        <w:tabs>
          <w:tab w:leader="none" w:pos="1913"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would not result in (A) a change to the (1) tax treatment of the Company or any of its Subsidiaries or (2) the classification of any of the foregoing under the United States Internal Revenue Code of 1986, (B) any change in the regulatory status of the Company, (C) a filing by the Company or any Member with CFIUS or any member agency thereof acting in its capacity as a CFIUS member agency or require an amendment to an existing CFIUS process, (D) a default under or breach of any material obligation contained in, or cause the failure of a material condition contained in, any material contract to which the Company is a party, unless a prior consent to or waiver of such default, breach or failure of condition has been obtained in compliance with such contract, or (E) a material adverse effect on the Company;</w:t>
      </w:r>
    </w:p>
    <w:p>
      <w:pPr>
        <w:spacing w:after="0" w:line="139"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is not to any Symbotic Competitor; and</w:t>
      </w:r>
    </w:p>
    <w:p>
      <w:pPr>
        <w:spacing w:after="0" w:line="166"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13"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Credit Support for the Transferring Member is in place, either (A) the Equity Commitment Letter(s) by such Transferring Member, as applicable, will remain in full force and effect following such Transfer, enforceable as if the Transferee were the Transferring Member for all purposes thereunder or (B) the Transferee shall provide any additional Credit Support as required by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w:t>
      </w:r>
    </w:p>
    <w:p>
      <w:pPr>
        <w:spacing w:after="0" w:line="123" w:lineRule="exact"/>
        <w:rPr>
          <w:rFonts w:ascii="Times New Roman" w:cs="Times New Roman" w:eastAsia="Times New Roman" w:hAnsi="Times New Roman"/>
          <w:sz w:val="16"/>
          <w:szCs w:val="16"/>
          <w:color w:val="auto"/>
        </w:rPr>
      </w:pPr>
    </w:p>
    <w:p>
      <w:pPr>
        <w:jc w:val="both"/>
        <w:ind w:firstLine="962"/>
        <w:spacing w:after="0" w:line="257" w:lineRule="auto"/>
        <w:tabs>
          <w:tab w:leader="none" w:pos="144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Transfers of Initial Member Rights</w:t>
      </w:r>
      <w:r>
        <w:rPr>
          <w:rFonts w:ascii="Times New Roman" w:cs="Times New Roman" w:eastAsia="Times New Roman" w:hAnsi="Times New Roman"/>
          <w:sz w:val="16"/>
          <w:szCs w:val="16"/>
          <w:color w:val="auto"/>
        </w:rPr>
        <w:t xml:space="preserve">. In any Transfer of Units by any Initial Member, all of the rights afforded hereunder to such Initial Member based on their status as an Initial Member shall only be exercisable by either the Initial Symbotic Member or the Initial SB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Units that are Transferred and held by a Permitted Transferee of an Initial Member, such Units shall still be deemed to be held by such Initial Member for purposes of determining such Initial Member’s rights or privileges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 Initial Member may, upon delivery of a notice to the Company and each other Member hereto, transfer all rights afforded hereunder to an original Initial Member to a Permitted Transferee of such Initial Member (in which case, the original Initial Member shall cease to be such and such Permitted Transferee thereof shall be the applicable Initial Member for all purposes hereunder).</w:t>
      </w:r>
    </w:p>
    <w:p>
      <w:pPr>
        <w:spacing w:after="0" w:line="130"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IX.2</w:t>
      </w:r>
      <w:r>
        <w:rPr>
          <w:sz w:val="20"/>
          <w:szCs w:val="20"/>
          <w:color w:val="auto"/>
        </w:rPr>
        <w:tab/>
      </w:r>
      <w:r>
        <w:rPr>
          <w:rFonts w:ascii="Times New Roman" w:cs="Times New Roman" w:eastAsia="Times New Roman" w:hAnsi="Times New Roman"/>
          <w:sz w:val="16"/>
          <w:szCs w:val="16"/>
          <w:u w:val="single" w:color="auto"/>
          <w:color w:val="auto"/>
        </w:rPr>
        <w:t>Right of First Offer</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59" w:lineRule="auto"/>
        <w:tabs>
          <w:tab w:leader="none" w:pos="144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Initial Member proposes to Transfer its Units after the Lock-Up Period and prior to the consummation of an Initial Public Offering (for the avoidance of doubt, not including a Transfer to a Permitted Transferee) (such Units which are proposed to be Transferred, the “</w:t>
      </w:r>
      <w:r>
        <w:rPr>
          <w:rFonts w:ascii="Times New Roman" w:cs="Times New Roman" w:eastAsia="Times New Roman" w:hAnsi="Times New Roman"/>
          <w:sz w:val="16"/>
          <w:szCs w:val="16"/>
          <w:u w:val="single" w:color="auto"/>
          <w:color w:val="auto"/>
        </w:rPr>
        <w:t>Offered Units</w:t>
      </w:r>
      <w:r>
        <w:rPr>
          <w:rFonts w:ascii="Times New Roman" w:cs="Times New Roman" w:eastAsia="Times New Roman" w:hAnsi="Times New Roman"/>
          <w:sz w:val="16"/>
          <w:szCs w:val="16"/>
          <w:color w:val="auto"/>
        </w:rPr>
        <w:t>” and the Initial Member proposing such transfer, the “</w:t>
      </w:r>
      <w:r>
        <w:rPr>
          <w:rFonts w:ascii="Times New Roman" w:cs="Times New Roman" w:eastAsia="Times New Roman" w:hAnsi="Times New Roman"/>
          <w:sz w:val="16"/>
          <w:szCs w:val="16"/>
          <w:u w:val="single" w:color="auto"/>
          <w:color w:val="auto"/>
        </w:rPr>
        <w:t>Offering Member</w:t>
      </w:r>
      <w:r>
        <w:rPr>
          <w:rFonts w:ascii="Times New Roman" w:cs="Times New Roman" w:eastAsia="Times New Roman" w:hAnsi="Times New Roman"/>
          <w:sz w:val="16"/>
          <w:szCs w:val="16"/>
          <w:color w:val="auto"/>
        </w:rPr>
        <w:t>”), such Offering Member shall provide written notice to each other Initial Member that remains a Major Investor (a “</w:t>
      </w:r>
      <w:r>
        <w:rPr>
          <w:rFonts w:ascii="Times New Roman" w:cs="Times New Roman" w:eastAsia="Times New Roman" w:hAnsi="Times New Roman"/>
          <w:sz w:val="16"/>
          <w:szCs w:val="16"/>
          <w:u w:val="single" w:color="auto"/>
          <w:color w:val="auto"/>
        </w:rPr>
        <w:t>ROFO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Rightholder</w:t>
      </w:r>
      <w:r>
        <w:rPr>
          <w:rFonts w:ascii="Times New Roman" w:cs="Times New Roman" w:eastAsia="Times New Roman" w:hAnsi="Times New Roman"/>
          <w:sz w:val="16"/>
          <w:szCs w:val="16"/>
          <w:color w:val="auto"/>
        </w:rPr>
        <w:t>”) of such decision to pursue a Transfer of the Offered Units (the “</w:t>
      </w:r>
      <w:r>
        <w:rPr>
          <w:rFonts w:ascii="Times New Roman" w:cs="Times New Roman" w:eastAsia="Times New Roman" w:hAnsi="Times New Roman"/>
          <w:sz w:val="16"/>
          <w:szCs w:val="16"/>
          <w:u w:val="single" w:color="auto"/>
          <w:color w:val="auto"/>
        </w:rPr>
        <w:t>Offer Notice</w:t>
      </w:r>
      <w:r>
        <w:rPr>
          <w:rFonts w:ascii="Times New Roman" w:cs="Times New Roman" w:eastAsia="Times New Roman" w:hAnsi="Times New Roman"/>
          <w:sz w:val="16"/>
          <w:szCs w:val="16"/>
          <w:color w:val="auto"/>
        </w:rPr>
        <w:t>”), with a copy of the Offer Notice being delivered to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83" w:name="page184"/>
    <w:bookmarkEnd w:id="183"/>
    <w:p>
      <w:pPr>
        <w:jc w:val="both"/>
        <w:spacing w:after="0" w:line="255" w:lineRule="auto"/>
        <w:rPr>
          <w:sz w:val="20"/>
          <w:szCs w:val="20"/>
          <w:color w:val="auto"/>
        </w:rPr>
      </w:pPr>
      <w:r>
        <w:rPr>
          <w:rFonts w:ascii="Times New Roman" w:cs="Times New Roman" w:eastAsia="Times New Roman" w:hAnsi="Times New Roman"/>
          <w:sz w:val="16"/>
          <w:szCs w:val="16"/>
          <w:color w:val="auto"/>
        </w:rPr>
        <w:t>Company. The Offer Notice shall specify: (i) the total number of Offered Units to be Transferred by the Offering Member; (ii) the proposed date, time and location of the closing of the Transfer, which shall not be less than 60 days from the date of the Offer Notice and (iii) the Exit Fair Market Value of each Offered Unit (which shall be payable solely in cash), and shall inform each ROFO Rightholder that such ROFO Rightholder may provide a statement in its ROFO Exercise Notice regarding its desire to purchase a number of Offered Units in excess of such ROFO Rightholder’s pro rata portion (based on the Sharing Percentage of each ROFO Rightholder at such time) of the Offered Units. Upon receipt of such written notice from the Offering Member, each ROFO Rightholder shall have the option for a period of 15 days (the “</w:t>
      </w:r>
      <w:r>
        <w:rPr>
          <w:rFonts w:ascii="Times New Roman" w:cs="Times New Roman" w:eastAsia="Times New Roman" w:hAnsi="Times New Roman"/>
          <w:sz w:val="16"/>
          <w:szCs w:val="16"/>
          <w:u w:val="single" w:color="auto"/>
          <w:color w:val="auto"/>
        </w:rPr>
        <w:t>Offer Period</w:t>
      </w:r>
      <w:r>
        <w:rPr>
          <w:rFonts w:ascii="Times New Roman" w:cs="Times New Roman" w:eastAsia="Times New Roman" w:hAnsi="Times New Roman"/>
          <w:sz w:val="16"/>
          <w:szCs w:val="16"/>
          <w:color w:val="auto"/>
        </w:rPr>
        <w:t>”) to elect to purchase all or any portion of its pro rata portion (based on the Sharing Percentage of each ROFO Rightholder at such time) of the Offered Units at the Exit Fair Market Value as described in the Offer Notice (such right, the “</w:t>
      </w:r>
      <w:r>
        <w:rPr>
          <w:rFonts w:ascii="Times New Roman" w:cs="Times New Roman" w:eastAsia="Times New Roman" w:hAnsi="Times New Roman"/>
          <w:sz w:val="16"/>
          <w:szCs w:val="16"/>
          <w:u w:val="single" w:color="auto"/>
          <w:color w:val="auto"/>
        </w:rPr>
        <w:t>Right of First Offer</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jc w:val="both"/>
        <w:ind w:firstLine="962"/>
        <w:spacing w:after="0" w:line="254" w:lineRule="auto"/>
        <w:tabs>
          <w:tab w:leader="none" w:pos="143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ROFO Rightholder may exercise its Right of First Offer by delivering a written notice to the Offering Member and the Company (the “</w:t>
      </w:r>
      <w:r>
        <w:rPr>
          <w:rFonts w:ascii="Times New Roman" w:cs="Times New Roman" w:eastAsia="Times New Roman" w:hAnsi="Times New Roman"/>
          <w:sz w:val="16"/>
          <w:szCs w:val="16"/>
          <w:u w:val="single" w:color="auto"/>
          <w:color w:val="auto"/>
        </w:rPr>
        <w:t>ROFO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Exercise Notice</w:t>
      </w:r>
      <w:r>
        <w:rPr>
          <w:rFonts w:ascii="Times New Roman" w:cs="Times New Roman" w:eastAsia="Times New Roman" w:hAnsi="Times New Roman"/>
          <w:sz w:val="16"/>
          <w:szCs w:val="16"/>
          <w:color w:val="auto"/>
        </w:rPr>
        <w:t xml:space="preserve">”) before the expiration of the Offer Period, stating (i) the number of Offered Units that it wishes to purchase and (ii) in the event there are unsubscribed Offered Units as a result of any other ROFO Rightholders not exercising their rights to purchase all or any portion of their pro rata portion (based on the Sharing Percentage of each ROFO Rightholder at such time) of the Offered Units, such ROFO Rightholder’s intention to purchase any such unsubscribed Offered Units and the number of the unsubscribed Offered Units that it wishes to so purchase. Any ROFO Exercise Notice shall be binding upon delivery and irrevocable by the ROFO Rightholder. If any ROFO Rightholder fails to exercise its right to purchase its entire pro rata portion (based on the Sharing Percentage of each ROFO Rightholder at such time) of the Offered Units and the other ROFO Rightholder(s) have provided notice of their willingness to purchase Offered Units in excess of such ROFO Rightholder’s pro rata portion of such Offered Units, such other ROFO Rightholder(s) will be allocated, and purchase, any remaining Offered Units, not to exceed the maximum amount, if any, specified by such ROFO Rightholder(s) in their ROFO Exercise Notice. The failure of any ROFO Rightholder to deliver a ROFO Exercise Notice by the end of the Offer Period shall constitute a waiver of such ROFO Rightholder’s Right of First Offer under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with respect to the Transfer of the Offered Units;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failure of any ROFO Rightholder shall not affect its rights with respect to any future Transfers.</w:t>
      </w:r>
    </w:p>
    <w:p>
      <w:pPr>
        <w:spacing w:after="0" w:line="131" w:lineRule="exact"/>
        <w:rPr>
          <w:rFonts w:ascii="Times New Roman" w:cs="Times New Roman" w:eastAsia="Times New Roman" w:hAnsi="Times New Roman"/>
          <w:sz w:val="16"/>
          <w:szCs w:val="16"/>
          <w:color w:val="auto"/>
        </w:rPr>
      </w:pPr>
    </w:p>
    <w:p>
      <w:pPr>
        <w:jc w:val="both"/>
        <w:ind w:firstLine="962"/>
        <w:spacing w:after="0" w:line="257" w:lineRule="auto"/>
        <w:tabs>
          <w:tab w:leader="none" w:pos="144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ROFO Rightholders shall not have collectively elected to purchase all of the Offered Units during the Offer Period, the Offering Member may pursue a sale of all or any portion of the remaining Offered Units to any other person (a “</w:t>
      </w:r>
      <w:r>
        <w:rPr>
          <w:rFonts w:ascii="Times New Roman" w:cs="Times New Roman" w:eastAsia="Times New Roman" w:hAnsi="Times New Roman"/>
          <w:sz w:val="16"/>
          <w:szCs w:val="16"/>
          <w:u w:val="single" w:color="auto"/>
          <w:color w:val="auto"/>
        </w:rPr>
        <w:t>Third Party Purchaser</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9.1(e)</w:t>
      </w:r>
      <w:r>
        <w:rPr>
          <w:rFonts w:ascii="Times New Roman" w:cs="Times New Roman" w:eastAsia="Times New Roman" w:hAnsi="Times New Roman"/>
          <w:sz w:val="16"/>
          <w:szCs w:val="16"/>
          <w:color w:val="auto"/>
        </w:rPr>
        <w:t>) for a period of three months following the end of the Offer Period with respect to such Offered Units at a price per Offered Unit not less than the Exit Fair Market Value of such Offered Unit as set forth in the Offer Notice and on other terms and conditions which are not materially more favorable in the aggregate to such Third Party Purchaser than any specified in the Offer Notice (such three month period, a “</w:t>
      </w:r>
      <w:r>
        <w:rPr>
          <w:rFonts w:ascii="Times New Roman" w:cs="Times New Roman" w:eastAsia="Times New Roman" w:hAnsi="Times New Roman"/>
          <w:sz w:val="16"/>
          <w:szCs w:val="16"/>
          <w:u w:val="single" w:color="auto"/>
          <w:color w:val="auto"/>
        </w:rPr>
        <w:t>Third Party Sale Period</w:t>
      </w:r>
      <w:r>
        <w:rPr>
          <w:rFonts w:ascii="Times New Roman" w:cs="Times New Roman" w:eastAsia="Times New Roman" w:hAnsi="Times New Roman"/>
          <w:sz w:val="16"/>
          <w:szCs w:val="16"/>
          <w:color w:val="auto"/>
        </w:rPr>
        <w:t>” and such sale, a “</w:t>
      </w:r>
      <w:r>
        <w:rPr>
          <w:rFonts w:ascii="Times New Roman" w:cs="Times New Roman" w:eastAsia="Times New Roman" w:hAnsi="Times New Roman"/>
          <w:sz w:val="16"/>
          <w:szCs w:val="16"/>
          <w:u w:val="single" w:color="auto"/>
          <w:color w:val="auto"/>
        </w:rPr>
        <w:t>Third Party Sale</w:t>
      </w:r>
      <w:r>
        <w:rPr>
          <w:rFonts w:ascii="Times New Roman" w:cs="Times New Roman" w:eastAsia="Times New Roman" w:hAnsi="Times New Roman"/>
          <w:sz w:val="16"/>
          <w:szCs w:val="16"/>
          <w:color w:val="auto"/>
        </w:rPr>
        <w:t>”). In the event the Offering Member does not consummate a Third Party Sale within the Third Party Sale Period, the other ROFO Rightholders’ Rights of First Offer and the Offer Period shall again become applicable to such Third Party Sale or to any subsequent Third Party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4" w:name="page185"/>
    <w:bookmarkEnd w:id="184"/>
    <w:p>
      <w:pPr>
        <w:spacing w:after="0" w:line="280" w:lineRule="auto"/>
        <w:rPr>
          <w:sz w:val="20"/>
          <w:szCs w:val="20"/>
          <w:color w:val="auto"/>
        </w:rPr>
      </w:pPr>
      <w:r>
        <w:rPr>
          <w:rFonts w:ascii="Times New Roman" w:cs="Times New Roman" w:eastAsia="Times New Roman" w:hAnsi="Times New Roman"/>
          <w:sz w:val="16"/>
          <w:szCs w:val="16"/>
          <w:color w:val="auto"/>
        </w:rPr>
        <w:t xml:space="preserve">Sale by the Offering Member of any remaining Offered Units, and no such Third Party Sale by the Offering Member may occur without the Offering Member first complying with the terms of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IX.3</w:t>
      </w:r>
      <w:r>
        <w:rPr>
          <w:sz w:val="20"/>
          <w:szCs w:val="20"/>
          <w:color w:val="auto"/>
        </w:rPr>
        <w:tab/>
      </w:r>
      <w:r>
        <w:rPr>
          <w:rFonts w:ascii="Times New Roman" w:cs="Times New Roman" w:eastAsia="Times New Roman" w:hAnsi="Times New Roman"/>
          <w:sz w:val="16"/>
          <w:szCs w:val="16"/>
          <w:u w:val="single" w:color="auto"/>
          <w:color w:val="auto"/>
        </w:rPr>
        <w:t>Drag Along Obligations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52" w:lineRule="auto"/>
        <w:tabs>
          <w:tab w:leader="none" w:pos="144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Approved Sale</w:t>
      </w:r>
      <w:r>
        <w:rPr>
          <w:rFonts w:ascii="Times New Roman" w:cs="Times New Roman" w:eastAsia="Times New Roman" w:hAnsi="Times New Roman"/>
          <w:sz w:val="16"/>
          <w:szCs w:val="16"/>
          <w:color w:val="auto"/>
        </w:rPr>
        <w:t xml:space="preserve">. If the Board unanimously approves a Sale Transaction in accordance with </w:t>
      </w:r>
      <w:r>
        <w:rPr>
          <w:rFonts w:ascii="Times New Roman" w:cs="Times New Roman" w:eastAsia="Times New Roman" w:hAnsi="Times New Roman"/>
          <w:sz w:val="16"/>
          <w:szCs w:val="16"/>
          <w:u w:val="single" w:color="auto"/>
          <w:color w:val="auto"/>
        </w:rPr>
        <w:t>Section 6.3(b)(i)</w:t>
      </w:r>
      <w:r>
        <w:rPr>
          <w:rFonts w:ascii="Times New Roman" w:cs="Times New Roman" w:eastAsia="Times New Roman" w:hAnsi="Times New Roman"/>
          <w:sz w:val="16"/>
          <w:szCs w:val="16"/>
          <w:color w:val="auto"/>
        </w:rPr>
        <w:t xml:space="preserve"> or a Sale Transaction Offer or a Final Third Party Offer is accepted pursuant to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in each case, to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Third Party Purchaser and solely for cash consideration (an “</w:t>
      </w:r>
      <w:r>
        <w:rPr>
          <w:rFonts w:ascii="Times New Roman" w:cs="Times New Roman" w:eastAsia="Times New Roman" w:hAnsi="Times New Roman"/>
          <w:sz w:val="16"/>
          <w:szCs w:val="16"/>
          <w:u w:val="single" w:color="auto"/>
          <w:color w:val="auto"/>
        </w:rPr>
        <w:t>Approved Sale</w:t>
      </w:r>
      <w:r>
        <w:rPr>
          <w:rFonts w:ascii="Times New Roman" w:cs="Times New Roman" w:eastAsia="Times New Roman" w:hAnsi="Times New Roman"/>
          <w:sz w:val="16"/>
          <w:szCs w:val="16"/>
          <w:color w:val="auto"/>
        </w:rPr>
        <w:t xml:space="preserve">”), then each Member will vote for, consent to, participate in and raise no objections against, and not otherwise impede or delay, such Approved Sale if and to the extent that a vote or consent of the Members is required to consummate the Approved Sale. In furtherance of the foregoing, (i) if the Approved Sale is structured as an asset sale, merger or consolidation, then each Member will waive any dissenters rights, appraisal rights or similar rights in connection with such asset sale, merger or consolidation, (ii) if the Approved Sale is structured as a sale of Units or other Equity Securities, then each Member will agree to sell and Transfer, and will sell and Transfer, all (or such lesser portion reflecting such Person’s proportionate interest in the aggregate portion of the Total Equity Value being sold or disposed of in such Approved Sale) of such Member’s Units and other Equity Securities on the terms approved by the Board, and (iii) each Member, to the extent requested by the Board, will be obligated to: (A) use its commercially reasonable efforts to engage on behalf of the Member such financial advisors as may be reasonably necessary to identify potential or other Third Party Purchasers in connection with or to consummate such Approved Sale; (B) assist in providing reasonable due diligence, financial and other information and materials regarding such Member to the parties to the Approved Sale; (C) reasonably participate in meetings, drafting sessions, diligence sessions and other discussions in connection with such Approved Sale; (D) reasonably assist the Third Party Purchaser and its financing sources in the preparation, if applicable, of definitive transaction documents and an offering document in connection with such Approved Sale; (E) provide such other consents, waivers, documents, covenants, releases and agreements regarding such Member as may be reasonably requested by the Board in connection with such Approved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Member shall be required to enter into any restrictive covenants in connection with such Approved Sale, including any non-competition, non-solicitation of employees or customers, non-disparagement or similar provisions; (F) reasonably cooperate with the marketing efforts in connection with such Approved Sale; and (G) further waive any potential claim, including any claim for breach of fiduciary duty, which it may have against any member of the Board, the Company, the Initial Members, any of their respective Affiliates, or its or their officers or directors, to the extent arising out of or relating to any Approved Sale, including any authorization and approval by the Board thereof (but excluding any claims under any agreement entered into in connection with such Approved Sale, any indemnification rights of such Member and any claims for fraud). Each Member will take all necessary actions, and the receipt of any proceeds of such Approved Sale will be conditioned upon the taking of such actions, in connection with the consummation of the Approved Sale (whether in such Person’s capacity as a Member, Manager, Officer or otherwise) as requested by the Board and applicable to all other selling Members holding the same class of Units, including executing and delivering any and all agreements, instruments, consents, waivers and other documents in substantially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85" w:name="page186"/>
    <w:bookmarkEnd w:id="185"/>
    <w:p>
      <w:pPr>
        <w:spacing w:after="0" w:line="280" w:lineRule="auto"/>
        <w:rPr>
          <w:sz w:val="20"/>
          <w:szCs w:val="20"/>
          <w:color w:val="auto"/>
        </w:rPr>
      </w:pPr>
      <w:r>
        <w:rPr>
          <w:rFonts w:ascii="Times New Roman" w:cs="Times New Roman" w:eastAsia="Times New Roman" w:hAnsi="Times New Roman"/>
          <w:sz w:val="16"/>
          <w:szCs w:val="16"/>
          <w:color w:val="auto"/>
        </w:rPr>
        <w:t>same forms executed by the Initial Members, including any applicable purchase agreement, equityholders agreement, indemnification agreement, support agreement, letter of transmittal and contribution agreement.</w:t>
      </w:r>
    </w:p>
    <w:p>
      <w:pPr>
        <w:spacing w:after="0" w:line="112" w:lineRule="exact"/>
        <w:rPr>
          <w:sz w:val="20"/>
          <w:szCs w:val="20"/>
          <w:color w:val="auto"/>
        </w:rPr>
      </w:pPr>
    </w:p>
    <w:p>
      <w:pPr>
        <w:jc w:val="both"/>
        <w:ind w:firstLine="962"/>
        <w:spacing w:after="0" w:line="263" w:lineRule="auto"/>
        <w:tabs>
          <w:tab w:leader="none" w:pos="143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w:t>
      </w:r>
      <w:r>
        <w:rPr>
          <w:rFonts w:ascii="Times New Roman" w:cs="Times New Roman" w:eastAsia="Times New Roman" w:hAnsi="Times New Roman"/>
          <w:sz w:val="16"/>
          <w:szCs w:val="16"/>
          <w:color w:val="auto"/>
        </w:rPr>
        <w:t xml:space="preserve">. The obligations of the Members with respect to an Approved Sale are subject to the satisfaction of the following conditions: (i) the consideration payable upon consummation of such Approved Sale to all Members will be allocated among the Members based upon the Pro Rata Share represented by the Units Transferred by such Member pursuant to such Approved Sale (in accordance with the provisions of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and (ii) upon the consummation of the Approved Sale, all of the Members will receive (or will have the option to receive) cash consideration.</w:t>
      </w:r>
    </w:p>
    <w:p>
      <w:pPr>
        <w:spacing w:after="0" w:line="124" w:lineRule="exact"/>
        <w:rPr>
          <w:rFonts w:ascii="Times New Roman" w:cs="Times New Roman" w:eastAsia="Times New Roman" w:hAnsi="Times New Roman"/>
          <w:sz w:val="16"/>
          <w:szCs w:val="16"/>
          <w:color w:val="auto"/>
        </w:rPr>
      </w:pPr>
    </w:p>
    <w:p>
      <w:pPr>
        <w:jc w:val="both"/>
        <w:ind w:firstLine="962"/>
        <w:spacing w:after="0" w:line="257" w:lineRule="auto"/>
        <w:tabs>
          <w:tab w:leader="none" w:pos="144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Purchaser Representative</w:t>
      </w:r>
      <w:r>
        <w:rPr>
          <w:rFonts w:ascii="Times New Roman" w:cs="Times New Roman" w:eastAsia="Times New Roman" w:hAnsi="Times New Roman"/>
          <w:sz w:val="16"/>
          <w:szCs w:val="16"/>
          <w:color w:val="auto"/>
        </w:rPr>
        <w:t xml:space="preserve">. If the Company enters into any negotiation or transaction for which Rule 506 promulgated under the Securities Act may be available with respect to such negotiation or transaction (including a merger, consolidation or other reorganization), then the other Members will, at the reasonable request of the Company, as the case may be, appoint a “purchaser representative” (as such term is defined in Rule 501 of Regulation D promulgated under the Securities Act) designated by the Company. If any Member so appoints a purchaser representative, then the Company will pay the fees of such purchaser representative;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any Member declines to appoint the purchaser representative designated by the Company, then such Member will appoint another purchaser representative (reasonably acceptable to the Company), and such Member will be responsible for the fees of the purchaser representative so appointed.</w:t>
      </w:r>
    </w:p>
    <w:p>
      <w:pPr>
        <w:spacing w:after="0" w:line="129" w:lineRule="exact"/>
        <w:rPr>
          <w:rFonts w:ascii="Times New Roman" w:cs="Times New Roman" w:eastAsia="Times New Roman" w:hAnsi="Times New Roman"/>
          <w:sz w:val="16"/>
          <w:szCs w:val="16"/>
          <w:color w:val="auto"/>
        </w:rPr>
      </w:pPr>
    </w:p>
    <w:p>
      <w:pPr>
        <w:jc w:val="both"/>
        <w:ind w:firstLine="962"/>
        <w:spacing w:after="0" w:line="270" w:lineRule="auto"/>
        <w:tabs>
          <w:tab w:leader="none" w:pos="143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Grant of Dissenters Rights or Appraisal Rights</w:t>
      </w:r>
      <w:r>
        <w:rPr>
          <w:rFonts w:ascii="Times New Roman" w:cs="Times New Roman" w:eastAsia="Times New Roman" w:hAnsi="Times New Roman"/>
          <w:sz w:val="16"/>
          <w:szCs w:val="16"/>
          <w:color w:val="auto"/>
        </w:rPr>
        <w:t xml:space="preserve">. In no manner will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be construed to grant to any Member any dissenters rights, appraisal rights or similar rights or give any Member any right to vote in any transaction structured as a merger or consolidation or otherwise of a type on which members generally have voting rights.</w:t>
      </w:r>
    </w:p>
    <w:p>
      <w:pPr>
        <w:spacing w:after="0" w:line="120"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IX.4</w:t>
      </w:r>
      <w:r>
        <w:rPr>
          <w:sz w:val="20"/>
          <w:szCs w:val="20"/>
          <w:color w:val="auto"/>
        </w:rPr>
        <w:tab/>
      </w:r>
      <w:r>
        <w:rPr>
          <w:rFonts w:ascii="Times New Roman" w:cs="Times New Roman" w:eastAsia="Times New Roman" w:hAnsi="Times New Roman"/>
          <w:sz w:val="16"/>
          <w:szCs w:val="16"/>
          <w:u w:val="single" w:color="auto"/>
          <w:color w:val="auto"/>
        </w:rPr>
        <w:t>Effect of Assignment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4" w:lineRule="auto"/>
        <w:tabs>
          <w:tab w:leader="none" w:pos="144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Rights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9.1(f)</w:t>
      </w:r>
      <w:r>
        <w:rPr>
          <w:rFonts w:ascii="Times New Roman" w:cs="Times New Roman" w:eastAsia="Times New Roman" w:hAnsi="Times New Roman"/>
          <w:sz w:val="16"/>
          <w:szCs w:val="16"/>
          <w:color w:val="auto"/>
        </w:rPr>
        <w:t xml:space="preserve">, any Member who Transfers any Units or other interest in the Company in accordance with this Agreement will cease to be a Member with respect to such Units or other interest in the Company and will no longer have any rights or privileges of a Member with respect to such Units or other interest in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unless and until the Assignee is admitted as a Substituted Member in accordance with the provisions of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(the date on which such Assignee is admitted as a Substituted Member, the “</w:t>
      </w:r>
      <w:r>
        <w:rPr>
          <w:rFonts w:ascii="Times New Roman" w:cs="Times New Roman" w:eastAsia="Times New Roman" w:hAnsi="Times New Roman"/>
          <w:sz w:val="16"/>
          <w:szCs w:val="16"/>
          <w:u w:val="single" w:color="auto"/>
          <w:color w:val="auto"/>
        </w:rPr>
        <w:t>Admission Date</w:t>
      </w:r>
      <w:r>
        <w:rPr>
          <w:rFonts w:ascii="Times New Roman" w:cs="Times New Roman" w:eastAsia="Times New Roman" w:hAnsi="Times New Roman"/>
          <w:sz w:val="16"/>
          <w:szCs w:val="16"/>
          <w:color w:val="auto"/>
        </w:rPr>
        <w:t xml:space="preserve">”): (i) such Transferor will retain all of the duties, liabilities and obligations of a Member with respect to such Units or other interest, including the obligation (together with its Assignee pursuant to </w:t>
      </w:r>
      <w:r>
        <w:rPr>
          <w:rFonts w:ascii="Times New Roman" w:cs="Times New Roman" w:eastAsia="Times New Roman" w:hAnsi="Times New Roman"/>
          <w:sz w:val="16"/>
          <w:szCs w:val="16"/>
          <w:u w:val="single" w:color="auto"/>
          <w:color w:val="auto"/>
        </w:rPr>
        <w:t>Section 9.5(c)</w:t>
      </w:r>
      <w:r>
        <w:rPr>
          <w:rFonts w:ascii="Times New Roman" w:cs="Times New Roman" w:eastAsia="Times New Roman" w:hAnsi="Times New Roman"/>
          <w:sz w:val="16"/>
          <w:szCs w:val="16"/>
          <w:color w:val="auto"/>
        </w:rPr>
        <w:t xml:space="preserve"> to make and return Capital Contributions on account of such Units or other interest and fund any capital commitment associated with such Units under this Agreement; and (ii) the Board may reinstate all or any portion of the rights and privileges of such Member with respect to such Units or other interest for any period of time prior to the Admission Date. Nothing herein will relieve any Transferor of Units or other interest in the Company from 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6" w:name="page187"/>
    <w:bookmarkEnd w:id="186"/>
    <w:p>
      <w:pPr>
        <w:jc w:val="both"/>
        <w:spacing w:after="0" w:line="263" w:lineRule="auto"/>
        <w:rPr>
          <w:sz w:val="20"/>
          <w:szCs w:val="20"/>
          <w:color w:val="auto"/>
        </w:rPr>
      </w:pPr>
      <w:r>
        <w:rPr>
          <w:rFonts w:ascii="Times New Roman" w:cs="Times New Roman" w:eastAsia="Times New Roman" w:hAnsi="Times New Roman"/>
          <w:sz w:val="16"/>
          <w:szCs w:val="16"/>
          <w:color w:val="auto"/>
        </w:rPr>
        <w:t>liability of such Transferor to the Company or the other Members with respect to such Units or other interest in the Company that may exist on the Admission Date or that is otherwise specified in the Delaware Act and incorporated into this Agreement or for any liability to the Company or any other Person or for any breaches of any representations, warranties or covenants by such Transferor (in its capacity as a Member) herein or in the other agreements between such Member and the Company or any of its Subsidiaries or Affiliates.</w:t>
      </w:r>
    </w:p>
    <w:p>
      <w:pPr>
        <w:spacing w:after="0" w:line="125" w:lineRule="exact"/>
        <w:rPr>
          <w:sz w:val="20"/>
          <w:szCs w:val="20"/>
          <w:color w:val="auto"/>
        </w:rPr>
      </w:pPr>
    </w:p>
    <w:p>
      <w:pPr>
        <w:jc w:val="both"/>
        <w:ind w:firstLine="962"/>
        <w:spacing w:after="0" w:line="259" w:lineRule="auto"/>
        <w:tabs>
          <w:tab w:leader="none" w:pos="143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Deemed Agreement</w:t>
      </w:r>
      <w:r>
        <w:rPr>
          <w:rFonts w:ascii="Times New Roman" w:cs="Times New Roman" w:eastAsia="Times New Roman" w:hAnsi="Times New Roman"/>
          <w:sz w:val="16"/>
          <w:szCs w:val="16"/>
          <w:color w:val="auto"/>
        </w:rPr>
        <w:t>. Any Person who acquires in any manner whatsoever any Units or other interest in the Company, irrespective of whether such Person has accepted and adopted in writing the terms and provisions of this Agreement, will be deemed by the acceptance of the benefits of the acquisition thereof to have agreed to be subject to and bound by all of the provisions of this Agreement that any predecessor in such Units or other interest in the Company of such Person was subject to or by which such predecessor was bound.</w:t>
      </w:r>
    </w:p>
    <w:p>
      <w:pPr>
        <w:spacing w:after="0" w:line="137" w:lineRule="exact"/>
        <w:rPr>
          <w:rFonts w:ascii="Times New Roman" w:cs="Times New Roman" w:eastAsia="Times New Roman" w:hAnsi="Times New Roman"/>
          <w:sz w:val="16"/>
          <w:szCs w:val="16"/>
          <w:color w:val="auto"/>
        </w:rPr>
      </w:pPr>
    </w:p>
    <w:p>
      <w:pPr>
        <w:jc w:val="both"/>
        <w:ind w:firstLine="962"/>
        <w:spacing w:after="0" w:line="254" w:lineRule="auto"/>
        <w:tabs>
          <w:tab w:leader="none" w:pos="144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Assignee’s Rights</w:t>
      </w:r>
      <w:r>
        <w:rPr>
          <w:rFonts w:ascii="Times New Roman" w:cs="Times New Roman" w:eastAsia="Times New Roman" w:hAnsi="Times New Roman"/>
          <w:sz w:val="16"/>
          <w:szCs w:val="16"/>
          <w:color w:val="auto"/>
        </w:rPr>
        <w:t xml:space="preserve">. A Transfer of Units permitted hereunder will be effective as of the date of assignment and compliance with the conditions of such Transfer and such Transfer will be shown on the books and records of the Company. Profits, Losses and other Company items will be allocated between the Transferor and the Assignee according to Section 706 of the Code. Distributions made before the effective date of such transfer will be paid to the Transferor, and Distributions made after such date will be paid to the Assignee. Unless and until an Assignee becomes a Member pursuant to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the Assignee will not be entitled to any of the rights or privileges granted to a Member hereunder or under applicable Law, other than the rights and privileges specifically granted to Assignees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without relieving the Transferor from any such limitations or obligations, such Assignee will be bound by any limitations and obligations of a Member herein by which a Member would be bound on account of the ownership of Units by the Assignee (including the obligation, if any, to make Capital Contributions on account of such Units and the obligations set forth in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IX.5</w:t>
      </w:r>
      <w:r>
        <w:rPr>
          <w:sz w:val="20"/>
          <w:szCs w:val="20"/>
          <w:color w:val="auto"/>
        </w:rPr>
        <w:tab/>
      </w:r>
      <w:r>
        <w:rPr>
          <w:rFonts w:ascii="Times New Roman" w:cs="Times New Roman" w:eastAsia="Times New Roman" w:hAnsi="Times New Roman"/>
          <w:sz w:val="16"/>
          <w:szCs w:val="16"/>
          <w:u w:val="single" w:color="auto"/>
          <w:color w:val="auto"/>
        </w:rPr>
        <w:t>Additional Transfer Procedures</w:t>
      </w:r>
      <w:r>
        <w:rPr>
          <w:rFonts w:ascii="Times New Roman" w:cs="Times New Roman" w:eastAsia="Times New Roman" w:hAnsi="Times New Roman"/>
          <w:sz w:val="16"/>
          <w:szCs w:val="16"/>
          <w:color w:val="auto"/>
        </w:rPr>
        <w:t>. Subject to the terms and conditions of this Agreement, and as a condition to any Transfer of Units permitted pursuant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jc w:val="both"/>
        <w:ind w:firstLine="962"/>
        <w:spacing w:after="0" w:line="270" w:lineRule="auto"/>
        <w:tabs>
          <w:tab w:leader="none" w:pos="14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The Transferring Member shall, at least 15 days prior to such Transfer, provide written notice of the proposed Transfer to the Company describing in sufficient detail the proposed Transfer and shall promptly, but in any event within five days, following receipt respond in writing to any reasonable questions from the Company with respect to the Transfer;</w:t>
      </w:r>
    </w:p>
    <w:p>
      <w:pPr>
        <w:spacing w:after="0" w:line="120"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Certification</w:t>
      </w:r>
      <w:r>
        <w:rPr>
          <w:rFonts w:ascii="Times New Roman" w:cs="Times New Roman" w:eastAsia="Times New Roman" w:hAnsi="Times New Roman"/>
          <w:sz w:val="16"/>
          <w:szCs w:val="16"/>
          <w:color w:val="auto"/>
        </w:rPr>
        <w:t>. The Transferring Member must provide a certification from an authorized officer of the Transferring Member that the Transfer complies with the terms and conditions of this Agreement;</w:t>
      </w:r>
    </w:p>
    <w:p>
      <w:pPr>
        <w:spacing w:after="0" w:line="111" w:lineRule="exact"/>
        <w:rPr>
          <w:rFonts w:ascii="Times New Roman" w:cs="Times New Roman" w:eastAsia="Times New Roman" w:hAnsi="Times New Roman"/>
          <w:sz w:val="16"/>
          <w:szCs w:val="16"/>
          <w:color w:val="auto"/>
        </w:rPr>
      </w:pPr>
    </w:p>
    <w:p>
      <w:pPr>
        <w:ind w:firstLine="962"/>
        <w:spacing w:after="0" w:line="293" w:lineRule="auto"/>
        <w:tabs>
          <w:tab w:leader="none" w:pos="14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of Joinder Agreement</w:t>
      </w:r>
      <w:r>
        <w:rPr>
          <w:rFonts w:ascii="Times New Roman" w:cs="Times New Roman" w:eastAsia="Times New Roman" w:hAnsi="Times New Roman"/>
          <w:sz w:val="16"/>
          <w:szCs w:val="16"/>
          <w:color w:val="auto"/>
        </w:rPr>
        <w:t>. Except in connection with an Approved Sale, each Transferee of Units will execute and deliver to the Company a Joinder Agreement, unless the Transferee is already a Member or the Transfer is an indirect Transfer of Units;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7" w:name="page188"/>
    <w:bookmarkEnd w:id="187"/>
    <w:p>
      <w:pPr>
        <w:jc w:val="both"/>
        <w:ind w:firstLine="962"/>
        <w:spacing w:after="0" w:line="263" w:lineRule="auto"/>
        <w:tabs>
          <w:tab w:leader="none" w:pos="143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Opinion</w:t>
      </w:r>
      <w:r>
        <w:rPr>
          <w:rFonts w:ascii="Times New Roman" w:cs="Times New Roman" w:eastAsia="Times New Roman" w:hAnsi="Times New Roman"/>
          <w:sz w:val="16"/>
          <w:szCs w:val="16"/>
          <w:color w:val="auto"/>
        </w:rPr>
        <w:t>. Unless waived by the Board, the Transferring Member must provide to the Board an opinion of counsel, satisfactory in form and substance to the Board, that such Transfer would not violate any federal securities Laws or any state or provincial securities or “blue sky” Laws (including any investor suitability standards) applicable to the Company or the interest to be Transferred, or cause the Company to be required to register as an “investment company” under the United States Investment Company Act of 1940.</w:t>
      </w:r>
    </w:p>
    <w:p>
      <w:pPr>
        <w:spacing w:after="0" w:line="125" w:lineRule="exact"/>
        <w:rPr>
          <w:sz w:val="20"/>
          <w:szCs w:val="20"/>
          <w:color w:val="auto"/>
        </w:rPr>
      </w:pPr>
    </w:p>
    <w:p>
      <w:pPr>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IX.6 </w:t>
      </w:r>
      <w:r>
        <w:rPr>
          <w:rFonts w:ascii="Times New Roman" w:cs="Times New Roman" w:eastAsia="Times New Roman" w:hAnsi="Times New Roman"/>
          <w:sz w:val="16"/>
          <w:szCs w:val="16"/>
          <w:u w:val="single" w:color="auto"/>
          <w:color w:val="auto"/>
        </w:rPr>
        <w:t>Unit Certificates; Legend; Article 8</w:t>
      </w:r>
      <w:r>
        <w:rPr>
          <w:rFonts w:ascii="Times New Roman" w:cs="Times New Roman" w:eastAsia="Times New Roman" w:hAnsi="Times New Roman"/>
          <w:sz w:val="16"/>
          <w:szCs w:val="16"/>
          <w:color w:val="auto"/>
        </w:rPr>
        <w:t>. Unless the Board determines otherwise, no certificates will be issued in respect of any Units. If the Board authorizes, and the Company issues, certificates representing the Units (“</w:t>
      </w:r>
      <w:r>
        <w:rPr>
          <w:rFonts w:ascii="Times New Roman" w:cs="Times New Roman" w:eastAsia="Times New Roman" w:hAnsi="Times New Roman"/>
          <w:sz w:val="16"/>
          <w:szCs w:val="16"/>
          <w:u w:val="single" w:color="auto"/>
          <w:color w:val="auto"/>
        </w:rPr>
        <w:t>Certificated Units</w:t>
      </w:r>
      <w:r>
        <w:rPr>
          <w:rFonts w:ascii="Times New Roman" w:cs="Times New Roman" w:eastAsia="Times New Roman" w:hAnsi="Times New Roman"/>
          <w:sz w:val="16"/>
          <w:szCs w:val="16"/>
          <w:color w:val="auto"/>
        </w:rPr>
        <w:t>”), then the Certificated Units will bear the following legend:</w:t>
      </w:r>
    </w:p>
    <w:p>
      <w:pPr>
        <w:spacing w:after="0" w:line="112" w:lineRule="exact"/>
        <w:rPr>
          <w:sz w:val="20"/>
          <w:szCs w:val="20"/>
          <w:color w:val="auto"/>
        </w:rPr>
      </w:pPr>
    </w:p>
    <w:p>
      <w:pPr>
        <w:jc w:val="both"/>
        <w:ind w:left="960" w:right="480"/>
        <w:spacing w:after="0" w:line="254" w:lineRule="auto"/>
        <w:rPr>
          <w:sz w:val="20"/>
          <w:szCs w:val="20"/>
          <w:color w:val="auto"/>
        </w:rPr>
      </w:pPr>
      <w:r>
        <w:rPr>
          <w:rFonts w:ascii="Times New Roman" w:cs="Times New Roman" w:eastAsia="Times New Roman" w:hAnsi="Times New Roman"/>
          <w:sz w:val="16"/>
          <w:szCs w:val="16"/>
          <w:color w:val="auto"/>
        </w:rPr>
        <w:t>“THE UNITS REPRESENTED BY THIS CERTIFICATE HAVE NOT BEEN REGISTERED UNDER THE SECURITIES ACT OF 1933, AS AMENDED (THE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OR APPLICABLE STATE SECURITIES LAWS (“</w:t>
      </w:r>
      <w:r>
        <w:rPr>
          <w:rFonts w:ascii="Times New Roman" w:cs="Times New Roman" w:eastAsia="Times New Roman" w:hAnsi="Times New Roman"/>
          <w:sz w:val="16"/>
          <w:szCs w:val="16"/>
          <w:u w:val="single" w:color="auto"/>
          <w:color w:val="auto"/>
        </w:rPr>
        <w:t>STATE ACTS</w:t>
      </w:r>
      <w:r>
        <w:rPr>
          <w:rFonts w:ascii="Times New Roman" w:cs="Times New Roman" w:eastAsia="Times New Roman" w:hAnsi="Times New Roman"/>
          <w:sz w:val="16"/>
          <w:szCs w:val="16"/>
          <w:color w:val="auto"/>
        </w:rPr>
        <w:t>”) AND MAY NOT BE SOLD, ASSIGNED, PLEDGED, TRANSFERRED OR OTHERWISE DISPOSED OF IN THE ABSENCE OF AN EFFECTIVE REGISTRATION STATEMENT UNDER THE ACT OR STATE ACTS OR AN EXEMPTION FROM REGISTRATION THEREUNDER. THE TRANSFER OF THE UNITS REPRESENTED BY THIS CERTIFICATE IS SUBJECT TO THE CONDITIONS SPECIFIED IN A LIMITED LIABILITY COMPANY AGREEMENT, AS AMENDED, SUPPLEMENTED OR OTHERWISE MODIFIED FROM TIME TO TIME, GOVERNING THE ISSUER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AMONG THE COMPANY AND THE MEMBERS OF THE COMPANY FROM TIME TO TIME PARTY THERETO, A COPY OF WHICH WILL BE FURNISHED BY THE COMPANY TO THE RECORD HOLDER HEREOF UPON WRITTEN REQUEST WITHOUT CHARGE.</w:t>
      </w:r>
    </w:p>
    <w:p>
      <w:pPr>
        <w:spacing w:after="0" w:line="125" w:lineRule="exact"/>
        <w:rPr>
          <w:sz w:val="20"/>
          <w:szCs w:val="20"/>
          <w:color w:val="auto"/>
        </w:rPr>
      </w:pPr>
    </w:p>
    <w:p>
      <w:pPr>
        <w:jc w:val="both"/>
        <w:ind w:left="960" w:right="480"/>
        <w:spacing w:after="0" w:line="257" w:lineRule="auto"/>
        <w:rPr>
          <w:sz w:val="20"/>
          <w:szCs w:val="20"/>
          <w:color w:val="auto"/>
        </w:rPr>
      </w:pPr>
      <w:r>
        <w:rPr>
          <w:rFonts w:ascii="Times New Roman" w:cs="Times New Roman" w:eastAsia="Times New Roman" w:hAnsi="Times New Roman"/>
          <w:sz w:val="16"/>
          <w:szCs w:val="16"/>
          <w:color w:val="auto"/>
        </w:rPr>
        <w:t>THIS CERTIFICATE CONSTITUTES A “SECURITY” WITHIN THE MEANING OF AND WILL BE GOVERNED BY (I) ARTICLE 8 OF THE UNIFORM COMMERCIAL CODE (INCLUDING SECTION 8-102(A)(15) THEREOF) AS IN EFFECT FROM TIME TO TIME IN THE STATE OF DELAWARE, AND (II)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If a Member holding Certificated Units delivers to the Company a written opinion of counsel, satisfactory in form and substance to the Board (which opinion requirement may be waived by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8" w:name="page189"/>
    <w:bookmarkEnd w:id="188"/>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Board), that no subsequent Transfer of such Units will require registration under the Securities Act or applicable state securities Laws, then the Company will promptly upon such contemplated Transfer deliver new Certificated Units that do not bear the portion of the restrictive legend relating to the Securities Act set forth in this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 Each Unit constitutes a “security” within the meaning of and will be governed by (i) Article 8 of the Uniform Commercial Code (including Section 8-102(a)(15) thereof) as in effect from time to time in the State of Delaware, and (ii)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 The Units are not and will not at any time be “securities” or “investment property” covered by Article 8 of the Uniform Commercial Code of the State of Delaware (or the Uniform Commercial Code of any other applicable jurisdiction). No Member nor the Board will amend this Agreement to provide that the Units are “securities” or “investment property” governed by Article 8 of the Uniform Commercial Code or otherwise “opt in” to Article 8 of the Uniform Commercial Code.</w:t>
      </w:r>
    </w:p>
    <w:p>
      <w:pPr>
        <w:spacing w:after="0" w:line="114"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 xml:space="preserve">IX.7 </w:t>
      </w:r>
      <w:r>
        <w:rPr>
          <w:rFonts w:ascii="Times New Roman" w:cs="Times New Roman" w:eastAsia="Times New Roman" w:hAnsi="Times New Roman"/>
          <w:sz w:val="16"/>
          <w:szCs w:val="16"/>
          <w:u w:val="single" w:color="auto"/>
          <w:color w:val="auto"/>
        </w:rPr>
        <w:t>Void Transfers</w:t>
      </w:r>
      <w:r>
        <w:rPr>
          <w:rFonts w:ascii="Times New Roman" w:cs="Times New Roman" w:eastAsia="Times New Roman" w:hAnsi="Times New Roman"/>
          <w:sz w:val="16"/>
          <w:szCs w:val="16"/>
          <w:color w:val="auto"/>
        </w:rPr>
        <w:t xml:space="preserve">. Any Transfer (or other transaction that would cause any person to beneficially own a greater amount of Units or other interests in the Company than such person beneficially owned immediately prior to such transaction) by any Member of any Units or other interest in the Company in contravention of this Agreement or that would cause the Company to not be treated as a partnership that is not a “publicly traded partnership” within the meaning of Section 7704(b) of the Code for U.S. federal income Tax purposes will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ineffectual and will not bind or be recognized by the Company or any other Party. No Person to whom any Units or other interest in the Company were purportedly Transferred in contravention of this Agreement will have any right to any Profits, Losses or Distributions of the Company. Each Party acknowledges and agrees that any breach of this Agreement would result in substantial harm to the other Parties for which monetary damages alone could not adequately compensate. Therefore, the Parties unconditionally and irrevocably agree that any non-breaching Party will be entitled to seek protective orders, injunctive relief and other remedies available at law or in equity (including seeking specific performance or the rescission of purchases, sales and other transfers of Units not made in strict compliance with this Agreement).</w:t>
      </w:r>
    </w:p>
    <w:p>
      <w:pPr>
        <w:spacing w:after="0" w:line="134"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 xml:space="preserve">IX.8 </w:t>
      </w:r>
      <w:r>
        <w:rPr>
          <w:rFonts w:ascii="Times New Roman" w:cs="Times New Roman" w:eastAsia="Times New Roman" w:hAnsi="Times New Roman"/>
          <w:sz w:val="16"/>
          <w:szCs w:val="16"/>
          <w:u w:val="single" w:color="auto"/>
          <w:color w:val="auto"/>
        </w:rPr>
        <w:t>Transfer Fees and Expenses</w:t>
      </w:r>
      <w:r>
        <w:rPr>
          <w:rFonts w:ascii="Times New Roman" w:cs="Times New Roman" w:eastAsia="Times New Roman" w:hAnsi="Times New Roman"/>
          <w:sz w:val="16"/>
          <w:szCs w:val="16"/>
          <w:color w:val="auto"/>
        </w:rPr>
        <w:t>. Except for Exempt Transfers, the Transferor and Transferee of any Units or other interest in the Company will be jointly and severally obligated to reimburse the Company for all reasonable expenses (including attorneys’ fees and expenses) incurred by the Company (or any Affiliate thereof) in connection with any Transfer or proposed Transfer, whether or not such proposed Transfer is consummated.</w:t>
      </w:r>
    </w:p>
    <w:p>
      <w:pPr>
        <w:spacing w:after="0" w:line="134"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6"/>
          <w:szCs w:val="16"/>
          <w:color w:val="auto"/>
        </w:rPr>
        <w:t>IX.9</w:t>
      </w:r>
      <w:r>
        <w:rPr>
          <w:sz w:val="20"/>
          <w:szCs w:val="20"/>
          <w:color w:val="auto"/>
        </w:rPr>
        <w:tab/>
      </w:r>
      <w:r>
        <w:rPr>
          <w:rFonts w:ascii="Times New Roman" w:cs="Times New Roman" w:eastAsia="Times New Roman" w:hAnsi="Times New Roman"/>
          <w:sz w:val="16"/>
          <w:szCs w:val="16"/>
          <w:u w:val="single" w:color="auto"/>
          <w:color w:val="auto"/>
        </w:rPr>
        <w:t>Exit Events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64" w:lineRule="auto"/>
        <w:tabs>
          <w:tab w:leader="none" w:pos="144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At any time following the date that is seven years after the Original LLCA Effective Date, following the provision of a written directive from either of the Initial Members, the Board shall use its reasonable best efforts to explore the merits of (i) an underwritten public offering pursuant to the Securities Act, on Form S-1 (as defined in the Securities Act) or any successor form as declared effective by the U.S. Securities and Exchange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89" w:name="page190"/>
    <w:bookmarkEnd w:id="189"/>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Commission where the underwriters are of national reputation, (ii) a direct listing, (iii) a SPAC Transaction (each of </w:t>
      </w:r>
      <w:r>
        <w:rPr>
          <w:rFonts w:ascii="Times New Roman" w:cs="Times New Roman" w:eastAsia="Times New Roman" w:hAnsi="Times New Roman"/>
          <w:sz w:val="16"/>
          <w:szCs w:val="16"/>
          <w:u w:val="single" w:color="auto"/>
          <w:color w:val="auto"/>
        </w:rPr>
        <w:t>clauses (i)–(iii)</w:t>
      </w:r>
      <w:r>
        <w:rPr>
          <w:rFonts w:ascii="Times New Roman" w:cs="Times New Roman" w:eastAsia="Times New Roman" w:hAnsi="Times New Roman"/>
          <w:sz w:val="16"/>
          <w:szCs w:val="16"/>
          <w:color w:val="auto"/>
        </w:rPr>
        <w:t>, an “</w:t>
      </w:r>
      <w:r>
        <w:rPr>
          <w:rFonts w:ascii="Times New Roman" w:cs="Times New Roman" w:eastAsia="Times New Roman" w:hAnsi="Times New Roman"/>
          <w:sz w:val="16"/>
          <w:szCs w:val="16"/>
          <w:u w:val="single" w:color="auto"/>
          <w:color w:val="auto"/>
        </w:rPr>
        <w:t>Initial Public Offering</w:t>
      </w:r>
      <w:r>
        <w:rPr>
          <w:rFonts w:ascii="Times New Roman" w:cs="Times New Roman" w:eastAsia="Times New Roman" w:hAnsi="Times New Roman"/>
          <w:sz w:val="16"/>
          <w:szCs w:val="16"/>
          <w:color w:val="auto"/>
        </w:rPr>
        <w:t xml:space="preserve">”) or (iv) a Sale Transaction pursuant to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reasonable best efforts shall include engaging one or more investment banking firms of international reputation to advise the Company with respect to its exploration of the merits of an Initial Public Offering or a Sale Transaction, if applicable.</w:t>
      </w:r>
    </w:p>
    <w:p>
      <w:pPr>
        <w:spacing w:after="0" w:line="134" w:lineRule="exact"/>
        <w:rPr>
          <w:sz w:val="20"/>
          <w:szCs w:val="20"/>
          <w:color w:val="auto"/>
        </w:rPr>
      </w:pPr>
    </w:p>
    <w:p>
      <w:pPr>
        <w:ind w:left="1440" w:hanging="478"/>
        <w:spacing w:after="0"/>
        <w:tabs>
          <w:tab w:leader="none" w:pos="144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2"/>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 Initial Public Offering, the Board may, subject to Major Investor Approval pursuant to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at any time cause</w:t>
      </w:r>
    </w:p>
    <w:p>
      <w:pPr>
        <w:spacing w:after="0" w:line="24" w:lineRule="exact"/>
        <w:rPr>
          <w:rFonts w:ascii="Times New Roman" w:cs="Times New Roman" w:eastAsia="Times New Roman" w:hAnsi="Times New Roman"/>
          <w:sz w:val="16"/>
          <w:szCs w:val="16"/>
          <w:color w:val="auto"/>
        </w:rPr>
      </w:pPr>
    </w:p>
    <w:p>
      <w:pPr>
        <w:jc w:val="both"/>
        <w:ind w:left="480" w:firstLine="1"/>
        <w:spacing w:after="0" w:line="251" w:lineRule="auto"/>
        <w:tabs>
          <w:tab w:leader="none" w:pos="76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of all or a substantial portion of (1) the assets of the Company or any of its Subsidiaries or (2) the Units to a newly organized corporation or other business entity (“</w:t>
      </w:r>
      <w:r>
        <w:rPr>
          <w:rFonts w:ascii="Times New Roman" w:cs="Times New Roman" w:eastAsia="Times New Roman" w:hAnsi="Times New Roman"/>
          <w:sz w:val="16"/>
          <w:szCs w:val="16"/>
          <w:u w:val="single" w:color="auto"/>
          <w:color w:val="auto"/>
        </w:rPr>
        <w:t>Newco</w:t>
      </w:r>
      <w:r>
        <w:rPr>
          <w:rFonts w:ascii="Times New Roman" w:cs="Times New Roman" w:eastAsia="Times New Roman" w:hAnsi="Times New Roman"/>
          <w:sz w:val="16"/>
          <w:szCs w:val="16"/>
          <w:color w:val="auto"/>
        </w:rPr>
        <w:t>”), (B) a merger or consolidation of the Company or any of its Subsidiaries into or with a Newco, (C) a restructuring such that Newco owns less than all of the Units of the Company and effects the Initial Public Offering using an “Up-C” structure, or (D) another restructuring of all or substantially all the assets or Units of the Company into a Newco, including by way of the conversion of the Company into a Delaware corporation (any such corporation, also “</w:t>
      </w:r>
      <w:r>
        <w:rPr>
          <w:rFonts w:ascii="Times New Roman" w:cs="Times New Roman" w:eastAsia="Times New Roman" w:hAnsi="Times New Roman"/>
          <w:sz w:val="16"/>
          <w:szCs w:val="16"/>
          <w:u w:val="single" w:color="auto"/>
          <w:color w:val="auto"/>
        </w:rPr>
        <w:t>Newco</w:t>
      </w:r>
      <w:r>
        <w:rPr>
          <w:rFonts w:ascii="Times New Roman" w:cs="Times New Roman" w:eastAsia="Times New Roman" w:hAnsi="Times New Roman"/>
          <w:sz w:val="16"/>
          <w:szCs w:val="16"/>
          <w:color w:val="auto"/>
        </w:rPr>
        <w:t>”) (and any such transfer, merger, consolidation, distribution or restructuring, as the case may be, an “</w:t>
      </w:r>
      <w:r>
        <w:rPr>
          <w:rFonts w:ascii="Times New Roman" w:cs="Times New Roman" w:eastAsia="Times New Roman" w:hAnsi="Times New Roman"/>
          <w:sz w:val="16"/>
          <w:szCs w:val="16"/>
          <w:u w:val="single" w:color="auto"/>
          <w:color w:val="auto"/>
        </w:rPr>
        <w:t>IPO Restructuring</w:t>
      </w:r>
      <w:r>
        <w:rPr>
          <w:rFonts w:ascii="Times New Roman" w:cs="Times New Roman" w:eastAsia="Times New Roman" w:hAnsi="Times New Roman"/>
          <w:sz w:val="16"/>
          <w:szCs w:val="16"/>
          <w:color w:val="auto"/>
        </w:rPr>
        <w:t xml:space="preserve">”), in any case in anticipation of or otherwise in connection with an Initial Public Offering. At any time that the Board determines to effect an IPO Restructuring, each Member will take such reasonable steps to effect such IPO Restructuring as may be reasonably requested by the Board, including transferring or tendering such Member’s Units to a Newco in exchange or consideration for shares of capital stock or other equity interests of Newco, determined in accordance with the valuation procedures set forth in this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 and entering into customary agreements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stockholder or registration rights agreements, but expressly excluding non-competition agreements or otherwise containing terms that impose obligations or liabilities that are broader than the ones contained herein) to effect the same. In connection with an IPO Restructuring, the Board will exchange, convert or otherwise restructure the Units into, or with (as the case may be), securities of Newco which reflect and are consistent with the terms of the Units as in effect immediately prior to such IPO Restructuring with respect to value, vesting and other rights and restrictions, all as reasonably determined by the Board.</w:t>
      </w:r>
    </w:p>
    <w:p>
      <w:pPr>
        <w:spacing w:after="0" w:line="136" w:lineRule="exact"/>
        <w:rPr>
          <w:rFonts w:ascii="Times New Roman" w:cs="Times New Roman" w:eastAsia="Times New Roman" w:hAnsi="Times New Roman"/>
          <w:sz w:val="16"/>
          <w:szCs w:val="16"/>
          <w:color w:val="auto"/>
        </w:rPr>
      </w:pPr>
    </w:p>
    <w:p>
      <w:pPr>
        <w:jc w:val="both"/>
        <w:ind w:left="480" w:firstLine="962"/>
        <w:spacing w:after="0" w:line="270" w:lineRule="auto"/>
        <w:tabs>
          <w:tab w:leader="none" w:pos="1918"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 IPO Restructuring, the Board will reasonably determine the Fair Market Value of the assets or Units transferred to or merged into Newco, the aggregate Fair Market Value of Newco and the number of shares of capital stock or other equity interests to be issued to each Member in exchange or consideration therefor.</w:t>
      </w:r>
    </w:p>
    <w:p>
      <w:pPr>
        <w:spacing w:after="0" w:line="120"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22"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Member will have the right or power to veto, vote for or against, amend, modify or delay an IPO Restructuring approved by the Board and the Major Investors pursuant to this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 xml:space="preserve">. Subject, for the avoidance of doubt, to the approval of any Initial Public Offering or Sale Transaction by the Major Investors in accordance with </w:t>
      </w:r>
      <w:r>
        <w:rPr>
          <w:rFonts w:ascii="Times New Roman" w:cs="Times New Roman" w:eastAsia="Times New Roman" w:hAnsi="Times New Roman"/>
          <w:sz w:val="16"/>
          <w:szCs w:val="16"/>
          <w:u w:val="single" w:color="auto"/>
          <w:color w:val="auto"/>
        </w:rPr>
        <w:t>Section 6.3(b)(i)</w:t>
      </w:r>
      <w:r>
        <w:rPr>
          <w:rFonts w:ascii="Times New Roman" w:cs="Times New Roman" w:eastAsia="Times New Roman" w:hAnsi="Times New Roman"/>
          <w:sz w:val="16"/>
          <w:szCs w:val="16"/>
          <w:color w:val="auto"/>
        </w:rPr>
        <w:t>, each Member constitutes and appoints the Board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90" w:name="page191"/>
    <w:bookmarkEnd w:id="190"/>
    <w:p>
      <w:pPr>
        <w:jc w:val="both"/>
        <w:ind w:left="480"/>
        <w:spacing w:after="0" w:line="254" w:lineRule="auto"/>
        <w:rPr>
          <w:sz w:val="20"/>
          <w:szCs w:val="20"/>
          <w:color w:val="auto"/>
        </w:rPr>
      </w:pPr>
      <w:r>
        <w:rPr>
          <w:rFonts w:ascii="Times New Roman" w:cs="Times New Roman" w:eastAsia="Times New Roman" w:hAnsi="Times New Roman"/>
          <w:sz w:val="16"/>
          <w:szCs w:val="16"/>
          <w:color w:val="auto"/>
        </w:rPr>
        <w:t xml:space="preserve">its respective designees, with full power of substitution, as such Member’s true and lawful agent and attorney-in-fact, with full power and authority in such Member’s name, place and stead, to act as its proxy in respect of any vote or approval of any Members required to give effect to this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 xml:space="preserve">, including any vote or approval required under the Delaware Act. The foregoing power of attorney is irrevocable and coupled with an interest, and will survive the death, disability, incapacity, dissolution, bankruptcy, insolvency or termination of any Member and the Transfer of all or any portion of such Member’s Units and will extend to such Member’s heirs, successors, assigns and personal representatives. In furtherance of the foregoing, each Member grants an irrevocable proxy (and such proxy is irrevocable and coupled with an interest, and will survive the death, disability, incapacity, dissolution, bankruptcy, insolvency or termination of any Member and the Transfer of all or any portion of such Member’s Units and will extend to such Member’s heirs, successors, assigns and personal representatives) to the Board or its designee to take all actions deemed necessary by the Board or its designee to be taken pursuant to this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firstLine="962"/>
        <w:spacing w:after="0" w:line="280" w:lineRule="auto"/>
        <w:tabs>
          <w:tab w:leader="none" w:pos="14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 In connection with an Initial Public Offering, the Company (or any successor thereto) will enter into a registration rights agreement with the Members with respect to the registration of the equity securities of the Company (or any successor thereto) in form and substance reasonably satisfactory to the Board.</w:t>
      </w:r>
    </w:p>
    <w:p>
      <w:pPr>
        <w:spacing w:after="0" w:line="111" w:lineRule="exact"/>
        <w:rPr>
          <w:rFonts w:ascii="Times New Roman" w:cs="Times New Roman" w:eastAsia="Times New Roman" w:hAnsi="Times New Roman"/>
          <w:sz w:val="16"/>
          <w:szCs w:val="16"/>
          <w:color w:val="auto"/>
        </w:rPr>
      </w:pPr>
    </w:p>
    <w:p>
      <w:pPr>
        <w:jc w:val="both"/>
        <w:ind w:firstLine="962"/>
        <w:spacing w:after="0" w:line="259" w:lineRule="auto"/>
        <w:tabs>
          <w:tab w:leader="none" w:pos="143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Holdback Agreement</w:t>
      </w:r>
      <w:r>
        <w:rPr>
          <w:rFonts w:ascii="Times New Roman" w:cs="Times New Roman" w:eastAsia="Times New Roman" w:hAnsi="Times New Roman"/>
          <w:sz w:val="16"/>
          <w:szCs w:val="16"/>
          <w:color w:val="auto"/>
        </w:rPr>
        <w:t>. In addition to agreeing to any other “lock-up” agreement recommended by the underwriters in a Public Offering, each Member agrees that such Member will not effect any public sale or distribution of any Units or of any capital stock or Equity Securities of the Company or any successor thereto (i) in the case of the Initial Public Offering, during the seven days prior to and the 180-day period beginning on the effective date of such Public Offering and (ii) in the case of any other Public Offering, during the seven days prior to and the 90-day period beginning on the effective date of such Public Offering, in each case, except as part of such Public Offering or unless otherwise permitted by the Company.</w:t>
      </w:r>
    </w:p>
    <w:p>
      <w:pPr>
        <w:spacing w:after="0" w:line="129" w:lineRule="exact"/>
        <w:rPr>
          <w:rFonts w:ascii="Times New Roman" w:cs="Times New Roman" w:eastAsia="Times New Roman" w:hAnsi="Times New Roman"/>
          <w:sz w:val="16"/>
          <w:szCs w:val="16"/>
          <w:color w:val="auto"/>
        </w:rPr>
      </w:pPr>
    </w:p>
    <w:p>
      <w:pPr>
        <w:ind w:firstLine="962"/>
        <w:spacing w:after="0" w:line="280" w:lineRule="auto"/>
        <w:tabs>
          <w:tab w:leader="none" w:pos="14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For the avoidance of doubt, the provisions of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shall terminate automatically and be of no further force and effect upon the consummation of an Initial Public Offering.</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IX.10  </w:t>
      </w:r>
      <w:r>
        <w:rPr>
          <w:rFonts w:ascii="Times New Roman" w:cs="Times New Roman" w:eastAsia="Times New Roman" w:hAnsi="Times New Roman"/>
          <w:sz w:val="16"/>
          <w:szCs w:val="16"/>
          <w:u w:val="single" w:color="auto"/>
          <w:color w:val="auto"/>
        </w:rPr>
        <w:t>Company Approved Sale</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59" w:lineRule="auto"/>
        <w:tabs>
          <w:tab w:leader="none" w:pos="14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Board’s decision to consider a Sale Transaction pursuant to </w:t>
      </w:r>
      <w:r>
        <w:rPr>
          <w:rFonts w:ascii="Times New Roman" w:cs="Times New Roman" w:eastAsia="Times New Roman" w:hAnsi="Times New Roman"/>
          <w:sz w:val="16"/>
          <w:szCs w:val="16"/>
          <w:u w:val="single" w:color="auto"/>
          <w:color w:val="auto"/>
        </w:rPr>
        <w:t>Section 9.9(a)</w:t>
      </w:r>
      <w:r>
        <w:rPr>
          <w:rFonts w:ascii="Times New Roman" w:cs="Times New Roman" w:eastAsia="Times New Roman" w:hAnsi="Times New Roman"/>
          <w:sz w:val="16"/>
          <w:szCs w:val="16"/>
          <w:color w:val="auto"/>
        </w:rPr>
        <w:t>, the Board shall notify each Major Investor of the determination to initiate such sale process (the “</w:t>
      </w:r>
      <w:r>
        <w:rPr>
          <w:rFonts w:ascii="Times New Roman" w:cs="Times New Roman" w:eastAsia="Times New Roman" w:hAnsi="Times New Roman"/>
          <w:sz w:val="16"/>
          <w:szCs w:val="16"/>
          <w:u w:val="single" w:color="auto"/>
          <w:color w:val="auto"/>
        </w:rPr>
        <w:t>Sale Notice</w:t>
      </w:r>
      <w:r>
        <w:rPr>
          <w:rFonts w:ascii="Times New Roman" w:cs="Times New Roman" w:eastAsia="Times New Roman" w:hAnsi="Times New Roman"/>
          <w:sz w:val="16"/>
          <w:szCs w:val="16"/>
          <w:color w:val="auto"/>
        </w:rPr>
        <w:t>”). Upon receipt of the Sale Notice, the Symbotic Member shall have 30 days to elect to make a written proposal for a Sale Transaction to the Board to acquire the Company at the Exit Fair Market Value for each Unit (a “</w:t>
      </w:r>
      <w:r>
        <w:rPr>
          <w:rFonts w:ascii="Times New Roman" w:cs="Times New Roman" w:eastAsia="Times New Roman" w:hAnsi="Times New Roman"/>
          <w:sz w:val="16"/>
          <w:szCs w:val="16"/>
          <w:u w:val="single" w:color="auto"/>
          <w:color w:val="auto"/>
        </w:rPr>
        <w:t>Sale Transaction Offer</w:t>
      </w:r>
      <w:r>
        <w:rPr>
          <w:rFonts w:ascii="Times New Roman" w:cs="Times New Roman" w:eastAsia="Times New Roman" w:hAnsi="Times New Roman"/>
          <w:sz w:val="16"/>
          <w:szCs w:val="16"/>
          <w:color w:val="auto"/>
        </w:rPr>
        <w:t>”). If the Symbotic Member makes a Sale Transaction Offer, the Board shall form a transaction committee composed of each Manager other than the Symbotic Manager (the “</w:t>
      </w:r>
      <w:r>
        <w:rPr>
          <w:rFonts w:ascii="Times New Roman" w:cs="Times New Roman" w:eastAsia="Times New Roman" w:hAnsi="Times New Roman"/>
          <w:sz w:val="16"/>
          <w:szCs w:val="16"/>
          <w:u w:val="single" w:color="auto"/>
          <w:color w:val="auto"/>
        </w:rPr>
        <w:t>Transaction Committee</w:t>
      </w:r>
      <w:r>
        <w:rPr>
          <w:rFonts w:ascii="Times New Roman" w:cs="Times New Roman" w:eastAsia="Times New Roman" w:hAnsi="Times New Roman"/>
          <w:sz w:val="16"/>
          <w:szCs w:val="16"/>
          <w:color w:val="auto"/>
        </w:rPr>
        <w:t>”) and shall delegate authority to the Transaction Committee to finalize a Sale Transaction with the Symbotic Member with respect to such Sale Transaction Offer. If a definitive agreement with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91" w:name="page192"/>
    <w:bookmarkEnd w:id="191"/>
    <w:p>
      <w:pPr>
        <w:spacing w:after="0" w:line="280" w:lineRule="auto"/>
        <w:rPr>
          <w:sz w:val="20"/>
          <w:szCs w:val="20"/>
          <w:color w:val="auto"/>
        </w:rPr>
      </w:pPr>
      <w:r>
        <w:rPr>
          <w:rFonts w:ascii="Times New Roman" w:cs="Times New Roman" w:eastAsia="Times New Roman" w:hAnsi="Times New Roman"/>
          <w:sz w:val="16"/>
          <w:szCs w:val="16"/>
          <w:color w:val="auto"/>
        </w:rPr>
        <w:t xml:space="preserve">respect to such Sale Transaction is executed with Major Investor Approval pursuant to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the Symbotic Member, the other Members and the Company shall use their commercially reasonable efforts to consummate such Sale Transaction.</w:t>
      </w:r>
    </w:p>
    <w:p>
      <w:pPr>
        <w:spacing w:after="0" w:line="112" w:lineRule="exact"/>
        <w:rPr>
          <w:sz w:val="20"/>
          <w:szCs w:val="20"/>
          <w:color w:val="auto"/>
        </w:rPr>
      </w:pPr>
    </w:p>
    <w:p>
      <w:pPr>
        <w:jc w:val="both"/>
        <w:ind w:firstLine="962"/>
        <w:spacing w:after="0" w:line="257" w:lineRule="auto"/>
        <w:tabs>
          <w:tab w:leader="none" w:pos="143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the Symbotic Member declines to make a Sale Transaction Offer in the applicable periods set forth herein, (ii) definitive agreements in respect of a Sale Transaction Offer are not executed between the Company and the Symbotic Member within three months of the Company’s receipt of a Sale Transaction Offer or (iii) a Sale Transaction by the Symbotic Member or its designees in accordance with the terms of the Sale Transaction Offer is not consummated within six months of the execution of definitive agreements in respect of the Sale Transaction Offer (subject to extension, for up to 90 days, for required regulatory appeals), then the Company shall be permitted to solicit offers for a Sale Transaction for a six month period thereafter, with the receipt of any Third Party Offer to constitute a Third Party Offer subject to the provisions of </w:t>
      </w:r>
      <w:r>
        <w:rPr>
          <w:rFonts w:ascii="Times New Roman" w:cs="Times New Roman" w:eastAsia="Times New Roman" w:hAnsi="Times New Roman"/>
          <w:sz w:val="16"/>
          <w:szCs w:val="16"/>
          <w:u w:val="single" w:color="auto"/>
          <w:color w:val="auto"/>
        </w:rPr>
        <w:t>Section 9.10(c)</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firstLine="962"/>
        <w:spacing w:after="0" w:line="253" w:lineRule="auto"/>
        <w:tabs>
          <w:tab w:leader="none" w:pos="144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receives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 from any Third Party Purchaser with respect to a Sale Transaction (the “</w:t>
      </w:r>
      <w:r>
        <w:rPr>
          <w:rFonts w:ascii="Times New Roman" w:cs="Times New Roman" w:eastAsia="Times New Roman" w:hAnsi="Times New Roman"/>
          <w:sz w:val="16"/>
          <w:szCs w:val="16"/>
          <w:u w:val="single" w:color="auto"/>
          <w:color w:val="auto"/>
        </w:rPr>
        <w:t>Third Party Offer</w:t>
      </w:r>
      <w:r>
        <w:rPr>
          <w:rFonts w:ascii="Times New Roman" w:cs="Times New Roman" w:eastAsia="Times New Roman" w:hAnsi="Times New Roman"/>
          <w:sz w:val="16"/>
          <w:szCs w:val="16"/>
          <w:color w:val="auto"/>
        </w:rPr>
        <w:t xml:space="preserve">”) in connection with a sale process that the Board initiates pursuant to </w:t>
      </w:r>
      <w:r>
        <w:rPr>
          <w:rFonts w:ascii="Times New Roman" w:cs="Times New Roman" w:eastAsia="Times New Roman" w:hAnsi="Times New Roman"/>
          <w:sz w:val="16"/>
          <w:szCs w:val="16"/>
          <w:u w:val="single" w:color="auto"/>
          <w:color w:val="auto"/>
        </w:rPr>
        <w:t>Section 9.10(a)</w:t>
      </w:r>
      <w:r>
        <w:rPr>
          <w:rFonts w:ascii="Times New Roman" w:cs="Times New Roman" w:eastAsia="Times New Roman" w:hAnsi="Times New Roman"/>
          <w:sz w:val="16"/>
          <w:szCs w:val="16"/>
          <w:color w:val="auto"/>
        </w:rPr>
        <w:t>, (i) the Company will provide prompt notice thereof to each Major Investor, and (ii) to the extent that the Company has not entered into a definitive agreement with respect to a Sale Transaction Offer at such time, the Company shall have the right to conduct any discussions or negotiations with the Third Party Purchaser making the Third Party Offer and the Company may solicit and receive a final offer of key terms in connection with the Third Party Offer (the “</w:t>
      </w:r>
      <w:r>
        <w:rPr>
          <w:rFonts w:ascii="Times New Roman" w:cs="Times New Roman" w:eastAsia="Times New Roman" w:hAnsi="Times New Roman"/>
          <w:sz w:val="16"/>
          <w:szCs w:val="16"/>
          <w:u w:val="single" w:color="auto"/>
          <w:color w:val="auto"/>
        </w:rPr>
        <w:t>Final Third Party Offer</w:t>
      </w:r>
      <w:r>
        <w:rPr>
          <w:rFonts w:ascii="Times New Roman" w:cs="Times New Roman" w:eastAsia="Times New Roman" w:hAnsi="Times New Roman"/>
          <w:sz w:val="16"/>
          <w:szCs w:val="16"/>
          <w:color w:val="auto"/>
        </w:rPr>
        <w:t xml:space="preserve">”). The Company shall be permitted to, if the Board or the Transaction Committee, as applicable, has reasonably determined that a Third Party Purchaser’s Final Third Party Offer is more favorable to the Members of the Company in the aggregate than the Symbotic Member’s Sale Transaction Offer, if any, and the Company has not entered into a definitive agreement with respect to a Sale Transaction Offer at such time, negotiate and, subject to Major Investor Approval pursuant to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consummate a transaction within six months of acceptance of a Final Third Party Offer (subject to extension, for up to 90 days, for required regulatory appeals) with such Third Party Purchaser on terms substantially the same as those contained in the Final Third Party Offer, and such transaction shall constitute an Approved Sale in accordance with the terms hereof in all respects.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IX.11  </w:t>
      </w:r>
      <w:r>
        <w:rPr>
          <w:rFonts w:ascii="Times New Roman" w:cs="Times New Roman" w:eastAsia="Times New Roman" w:hAnsi="Times New Roman"/>
          <w:sz w:val="16"/>
          <w:szCs w:val="16"/>
          <w:u w:val="single" w:color="auto"/>
          <w:color w:val="auto"/>
        </w:rPr>
        <w:t>Security Interests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1440" w:hanging="478"/>
        <w:spacing w:after="0"/>
        <w:tabs>
          <w:tab w:leader="none" w:pos="144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 with respect to the SB Member, the date on which the Funded Commitment Amount of the SB Member equals or exceeds $1,500,000,000 or</w:t>
      </w:r>
    </w:p>
    <w:p>
      <w:pPr>
        <w:spacing w:after="0" w:line="24" w:lineRule="exact"/>
        <w:rPr>
          <w:rFonts w:ascii="Times New Roman" w:cs="Times New Roman" w:eastAsia="Times New Roman" w:hAnsi="Times New Roman"/>
          <w:sz w:val="16"/>
          <w:szCs w:val="16"/>
          <w:color w:val="auto"/>
        </w:rPr>
      </w:pPr>
    </w:p>
    <w:p>
      <w:pPr>
        <w:jc w:val="both"/>
        <w:spacing w:after="0" w:line="251" w:lineRule="auto"/>
        <w:tabs>
          <w:tab w:leader="none" w:pos="24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other Member, the date on which the Funded Commitment Amount of such Member equals or exceeds $400,000,000 (each such Member, a “</w:t>
      </w:r>
      <w:r>
        <w:rPr>
          <w:rFonts w:ascii="Times New Roman" w:cs="Times New Roman" w:eastAsia="Times New Roman" w:hAnsi="Times New Roman"/>
          <w:sz w:val="16"/>
          <w:szCs w:val="16"/>
          <w:u w:val="single" w:color="auto"/>
          <w:color w:val="auto"/>
        </w:rPr>
        <w:t>Granting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the applicable Granting Member shall be permitted to grant a security interest, lien, pledge or similar form of encumbrance to one or more commercial banks, trust companies or alternative credit providers (such lenders, the “</w:t>
      </w:r>
      <w:r>
        <w:rPr>
          <w:rFonts w:ascii="Times New Roman" w:cs="Times New Roman" w:eastAsia="Times New Roman" w:hAnsi="Times New Roman"/>
          <w:sz w:val="16"/>
          <w:szCs w:val="16"/>
          <w:u w:val="single" w:color="auto"/>
          <w:color w:val="auto"/>
        </w:rPr>
        <w:t>Granting Member’s Financial Institutions</w:t>
      </w:r>
      <w:r>
        <w:rPr>
          <w:rFonts w:ascii="Times New Roman" w:cs="Times New Roman" w:eastAsia="Times New Roman" w:hAnsi="Times New Roman"/>
          <w:sz w:val="16"/>
          <w:szCs w:val="16"/>
          <w:color w:val="auto"/>
        </w:rPr>
        <w:t>”) as collateral in respect of indebtedness for borrowed money that is used to fund the costs of acquiring Equity Securities, Capital Contributions, other equity interests in such member’s Portfolio Companies or capital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92" w:name="page193"/>
    <w:bookmarkEnd w:id="192"/>
    <w:p>
      <w:pPr>
        <w:jc w:val="both"/>
        <w:spacing w:after="0" w:line="257" w:lineRule="auto"/>
        <w:rPr>
          <w:sz w:val="20"/>
          <w:szCs w:val="20"/>
          <w:color w:val="auto"/>
        </w:rPr>
      </w:pPr>
      <w:r>
        <w:rPr>
          <w:rFonts w:ascii="Times New Roman" w:cs="Times New Roman" w:eastAsia="Times New Roman" w:hAnsi="Times New Roman"/>
          <w:sz w:val="16"/>
          <w:szCs w:val="16"/>
          <w:color w:val="auto"/>
        </w:rPr>
        <w:t>contributions with respect thereto, or the recapitalization of such Member, or any refinancing thereof, on all or any part of its Units or direct or indirect equity interests in such Member or its parent entities (but not assets or properties of the Company or any of its Subsidiaries) without the consent of the Board or any other Member under this Agreement (such security interest, a “</w:t>
      </w:r>
      <w:r>
        <w:rPr>
          <w:rFonts w:ascii="Times New Roman" w:cs="Times New Roman" w:eastAsia="Times New Roman" w:hAnsi="Times New Roman"/>
          <w:sz w:val="16"/>
          <w:szCs w:val="16"/>
          <w:u w:val="single" w:color="auto"/>
          <w:color w:val="auto"/>
        </w:rPr>
        <w:t>Permitted Security Interest</w:t>
      </w:r>
      <w:r>
        <w:rPr>
          <w:rFonts w:ascii="Times New Roman" w:cs="Times New Roman" w:eastAsia="Times New Roman" w:hAnsi="Times New Roman"/>
          <w:sz w:val="16"/>
          <w:szCs w:val="16"/>
          <w:color w:val="auto"/>
        </w:rPr>
        <w:t xml:space="preserve">”). In the event of any foreclosure or similar action by the Granting Member’s Financial Institutions on the Permitted Security Interest, notwithstanding anything in this Agreement to the contrary,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Granting Member’s Financial Institution is not a Symbotic Competitor, the Granting Member’s Financial Institutions may effect a foreclosure and assume all of the rights of such Member under this Agreement without the consent of the Board or any other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prior to any such foreclosure upon the Units (or the beneficial ownership thereof) owned by a Member:</w:t>
      </w:r>
    </w:p>
    <w:p>
      <w:pPr>
        <w:spacing w:after="0" w:line="130" w:lineRule="exact"/>
        <w:rPr>
          <w:sz w:val="20"/>
          <w:szCs w:val="20"/>
          <w:color w:val="auto"/>
        </w:rPr>
      </w:pPr>
    </w:p>
    <w:p>
      <w:pPr>
        <w:ind w:left="480" w:firstLine="962"/>
        <w:spacing w:after="0" w:line="280" w:lineRule="auto"/>
        <w:tabs>
          <w:tab w:leader="none" w:pos="1913" w:val="left"/>
        </w:tabs>
        <w:numPr>
          <w:ilvl w:val="2"/>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Granting Member’s Financial Institutions shall give 60 days’ (the “</w:t>
      </w:r>
      <w:r>
        <w:rPr>
          <w:rFonts w:ascii="Times New Roman" w:cs="Times New Roman" w:eastAsia="Times New Roman" w:hAnsi="Times New Roman"/>
          <w:sz w:val="16"/>
          <w:szCs w:val="16"/>
          <w:u w:val="single" w:color="auto"/>
          <w:color w:val="auto"/>
        </w:rPr>
        <w:t>Foreclosure Period</w:t>
      </w:r>
      <w:r>
        <w:rPr>
          <w:rFonts w:ascii="Times New Roman" w:cs="Times New Roman" w:eastAsia="Times New Roman" w:hAnsi="Times New Roman"/>
          <w:sz w:val="16"/>
          <w:szCs w:val="16"/>
          <w:color w:val="auto"/>
        </w:rPr>
        <w:t>”) written notice to the Board of its intention to foreclose upon such Member’s Units;</w:t>
      </w:r>
    </w:p>
    <w:p>
      <w:pPr>
        <w:spacing w:after="0" w:line="121" w:lineRule="exact"/>
        <w:rPr>
          <w:rFonts w:ascii="Times New Roman" w:cs="Times New Roman" w:eastAsia="Times New Roman" w:hAnsi="Times New Roman"/>
          <w:sz w:val="16"/>
          <w:szCs w:val="16"/>
          <w:color w:val="auto"/>
        </w:rPr>
      </w:pPr>
    </w:p>
    <w:p>
      <w:pPr>
        <w:jc w:val="both"/>
        <w:ind w:left="480" w:firstLine="962"/>
        <w:spacing w:after="0" w:line="280" w:lineRule="auto"/>
        <w:tabs>
          <w:tab w:leader="none" w:pos="1918" w:val="left"/>
        </w:tabs>
        <w:numPr>
          <w:ilvl w:val="2"/>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Foreclosure Period, the Granting Member’s Financial Institutions shall not be entitled to exercise any rights of such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such Member, as applicable, shall continue to exercise such rights during the Foreclosure Period subject to the terms of this Agreement;</w:t>
      </w:r>
    </w:p>
    <w:p>
      <w:pPr>
        <w:spacing w:after="0" w:line="111" w:lineRule="exact"/>
        <w:rPr>
          <w:rFonts w:ascii="Times New Roman" w:cs="Times New Roman" w:eastAsia="Times New Roman" w:hAnsi="Times New Roman"/>
          <w:sz w:val="16"/>
          <w:szCs w:val="16"/>
          <w:color w:val="auto"/>
        </w:rPr>
      </w:pPr>
    </w:p>
    <w:p>
      <w:pPr>
        <w:jc w:val="both"/>
        <w:ind w:left="480" w:firstLine="962"/>
        <w:spacing w:after="0" w:line="254" w:lineRule="auto"/>
        <w:tabs>
          <w:tab w:leader="none" w:pos="1922" w:val="left"/>
        </w:tabs>
        <w:numPr>
          <w:ilvl w:val="2"/>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expiration of the Foreclosure Period, the Company may, and if the Company declines to, any Major Investor that is not the Granting Member may, upon written notice to the Granting Member’s Financial Institutions and such Granting Member, elect to purchase (the “</w:t>
      </w:r>
      <w:r>
        <w:rPr>
          <w:rFonts w:ascii="Times New Roman" w:cs="Times New Roman" w:eastAsia="Times New Roman" w:hAnsi="Times New Roman"/>
          <w:sz w:val="16"/>
          <w:szCs w:val="16"/>
          <w:u w:val="single" w:color="auto"/>
          <w:color w:val="auto"/>
        </w:rPr>
        <w:t>Default Call Right</w:t>
      </w:r>
      <w:r>
        <w:rPr>
          <w:rFonts w:ascii="Times New Roman" w:cs="Times New Roman" w:eastAsia="Times New Roman" w:hAnsi="Times New Roman"/>
          <w:sz w:val="16"/>
          <w:szCs w:val="16"/>
          <w:color w:val="auto"/>
        </w:rPr>
        <w:t>”) all of such Granting Member’s Units, free and clear of all Liens, in exchange for aggregate consideration equal to the greater of (x) the Exit Fair Market Value and (y) the aggregate outstanding obligations owed to such Granting Member’s Financial Institutions, including principal, any accrued and unpaid interest (including default interest), prepayment premiums and other premiums, fees (including agency fees), expenses (including counsels’ fees) and any other amounts (including any breakage, settlement, termination and other amounts due under the hedges with such Granting Member’s Financial Institutions) other than contingent liabilities not then due and payable owed to such Granting Member’s Financial Institutions, which Default Call Right shall be consummated within 60 days following the receipt by the Granting Member’s Financial Institutions and such Member of such notice.</w:t>
      </w:r>
    </w:p>
    <w:p>
      <w:pPr>
        <w:spacing w:after="0" w:line="134" w:lineRule="exact"/>
        <w:rPr>
          <w:rFonts w:ascii="Times New Roman" w:cs="Times New Roman" w:eastAsia="Times New Roman" w:hAnsi="Times New Roman"/>
          <w:sz w:val="16"/>
          <w:szCs w:val="16"/>
          <w:color w:val="auto"/>
        </w:rPr>
      </w:pPr>
    </w:p>
    <w:p>
      <w:pPr>
        <w:jc w:val="both"/>
        <w:ind w:firstLine="962"/>
        <w:spacing w:after="0" w:line="260" w:lineRule="auto"/>
        <w:tabs>
          <w:tab w:leader="none" w:pos="1439"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upon the receipt of a written request from the Granting Member or any of the Granting Member’s Financial Institutions, execute, or arrange for the delivery of, such certificates and other documents as may be reasonably necessary in order for such Granting Member to consummate any financing or refinancing;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case shall the Company or any other Members (directly or indirectly) be required to (i) assume any additional liabilities, obligations or costs or</w:t>
      </w:r>
    </w:p>
    <w:p>
      <w:pPr>
        <w:ind w:left="240" w:hanging="240"/>
        <w:spacing w:after="0"/>
        <w:tabs>
          <w:tab w:leader="none" w:pos="24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any legal opinions other than as to (A) due authorization and execution of the documents by the Company and (B) other customary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color w:val="auto"/>
        </w:rPr>
        <w:t>opinions subject to customary limitations and disclaimers, in each case, the reasonable costs of which will be reimbursed by the Granting Member.</w:t>
      </w:r>
    </w:p>
    <w:p>
      <w:pPr>
        <w:spacing w:after="0" w:line="167" w:lineRule="exact"/>
        <w:rPr>
          <w:sz w:val="20"/>
          <w:szCs w:val="20"/>
          <w:color w:val="auto"/>
        </w:rPr>
      </w:pPr>
    </w:p>
    <w:p>
      <w:pPr>
        <w:jc w:val="both"/>
        <w:ind w:firstLine="962"/>
        <w:spacing w:after="0" w:line="263" w:lineRule="auto"/>
        <w:tabs>
          <w:tab w:leader="none" w:pos="14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a Granting Member’s Financial Institutions foreclose upon a Granting Member’s Units, such Granting Member’s Financial Institutions shall be admitted as a Member and shall be entitled to exercise any rights of the Granting Member hereunder, except that, for the avoidance of doubt, such Granting Member’s Financial Institutions shall not be permitted to exercise any rights attributed to an Initial Member, which shall only be exercisable by the original Initial Member pursuant to </w:t>
      </w:r>
      <w:r>
        <w:rPr>
          <w:rFonts w:ascii="Times New Roman" w:cs="Times New Roman" w:eastAsia="Times New Roman" w:hAnsi="Times New Roman"/>
          <w:sz w:val="16"/>
          <w:szCs w:val="16"/>
          <w:u w:val="single" w:color="auto"/>
          <w:color w:val="auto"/>
        </w:rPr>
        <w:t>Section 9.1(f)</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IX.12 </w:t>
      </w:r>
      <w:r>
        <w:rPr>
          <w:rFonts w:ascii="Times New Roman" w:cs="Times New Roman" w:eastAsia="Times New Roman" w:hAnsi="Times New Roman"/>
          <w:sz w:val="16"/>
          <w:szCs w:val="16"/>
          <w:u w:val="single" w:color="auto"/>
          <w:color w:val="auto"/>
        </w:rPr>
        <w:t>Blocker Corporation Sale</w:t>
      </w:r>
      <w:r>
        <w:rPr>
          <w:rFonts w:ascii="Times New Roman" w:cs="Times New Roman" w:eastAsia="Times New Roman" w:hAnsi="Times New Roman"/>
          <w:sz w:val="16"/>
          <w:szCs w:val="16"/>
          <w:color w:val="auto"/>
        </w:rPr>
        <w:t>. Notwithstanding anything contained herein to the contrary, in connection with any Transfer of Units or sale of any assets of the Company, the Members and the Company shall structure such Transfer in a manner that results in a disposition of the securities of any Blocker Corporation, rather than a disposition of the Units or the assets of the Company owned, directly or indirectly, by such Blocker Corporation, and the owners of such securities of such Blocker Corporation shall be entitled to receive the same portion of the aggregate consideration that such Blocker Corporation would have received had the interests in the Company owned, directly or indirectly, by such Blocker Corporation been Transferred.</w:t>
      </w:r>
    </w:p>
    <w:p>
      <w:pPr>
        <w:spacing w:after="0" w:line="1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X</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ADMISSION OF MEMBERS</w:t>
      </w:r>
    </w:p>
    <w:p>
      <w:pPr>
        <w:spacing w:after="0" w:line="149"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X.1 </w:t>
      </w:r>
      <w:r>
        <w:rPr>
          <w:rFonts w:ascii="Times New Roman" w:cs="Times New Roman" w:eastAsia="Times New Roman" w:hAnsi="Times New Roman"/>
          <w:sz w:val="16"/>
          <w:szCs w:val="16"/>
          <w:u w:val="single" w:color="auto"/>
          <w:color w:val="auto"/>
        </w:rPr>
        <w:t>Substituted Members</w:t>
      </w:r>
      <w:r>
        <w:rPr>
          <w:rFonts w:ascii="Times New Roman" w:cs="Times New Roman" w:eastAsia="Times New Roman" w:hAnsi="Times New Roman"/>
          <w:sz w:val="16"/>
          <w:szCs w:val="16"/>
          <w:color w:val="auto"/>
        </w:rPr>
        <w:t xml:space="preserve">. In connection with any Transfer of Units permitted by and in accordance with the terms of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the Transferee will become a Substituted Member on the later of (a) the effective date of such Transfer and (b) the date on which the Board approves such Transferee as a Substituted Member, and such admission will be shown on the books and records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connection with the Transfer of Units of a Member to a Permitted Transferee permitted under the terms of this Agreement, the Transferee will become a Substituted Member on the effective date of such Transfer.</w:t>
      </w:r>
    </w:p>
    <w:p>
      <w:pPr>
        <w:spacing w:after="0" w:line="125"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 xml:space="preserve">X.2 </w:t>
      </w:r>
      <w:r>
        <w:rPr>
          <w:rFonts w:ascii="Times New Roman" w:cs="Times New Roman" w:eastAsia="Times New Roman" w:hAnsi="Times New Roman"/>
          <w:sz w:val="16"/>
          <w:szCs w:val="16"/>
          <w:u w:val="single" w:color="auto"/>
          <w:color w:val="auto"/>
        </w:rPr>
        <w:t>Additional Members</w:t>
      </w:r>
      <w:r>
        <w:rPr>
          <w:rFonts w:ascii="Times New Roman" w:cs="Times New Roman" w:eastAsia="Times New Roman" w:hAnsi="Times New Roman"/>
          <w:sz w:val="16"/>
          <w:szCs w:val="16"/>
          <w:color w:val="auto"/>
        </w:rPr>
        <w:t>. A Person may be admitted to the Company as a new Member after the Effective Date (an “</w:t>
      </w:r>
      <w:r>
        <w:rPr>
          <w:rFonts w:ascii="Times New Roman" w:cs="Times New Roman" w:eastAsia="Times New Roman" w:hAnsi="Times New Roman"/>
          <w:sz w:val="16"/>
          <w:szCs w:val="16"/>
          <w:u w:val="single" w:color="auto"/>
          <w:color w:val="auto"/>
        </w:rPr>
        <w:t>Additional Member</w:t>
      </w:r>
      <w:r>
        <w:rPr>
          <w:rFonts w:ascii="Times New Roman" w:cs="Times New Roman" w:eastAsia="Times New Roman" w:hAnsi="Times New Roman"/>
          <w:sz w:val="16"/>
          <w:szCs w:val="16"/>
          <w:color w:val="auto"/>
        </w:rPr>
        <w:t>”) only upon furnishing to the Company (a) a Joinder Agreement and (b) such other documents or instruments as may be deemed necessary or appropriate by the Board. Such admission will become effective on the date on which the Board determines that the foregoing conditions have been satisfied and when any such admission is shown on the books and records of the Company.</w:t>
      </w:r>
    </w:p>
    <w:p>
      <w:pPr>
        <w:spacing w:after="0" w:line="1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XI</w:t>
      </w:r>
    </w:p>
    <w:p>
      <w:pPr>
        <w:spacing w:after="0" w:line="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WITHDRAWAL AND RESIGNATION OF MEMBERS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No Member will have the power or right to withdraw or otherwise resign from the Company prior to the dissolution and winding up of the Company pursuant to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xml:space="preserve"> without the prior written consent of the Board (which consent may be withheld by the Board), except as otherwise expressly permitted by this Agreement. Upon a Transfer of all of a Member’s Units in a Transfer permitted by this Agreement, subject to the provisions of </w:t>
      </w:r>
      <w:r>
        <w:rPr>
          <w:rFonts w:ascii="Times New Roman" w:cs="Times New Roman" w:eastAsia="Times New Roman" w:hAnsi="Times New Roman"/>
          <w:sz w:val="16"/>
          <w:szCs w:val="16"/>
          <w:u w:val="single" w:color="auto"/>
          <w:color w:val="auto"/>
        </w:rPr>
        <w:t>Sections 9.1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9.5</w:t>
      </w:r>
      <w:r>
        <w:rPr>
          <w:rFonts w:ascii="Times New Roman" w:cs="Times New Roman" w:eastAsia="Times New Roman" w:hAnsi="Times New Roman"/>
          <w:sz w:val="16"/>
          <w:szCs w:val="16"/>
          <w:color w:val="auto"/>
        </w:rPr>
        <w:t>, such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94" w:name="page195"/>
    <w:bookmarkEnd w:id="194"/>
    <w:p>
      <w:pPr>
        <w:spacing w:after="0" w:line="280" w:lineRule="auto"/>
        <w:rPr>
          <w:sz w:val="20"/>
          <w:szCs w:val="20"/>
          <w:color w:val="auto"/>
        </w:rPr>
      </w:pPr>
      <w:r>
        <w:rPr>
          <w:rFonts w:ascii="Times New Roman" w:cs="Times New Roman" w:eastAsia="Times New Roman" w:hAnsi="Times New Roman"/>
          <w:sz w:val="16"/>
          <w:szCs w:val="16"/>
          <w:color w:val="auto"/>
        </w:rPr>
        <w:t>Member will cease to be a Member. In the case of a Transfer by a Member of less than all such Member’s Units, such Member’s Capital Account (and corresponding voting and other rights) will be reduced proportionately for all other purposes hereunder upon the effective time of such Transfer.</w:t>
      </w:r>
    </w:p>
    <w:p>
      <w:pPr>
        <w:spacing w:after="0" w:line="1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XII</w:t>
      </w:r>
    </w:p>
    <w:p>
      <w:pPr>
        <w:spacing w:after="0" w:line="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DISSOLUTION AND LIQUIDATION</w:t>
      </w:r>
    </w:p>
    <w:p>
      <w:pPr>
        <w:spacing w:after="0" w:line="158" w:lineRule="exact"/>
        <w:rPr>
          <w:sz w:val="20"/>
          <w:szCs w:val="20"/>
          <w:color w:val="auto"/>
        </w:rPr>
      </w:pPr>
    </w:p>
    <w:p>
      <w:pPr>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XII.1 </w:t>
      </w:r>
      <w:r>
        <w:rPr>
          <w:rFonts w:ascii="Times New Roman" w:cs="Times New Roman" w:eastAsia="Times New Roman" w:hAnsi="Times New Roman"/>
          <w:sz w:val="16"/>
          <w:szCs w:val="16"/>
          <w:u w:val="single" w:color="auto"/>
          <w:color w:val="auto"/>
        </w:rPr>
        <w:t>Dissolution</w:t>
      </w:r>
      <w:r>
        <w:rPr>
          <w:rFonts w:ascii="Times New Roman" w:cs="Times New Roman" w:eastAsia="Times New Roman" w:hAnsi="Times New Roman"/>
          <w:sz w:val="16"/>
          <w:szCs w:val="16"/>
          <w:color w:val="auto"/>
        </w:rPr>
        <w:t>. The Company will not be dissolved by the admission of Additional Members or Substituted Members. The Company will dissolve, and its affairs will be wound up upon the first of the following to occur:</w:t>
      </w:r>
    </w:p>
    <w:p>
      <w:pPr>
        <w:spacing w:after="0" w:line="112" w:lineRule="exact"/>
        <w:rPr>
          <w:sz w:val="20"/>
          <w:szCs w:val="20"/>
          <w:color w:val="auto"/>
        </w:rPr>
      </w:pPr>
    </w:p>
    <w:p>
      <w:pPr>
        <w:ind w:left="1440" w:hanging="478"/>
        <w:spacing w:after="0"/>
        <w:tabs>
          <w:tab w:leader="none" w:pos="14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 Member Consent in accordance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that the Company will dissolve and its affairs will be wound up;</w:t>
      </w:r>
    </w:p>
    <w:p>
      <w:pPr>
        <w:spacing w:after="0" w:line="166" w:lineRule="exact"/>
        <w:rPr>
          <w:rFonts w:ascii="Times New Roman" w:cs="Times New Roman" w:eastAsia="Times New Roman" w:hAnsi="Times New Roman"/>
          <w:sz w:val="16"/>
          <w:szCs w:val="16"/>
          <w:color w:val="auto"/>
        </w:rPr>
      </w:pPr>
    </w:p>
    <w:p>
      <w:pPr>
        <w:jc w:val="both"/>
        <w:ind w:firstLine="962"/>
        <w:spacing w:after="0" w:line="270" w:lineRule="auto"/>
        <w:tabs>
          <w:tab w:leader="none" w:pos="143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reasonable period of time (taking into account, among other matters, the need to determine, pay or discharge, or make adequate provision for the payment or discharge of, contingent liabilities) after the consummation of a transaction or a series of related transactions that constitute a Sale Transaction under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of the definition thereof;</w:t>
      </w:r>
    </w:p>
    <w:p>
      <w:pPr>
        <w:spacing w:after="0" w:line="120"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when there are no Members, unless the Company is continued without dissolution in the manner permitted by Section 18-801 of the</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Delaware Act; or</w:t>
      </w:r>
    </w:p>
    <w:p>
      <w:pPr>
        <w:spacing w:after="0" w:line="148" w:lineRule="exact"/>
        <w:rPr>
          <w:rFonts w:ascii="Times New Roman" w:cs="Times New Roman" w:eastAsia="Times New Roman" w:hAnsi="Times New Roman"/>
          <w:sz w:val="16"/>
          <w:szCs w:val="16"/>
          <w:color w:val="auto"/>
        </w:rPr>
      </w:pPr>
    </w:p>
    <w:p>
      <w:pPr>
        <w:ind w:left="1440" w:hanging="478"/>
        <w:spacing w:after="0"/>
        <w:tabs>
          <w:tab w:leader="none" w:pos="14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of a decree of judicial dissolution of the Company under Section 18-802 of the Delaware Act.</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Except as otherwise set forth in this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xml:space="preserve">, the Company is intended to have perpetual existence. An Event of Withdrawal will not cause dissolution of the Company (except as otherwise set forth in this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and the Company will continue in existence subject to the terms of this Agreement.</w:t>
      </w:r>
    </w:p>
    <w:p>
      <w:pPr>
        <w:spacing w:after="0" w:line="82"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XII.2 </w:t>
      </w:r>
      <w:r>
        <w:rPr>
          <w:rFonts w:ascii="Times New Roman" w:cs="Times New Roman" w:eastAsia="Times New Roman" w:hAnsi="Times New Roman"/>
          <w:sz w:val="16"/>
          <w:szCs w:val="16"/>
          <w:u w:val="single" w:color="auto"/>
          <w:color w:val="auto"/>
        </w:rPr>
        <w:t>Liquidation and Termination</w:t>
      </w:r>
      <w:r>
        <w:rPr>
          <w:rFonts w:ascii="Times New Roman" w:cs="Times New Roman" w:eastAsia="Times New Roman" w:hAnsi="Times New Roman"/>
          <w:sz w:val="16"/>
          <w:szCs w:val="16"/>
          <w:color w:val="auto"/>
        </w:rPr>
        <w:t xml:space="preserve">. On the dissolution of the Company, the Board or its designee will act as liquidator or may appoint one or more representatives, Members or other Persons as liquidator(s). Until the final Distribution, the business and affairs of the Company will continue to be governed by the provisions of this Agreement, with the management of the Company continuing as provided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The liquidator(s) will proceed diligently to wind up the affairs of the Company and make final Distributions as provided herein and in the Delaware Act. The costs of liquidation will be borne as the Company’s expense. The steps to be accomplished by the liquidators are as follows:</w:t>
      </w:r>
    </w:p>
    <w:p>
      <w:pPr>
        <w:spacing w:after="0" w:line="129" w:lineRule="exact"/>
        <w:rPr>
          <w:sz w:val="20"/>
          <w:szCs w:val="20"/>
          <w:color w:val="auto"/>
        </w:rPr>
      </w:pPr>
    </w:p>
    <w:p>
      <w:pPr>
        <w:jc w:val="both"/>
        <w:ind w:firstLine="962"/>
        <w:spacing w:after="0" w:line="270" w:lineRule="auto"/>
        <w:tabs>
          <w:tab w:leader="none" w:pos="14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liquidators will pay, satisfy or discharge from the Company’s funds all of the debts, liabilities and obligations of the Company (including all expenses incurred in liquidation) or otherwise make adequate provision for payment and discharge thereof (including the establishment of a cash fund for contingent liabilities in such amount and for such term as the liquidators may determine);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95" w:name="page196"/>
    <w:bookmarkEnd w:id="195"/>
    <w:p>
      <w:pPr>
        <w:jc w:val="both"/>
        <w:ind w:firstLine="962"/>
        <w:spacing w:after="0" w:line="259" w:lineRule="auto"/>
        <w:tabs>
          <w:tab w:leader="none" w:pos="1439"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dissolution, the liquidators will (i) determine the Fair Market Value (the “</w:t>
      </w:r>
      <w:r>
        <w:rPr>
          <w:rFonts w:ascii="Times New Roman" w:cs="Times New Roman" w:eastAsia="Times New Roman" w:hAnsi="Times New Roman"/>
          <w:sz w:val="16"/>
          <w:szCs w:val="16"/>
          <w:u w:val="single" w:color="auto"/>
          <w:color w:val="auto"/>
        </w:rPr>
        <w:t>Liquidation FMV</w:t>
      </w:r>
      <w:r>
        <w:rPr>
          <w:rFonts w:ascii="Times New Roman" w:cs="Times New Roman" w:eastAsia="Times New Roman" w:hAnsi="Times New Roman"/>
          <w:sz w:val="16"/>
          <w:szCs w:val="16"/>
          <w:color w:val="auto"/>
        </w:rPr>
        <w:t>”) of the Company’s remaining assets (the “</w:t>
      </w:r>
      <w:r>
        <w:rPr>
          <w:rFonts w:ascii="Times New Roman" w:cs="Times New Roman" w:eastAsia="Times New Roman" w:hAnsi="Times New Roman"/>
          <w:sz w:val="16"/>
          <w:szCs w:val="16"/>
          <w:u w:val="single" w:color="auto"/>
          <w:color w:val="auto"/>
        </w:rPr>
        <w:t>Liquidation Assets</w:t>
      </w:r>
      <w:r>
        <w:rPr>
          <w:rFonts w:ascii="Times New Roman" w:cs="Times New Roman" w:eastAsia="Times New Roman" w:hAnsi="Times New Roman"/>
          <w:sz w:val="16"/>
          <w:szCs w:val="16"/>
          <w:color w:val="auto"/>
        </w:rPr>
        <w:t xml:space="preserve">”) in accordance with </w:t>
      </w:r>
      <w:r>
        <w:rPr>
          <w:rFonts w:ascii="Times New Roman" w:cs="Times New Roman" w:eastAsia="Times New Roman" w:hAnsi="Times New Roman"/>
          <w:sz w:val="16"/>
          <w:szCs w:val="16"/>
          <w:u w:val="single" w:color="auto"/>
          <w:color w:val="auto"/>
        </w:rPr>
        <w:t>Article XIII</w:t>
      </w:r>
      <w:r>
        <w:rPr>
          <w:rFonts w:ascii="Times New Roman" w:cs="Times New Roman" w:eastAsia="Times New Roman" w:hAnsi="Times New Roman"/>
          <w:sz w:val="16"/>
          <w:szCs w:val="16"/>
          <w:color w:val="auto"/>
        </w:rPr>
        <w:t xml:space="preserve">, (ii) determine the amounts to be distributed to each Member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and</w:t>
      </w:r>
    </w:p>
    <w:p>
      <w:pPr>
        <w:spacing w:after="0" w:line="1" w:lineRule="exact"/>
        <w:rPr>
          <w:rFonts w:ascii="Times New Roman" w:cs="Times New Roman" w:eastAsia="Times New Roman" w:hAnsi="Times New Roman"/>
          <w:sz w:val="16"/>
          <w:szCs w:val="16"/>
          <w:color w:val="auto"/>
        </w:rPr>
      </w:pPr>
    </w:p>
    <w:p>
      <w:pPr>
        <w:spacing w:after="0" w:line="270" w:lineRule="auto"/>
        <w:tabs>
          <w:tab w:leader="none" w:pos="30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to each Member a statement (the “</w:t>
      </w:r>
      <w:r>
        <w:rPr>
          <w:rFonts w:ascii="Times New Roman" w:cs="Times New Roman" w:eastAsia="Times New Roman" w:hAnsi="Times New Roman"/>
          <w:sz w:val="16"/>
          <w:szCs w:val="16"/>
          <w:u w:val="single" w:color="auto"/>
          <w:color w:val="auto"/>
        </w:rPr>
        <w:t>Liquidation Statement</w:t>
      </w:r>
      <w:r>
        <w:rPr>
          <w:rFonts w:ascii="Times New Roman" w:cs="Times New Roman" w:eastAsia="Times New Roman" w:hAnsi="Times New Roman"/>
          <w:sz w:val="16"/>
          <w:szCs w:val="16"/>
          <w:color w:val="auto"/>
        </w:rPr>
        <w:t>”) setting forth the Liquidation FMV and the amounts and recipients of such Distributions, which Liquidation Statement will be final and binding on all Members; and</w:t>
      </w:r>
    </w:p>
    <w:p>
      <w:pPr>
        <w:spacing w:after="0" w:line="118" w:lineRule="exact"/>
        <w:rPr>
          <w:rFonts w:ascii="Times New Roman" w:cs="Times New Roman" w:eastAsia="Times New Roman" w:hAnsi="Times New Roman"/>
          <w:sz w:val="16"/>
          <w:szCs w:val="16"/>
          <w:color w:val="auto"/>
        </w:rPr>
      </w:pPr>
    </w:p>
    <w:p>
      <w:pPr>
        <w:jc w:val="both"/>
        <w:ind w:firstLine="962"/>
        <w:spacing w:after="0" w:line="253" w:lineRule="auto"/>
        <w:tabs>
          <w:tab w:leader="none" w:pos="14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soon as the Liquidation FMV and the proper amounts of Distributions have been determined in accordance with </w:t>
      </w:r>
      <w:r>
        <w:rPr>
          <w:rFonts w:ascii="Times New Roman" w:cs="Times New Roman" w:eastAsia="Times New Roman" w:hAnsi="Times New Roman"/>
          <w:sz w:val="16"/>
          <w:szCs w:val="16"/>
          <w:u w:val="single" w:color="auto"/>
          <w:color w:val="auto"/>
        </w:rPr>
        <w:t>Section 12.2(b)</w:t>
      </w:r>
      <w:r>
        <w:rPr>
          <w:rFonts w:ascii="Times New Roman" w:cs="Times New Roman" w:eastAsia="Times New Roman" w:hAnsi="Times New Roman"/>
          <w:sz w:val="16"/>
          <w:szCs w:val="16"/>
          <w:color w:val="auto"/>
        </w:rPr>
        <w:t xml:space="preserve">, the liquidator(s) will promptly distribute the Liquidation Assets to the applicable Members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In making such distributions, the liquidator(s) will allocate each type of Liquidation Assets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cash or cash equivalents, securities, etc.) among the Members ratably based upon the aggregate amounts to be distributed with respect to the Units held by each such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any securities are part of the Liquidation Assets, then each Member that is not an “accredited investor” (as such term is defined under the Securities Act) may, in the discretion of the liquidator(s), receive, and agrees to accept, in lieu of such securities, cash consideration with an equivalent value to such securities as determined by the liquidator(s) in accordance with </w:t>
      </w:r>
      <w:r>
        <w:rPr>
          <w:rFonts w:ascii="Times New Roman" w:cs="Times New Roman" w:eastAsia="Times New Roman" w:hAnsi="Times New Roman"/>
          <w:sz w:val="16"/>
          <w:szCs w:val="16"/>
          <w:u w:val="single" w:color="auto"/>
          <w:color w:val="auto"/>
        </w:rPr>
        <w:t>Article XIII</w:t>
      </w:r>
      <w:r>
        <w:rPr>
          <w:rFonts w:ascii="Times New Roman" w:cs="Times New Roman" w:eastAsia="Times New Roman" w:hAnsi="Times New Roman"/>
          <w:sz w:val="16"/>
          <w:szCs w:val="16"/>
          <w:color w:val="auto"/>
        </w:rPr>
        <w:t xml:space="preserve">. Any non-cash Liquidation Assets will first be written up or down to their Fair Market Value, thus creating Profit or Loss (if any), which will be allocated in accordance with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If any Member’s Capital Account is not equal to the amount to be distributed to such Member pursuant to </w:t>
      </w:r>
      <w:r>
        <w:rPr>
          <w:rFonts w:ascii="Times New Roman" w:cs="Times New Roman" w:eastAsia="Times New Roman" w:hAnsi="Times New Roman"/>
          <w:sz w:val="16"/>
          <w:szCs w:val="16"/>
          <w:u w:val="single" w:color="auto"/>
          <w:color w:val="auto"/>
        </w:rPr>
        <w:t>Section 12.2(b)</w:t>
      </w:r>
      <w:r>
        <w:rPr>
          <w:rFonts w:ascii="Times New Roman" w:cs="Times New Roman" w:eastAsia="Times New Roman" w:hAnsi="Times New Roman"/>
          <w:sz w:val="16"/>
          <w:szCs w:val="16"/>
          <w:color w:val="auto"/>
        </w:rPr>
        <w:t xml:space="preserve">, then Profits and Losses for the Fiscal Year in which the Company is dissolved and, to the extent allowable, for the prior Fiscal Year, will be allocated among the Members in such a manner as to cause, to the extent possible under the Code, each Member’s Capital Account to be equal to the amount to be distributed to such Member pursuant to </w:t>
      </w:r>
      <w:r>
        <w:rPr>
          <w:rFonts w:ascii="Times New Roman" w:cs="Times New Roman" w:eastAsia="Times New Roman" w:hAnsi="Times New Roman"/>
          <w:sz w:val="16"/>
          <w:szCs w:val="16"/>
          <w:u w:val="single" w:color="auto"/>
          <w:color w:val="auto"/>
        </w:rPr>
        <w:t>Section 12.2(b)</w:t>
      </w:r>
      <w:r>
        <w:rPr>
          <w:rFonts w:ascii="Times New Roman" w:cs="Times New Roman" w:eastAsia="Times New Roman" w:hAnsi="Times New Roman"/>
          <w:sz w:val="16"/>
          <w:szCs w:val="16"/>
          <w:color w:val="auto"/>
        </w:rPr>
        <w:t xml:space="preserve">. The distribution of cash or property to a Member in accordance with the provisions of this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xml:space="preserve"> constitutes a complete return to the Member of its Capital Contributions and a complete distribution to the Member of its interest in the Company and all the Company property and constitutes a compromise to which all Members have consented within the meaning of the Delaware Act. To the extent that a Member returns funds to the Company, it has no claim against any other Member for those funds.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Notwithstanding the foregoing, in the event of a Sale Transaction (or other similar transaction determined by the Board to be treated in a similar manner), such transaction will be treated as a liquidation under this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xml:space="preserve"> for purposes of determining the amounts distributable pursuant to this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xml:space="preserve"> and applying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and any items of gain or loss that would have been realized in connection with such transaction had such transaction involved a disposition of the Company’s assets will be taken into account (as nontaxable gain or loss) in determining Profits and Losses for the Fiscal Year in which such transaction occurs.</w:t>
      </w:r>
    </w:p>
    <w:p>
      <w:pPr>
        <w:spacing w:after="0" w:line="115"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 xml:space="preserve">XII.3 </w:t>
      </w:r>
      <w:r>
        <w:rPr>
          <w:rFonts w:ascii="Times New Roman" w:cs="Times New Roman" w:eastAsia="Times New Roman" w:hAnsi="Times New Roman"/>
          <w:sz w:val="16"/>
          <w:szCs w:val="16"/>
          <w:u w:val="single" w:color="auto"/>
          <w:color w:val="auto"/>
        </w:rPr>
        <w:t>Securityholders Agreement</w:t>
      </w:r>
      <w:r>
        <w:rPr>
          <w:rFonts w:ascii="Times New Roman" w:cs="Times New Roman" w:eastAsia="Times New Roman" w:hAnsi="Times New Roman"/>
          <w:sz w:val="16"/>
          <w:szCs w:val="16"/>
          <w:color w:val="auto"/>
        </w:rPr>
        <w:t>. To the extent that equity securities of any Subsidiary are distributed to any Members and unless otherwise agreed to by the liquidator(s), such Members agree to enter into a securityholders agreement with such Subsidiary and each other Member that contains rights and restrictions in form and substance similar to the provisions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color w:val="auto"/>
        </w:rPr>
        <w:t xml:space="preserve">restrictions set forth herein (including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to the extent requested by the Board.</w:t>
      </w:r>
    </w:p>
    <w:p>
      <w:pPr>
        <w:spacing w:after="0" w:line="16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XII.4 </w:t>
      </w:r>
      <w:r>
        <w:rPr>
          <w:rFonts w:ascii="Times New Roman" w:cs="Times New Roman" w:eastAsia="Times New Roman" w:hAnsi="Times New Roman"/>
          <w:sz w:val="16"/>
          <w:szCs w:val="16"/>
          <w:u w:val="single" w:color="auto"/>
          <w:color w:val="auto"/>
        </w:rPr>
        <w:t>Certificate of Cancellation</w:t>
      </w:r>
      <w:r>
        <w:rPr>
          <w:rFonts w:ascii="Times New Roman" w:cs="Times New Roman" w:eastAsia="Times New Roman" w:hAnsi="Times New Roman"/>
          <w:sz w:val="16"/>
          <w:szCs w:val="16"/>
          <w:color w:val="auto"/>
        </w:rPr>
        <w:t xml:space="preserve">. On completion of the distribution of the Liquidation Assets as provided herein, the Company will be terminated (and the Company will not be terminated prior to such time), and the Board or the liquidator(s) (or such other Person or Persons as the Delaware Act may require or permit) will file a certificate of cancellation with the Secretary of State of Delaware, cancel any other filings made pursuant to this Agreement that are or should be canceled and take such other actions as may be necessary to terminate the Company. The Company will be deemed to continue in existence for all purposes of this Agreement until it is terminated pursuant to this </w:t>
      </w:r>
      <w:r>
        <w:rPr>
          <w:rFonts w:ascii="Times New Roman" w:cs="Times New Roman" w:eastAsia="Times New Roman" w:hAnsi="Times New Roman"/>
          <w:sz w:val="16"/>
          <w:szCs w:val="16"/>
          <w:u w:val="single" w:color="auto"/>
          <w:color w:val="auto"/>
        </w:rPr>
        <w:t>Section 12.4</w:t>
      </w:r>
      <w:r>
        <w:rPr>
          <w:rFonts w:ascii="Times New Roman" w:cs="Times New Roman" w:eastAsia="Times New Roman" w:hAnsi="Times New Roman"/>
          <w:sz w:val="16"/>
          <w:szCs w:val="16"/>
          <w:color w:val="auto"/>
        </w:rPr>
        <w:t xml:space="preserve"> and in accordance with the Delaware Act.</w:t>
      </w:r>
    </w:p>
    <w:p>
      <w:pPr>
        <w:spacing w:after="0" w:line="129"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XII.5 </w:t>
      </w:r>
      <w:r>
        <w:rPr>
          <w:rFonts w:ascii="Times New Roman" w:cs="Times New Roman" w:eastAsia="Times New Roman" w:hAnsi="Times New Roman"/>
          <w:sz w:val="16"/>
          <w:szCs w:val="16"/>
          <w:u w:val="single" w:color="auto"/>
          <w:color w:val="auto"/>
        </w:rPr>
        <w:t>Reasonable Time for Winding Up</w:t>
      </w:r>
      <w:r>
        <w:rPr>
          <w:rFonts w:ascii="Times New Roman" w:cs="Times New Roman" w:eastAsia="Times New Roman" w:hAnsi="Times New Roman"/>
          <w:sz w:val="16"/>
          <w:szCs w:val="16"/>
          <w:color w:val="auto"/>
        </w:rPr>
        <w:t xml:space="preserve">. A reasonable time will be allowed for the orderly winding up of the business and affairs of the Company and the liquidation of its assets pursuant to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xml:space="preserve"> in order to minimize any losses otherwise attendant upon such winding up.</w:t>
      </w:r>
    </w:p>
    <w:p>
      <w:pPr>
        <w:spacing w:after="0" w:line="122"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XII.6 </w:t>
      </w:r>
      <w:r>
        <w:rPr>
          <w:rFonts w:ascii="Times New Roman" w:cs="Times New Roman" w:eastAsia="Times New Roman" w:hAnsi="Times New Roman"/>
          <w:sz w:val="16"/>
          <w:szCs w:val="16"/>
          <w:u w:val="single" w:color="auto"/>
          <w:color w:val="auto"/>
        </w:rPr>
        <w:t>Return of Capital</w:t>
      </w:r>
      <w:r>
        <w:rPr>
          <w:rFonts w:ascii="Times New Roman" w:cs="Times New Roman" w:eastAsia="Times New Roman" w:hAnsi="Times New Roman"/>
          <w:sz w:val="16"/>
          <w:szCs w:val="16"/>
          <w:color w:val="auto"/>
        </w:rPr>
        <w:t>. The liquidator(s) will not be personally liable for the return of Capital Contributions or any portion thereof to the Members (</w:t>
      </w:r>
      <w:r>
        <w:rPr>
          <w:rFonts w:ascii="Times New Roman" w:cs="Times New Roman" w:eastAsia="Times New Roman" w:hAnsi="Times New Roman"/>
          <w:sz w:val="16"/>
          <w:szCs w:val="16"/>
          <w:u w:val="single" w:color="auto"/>
          <w:color w:val="auto"/>
        </w:rPr>
        <w:t>it being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understood</w:t>
      </w:r>
      <w:r>
        <w:rPr>
          <w:rFonts w:ascii="Times New Roman" w:cs="Times New Roman" w:eastAsia="Times New Roman" w:hAnsi="Times New Roman"/>
          <w:sz w:val="16"/>
          <w:szCs w:val="16"/>
          <w:color w:val="auto"/>
        </w:rPr>
        <w:t xml:space="preserve"> that any such return will be made solely from the Company assets).</w:t>
      </w:r>
    </w:p>
    <w:p>
      <w:pPr>
        <w:spacing w:after="0" w:line="1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XIII</w:t>
      </w:r>
    </w:p>
    <w:p>
      <w:pPr>
        <w:spacing w:after="0" w:line="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VALUATION</w:t>
      </w:r>
    </w:p>
    <w:p>
      <w:pPr>
        <w:spacing w:after="0" w:line="149"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 xml:space="preserve">XIII.1 </w:t>
      </w:r>
      <w:r>
        <w:rPr>
          <w:rFonts w:ascii="Times New Roman" w:cs="Times New Roman" w:eastAsia="Times New Roman" w:hAnsi="Times New Roman"/>
          <w:sz w:val="16"/>
          <w:szCs w:val="16"/>
          <w:u w:val="single" w:color="auto"/>
          <w:color w:val="auto"/>
        </w:rPr>
        <w:t>Exit Fair Market Value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Exit Fair Market Value</w:t>
      </w:r>
      <w:r>
        <w:rPr>
          <w:rFonts w:ascii="Times New Roman" w:cs="Times New Roman" w:eastAsia="Times New Roman" w:hAnsi="Times New Roman"/>
          <w:sz w:val="16"/>
          <w:szCs w:val="16"/>
          <w:color w:val="auto"/>
        </w:rPr>
        <w:t>” of each Unit will be the fair value of each such Unit, as determined by an independent “big four” accounting firm, or, if no such accounting firm is independent, such other independent third-party, nationally recognized, independent valuation agent (the “</w:t>
      </w:r>
      <w:r>
        <w:rPr>
          <w:rFonts w:ascii="Times New Roman" w:cs="Times New Roman" w:eastAsia="Times New Roman" w:hAnsi="Times New Roman"/>
          <w:sz w:val="16"/>
          <w:szCs w:val="16"/>
          <w:u w:val="single" w:color="auto"/>
          <w:color w:val="auto"/>
        </w:rPr>
        <w:t>Independent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Appraiser</w:t>
      </w:r>
      <w:r>
        <w:rPr>
          <w:rFonts w:ascii="Times New Roman" w:cs="Times New Roman" w:eastAsia="Times New Roman" w:hAnsi="Times New Roman"/>
          <w:sz w:val="16"/>
          <w:szCs w:val="16"/>
          <w:color w:val="auto"/>
        </w:rPr>
        <w:t>”) selected by the Board and mutually consented to by the Initial Members, to deliver a written determination of the Exit Fair Market Value of the Units based on such Unit’s Pro Rata Share as of the date (a) an Offer Notice was delivered, (b) the Company or any Major Investor that is not the Granting Member delivers a written notice to exercise its Default Call Right or (c) the Symbotic Member delivers a Sale Transaction Offer, as applicable (each, an “</w:t>
      </w:r>
      <w:r>
        <w:rPr>
          <w:rFonts w:ascii="Times New Roman" w:cs="Times New Roman" w:eastAsia="Times New Roman" w:hAnsi="Times New Roman"/>
          <w:sz w:val="16"/>
          <w:szCs w:val="16"/>
          <w:u w:val="single" w:color="auto"/>
          <w:color w:val="auto"/>
        </w:rPr>
        <w:t>Exit Fair Market Value Determination Date</w:t>
      </w:r>
      <w:r>
        <w:rPr>
          <w:rFonts w:ascii="Times New Roman" w:cs="Times New Roman" w:eastAsia="Times New Roman" w:hAnsi="Times New Roman"/>
          <w:sz w:val="16"/>
          <w:szCs w:val="16"/>
          <w:color w:val="auto"/>
        </w:rPr>
        <w:t>”) (such determination to include a report setting forth all material analyses used in arriving at such determination, which, for the avoidance of doubt, such analyses shall assume a sale on arm’s-length terms, that the Units are transferred free of encumbrances, and taking into account any other factors that the Independent Appraiser reasonably believes should be taken into account) within 30 days of being engaged or such shorter time as the Independent Appraiser and the Board may reasonably determine. If the Board is unable to select an Independent Appraiser within 30 days of the Exit Fair Market Value Determination Date, or any Initial Member fails to consent to the Independent Appraiser selected by the Board within 30 days of such selection, then (i) each Initial Member will select its own third-party, nationally recognized, valuation agent (each, a “</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Appraiser</w:t>
      </w:r>
      <w:r>
        <w:rPr>
          <w:rFonts w:ascii="Times New Roman" w:cs="Times New Roman" w:eastAsia="Times New Roman" w:hAnsi="Times New Roman"/>
          <w:sz w:val="16"/>
          <w:szCs w:val="16"/>
          <w:color w:val="auto"/>
        </w:rPr>
        <w:t>”), (ii) the Member Appraisers shall, within 15 days, select a third independent third-party, nationally recognized, valuation agent and (iii) Exit Fair Market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97" w:name="page198"/>
    <w:bookmarkEnd w:id="197"/>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Value will be the arithmetical average of the two closest valuations (if any of the Appraisers provides a valuation range, the midpoint of the range shall be used for purposes of such calculation) divided by the number of the Company’s outstanding Units;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average of the highest and the lowest valuation is exactly the same as the third valuation, then the third valuation, divided by the number of the Company’s outstanding Units, shall be the Exit Fair Market Value. Each of the Initial Members are entitled to make submissions to the Independent Appraiser, including oral submissions, and will provide (or procure that the Company provides) the Independent Appraiser with such assistance and documents as the Independent Appraiser reasonably requests for the purpose of reaching a determination of the Exit Fair Market Value, subject to the Independent Appraiser agreeing to provide such confidentiality undertakings as the Initial Members or the Company, as applicable, may reasonably require. To the extent not provided for by this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 xml:space="preserve">, the Independent Appraiser may, in its reasonable discretion, determine such other procedures to assist with the valuation as it considers appropriate, including (to the extent it considers necessary) retaining professional advisors to assist it in reaching its determination of the Exit Fair Market Value. The determination of the Independent Appraiser of the Exit Fair Market Value shall be final and binding on the Parties (absent manifest error or fraud);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determination shall not change the other requirements of determining the Exit Fair Market Value. Each of the Initial Members shall bear its own costs in connection with the determination of an Exit Fair Market Value;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Initial Members shall equally bear the fees and expenses of the Independent Appraiser.</w:t>
      </w:r>
    </w:p>
    <w:p>
      <w:pPr>
        <w:spacing w:after="0" w:line="132"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 xml:space="preserve">XIII.2 </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xml:space="preserve">” of assets as of any date will mean the fair value for such assets as between a willing buyer and a willing seller in an arm’s-length transaction occurring on the date of valuation as reasonably determined by the Board, taking into account all relevant factors determinative of value the Board reasonably deems relevant (including any transfer Taxes payable or discounts the Board deems reasonably relevant in connection with such sale), </w:t>
      </w:r>
      <w:r>
        <w:rPr>
          <w:rFonts w:ascii="Times New Roman" w:cs="Times New Roman" w:eastAsia="Times New Roman" w:hAnsi="Times New Roman"/>
          <w:sz w:val="16"/>
          <w:szCs w:val="16"/>
          <w:u w:val="single" w:color="auto"/>
          <w:color w:val="auto"/>
        </w:rPr>
        <w:t>it being understood</w:t>
      </w:r>
      <w:r>
        <w:rPr>
          <w:rFonts w:ascii="Times New Roman" w:cs="Times New Roman" w:eastAsia="Times New Roman" w:hAnsi="Times New Roman"/>
          <w:sz w:val="16"/>
          <w:szCs w:val="16"/>
          <w:color w:val="auto"/>
        </w:rPr>
        <w:t xml:space="preserve"> that the “Fair Market Value” of any security that is publicly traded means the average of the closing prices of the sales of the securities on all securities exchanges on which the securities may at the time be listed, or, if there have been no sales on any such exchange on any day, the average of the highest bid and lowest asked prices on all such exchanges at the end of such day, or, if on any day such securities are not so listed, the average of the representative bid and asked prices quoted in the NASDAQ System as of 4:00 P.M., New York time, or, if on any day such securities are not quoted in the NASDAQ System, the average of the highest bid and lowest asked prices on such day in the domestic over-the-counter market as reported by the National Quotation Bureau Incorporated, or any similar successor organization, in each such case averaged over a period of 21 days consisting of the day as of which the Fair Market Value is being determined and the 20 consecutive Business Days prior to such day.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198" w:name="page199"/>
    <w:bookmarkEnd w:id="198"/>
    <w:p>
      <w:pPr>
        <w:ind w:left="5160"/>
        <w:spacing w:after="0"/>
        <w:rPr>
          <w:sz w:val="20"/>
          <w:szCs w:val="20"/>
          <w:color w:val="auto"/>
        </w:rPr>
      </w:pPr>
      <w:r>
        <w:rPr>
          <w:rFonts w:ascii="Times New Roman" w:cs="Times New Roman" w:eastAsia="Times New Roman" w:hAnsi="Times New Roman"/>
          <w:sz w:val="16"/>
          <w:szCs w:val="16"/>
          <w:color w:val="auto"/>
        </w:rPr>
        <w:t>Article XIV</w:t>
      </w:r>
    </w:p>
    <w:p>
      <w:pPr>
        <w:spacing w:after="0" w:line="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GENERAL PROVISIONS</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XIV.1 </w:t>
      </w:r>
      <w:r>
        <w:rPr>
          <w:rFonts w:ascii="Times New Roman" w:cs="Times New Roman" w:eastAsia="Times New Roman" w:hAnsi="Times New Roman"/>
          <w:sz w:val="16"/>
          <w:szCs w:val="16"/>
          <w:u w:val="single" w:color="auto"/>
          <w:color w:val="auto"/>
        </w:rPr>
        <w:t>Amendments; Waivers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firstLine="962"/>
        <w:spacing w:after="0" w:line="254" w:lineRule="auto"/>
        <w:tabs>
          <w:tab w:leader="none" w:pos="14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(i) the right of the Board or the Company to amend this Agreement as expressly provided herein, (ii) any amendment pursuant to an Approved Sale, and (iii) any amendment pursuant to </w:t>
      </w:r>
      <w:r>
        <w:rPr>
          <w:rFonts w:ascii="Times New Roman" w:cs="Times New Roman" w:eastAsia="Times New Roman" w:hAnsi="Times New Roman"/>
          <w:sz w:val="16"/>
          <w:szCs w:val="16"/>
          <w:u w:val="single" w:color="auto"/>
          <w:color w:val="auto"/>
        </w:rPr>
        <w:t>Section 3.3(e)(v)</w:t>
      </w:r>
      <w:r>
        <w:rPr>
          <w:rFonts w:ascii="Times New Roman" w:cs="Times New Roman" w:eastAsia="Times New Roman" w:hAnsi="Times New Roman"/>
          <w:sz w:val="16"/>
          <w:szCs w:val="16"/>
          <w:color w:val="auto"/>
        </w:rPr>
        <w:t xml:space="preserve">, this Agreement may be amended or modified only with 10% Member Consent as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and such amendment or modification will be binding upon and effective as to each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any amendment or modification changes the rights of the holders of the same class of Units to share ratably in Distributions of such class, then the Members holding a majority of the Units so differently treated must approve such amendment or modification;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no amendment or modification will be effective without the consent of each Member that would be adversely affected by such amendment or modification if such amendment or modification (A) modifies the limited liability of a Member or (B) amends this </w:t>
      </w:r>
      <w:r>
        <w:rPr>
          <w:rFonts w:ascii="Times New Roman" w:cs="Times New Roman" w:eastAsia="Times New Roman" w:hAnsi="Times New Roman"/>
          <w:sz w:val="16"/>
          <w:szCs w:val="16"/>
          <w:u w:val="single" w:color="auto"/>
          <w:color w:val="auto"/>
        </w:rPr>
        <w:t>Section 14.1</w:t>
      </w:r>
      <w:r>
        <w:rPr>
          <w:rFonts w:ascii="Times New Roman" w:cs="Times New Roman" w:eastAsia="Times New Roman" w:hAnsi="Times New Roman"/>
          <w:sz w:val="16"/>
          <w:szCs w:val="16"/>
          <w:color w:val="auto"/>
        </w:rPr>
        <w:t xml:space="preserve">. Any update to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color w:val="auto"/>
        </w:rPr>
        <w:t xml:space="preserve"> made to reflect an action taken in accordance with this Agreement shall not be deemed an amendment to this Agreement requiring consent or approval pursuant to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or this </w:t>
      </w:r>
      <w:r>
        <w:rPr>
          <w:rFonts w:ascii="Times New Roman" w:cs="Times New Roman" w:eastAsia="Times New Roman" w:hAnsi="Times New Roman"/>
          <w:sz w:val="16"/>
          <w:szCs w:val="16"/>
          <w:u w:val="single" w:color="auto"/>
          <w:color w:val="auto"/>
        </w:rPr>
        <w:t>Section 14.1(a)</w:t>
      </w:r>
      <w:r>
        <w:rPr>
          <w:rFonts w:ascii="Times New Roman" w:cs="Times New Roman" w:eastAsia="Times New Roman" w:hAnsi="Times New Roman"/>
          <w:sz w:val="16"/>
          <w:szCs w:val="16"/>
          <w:color w:val="auto"/>
        </w:rPr>
        <w:t xml:space="preserve"> separate from any consent or approval required for the underlying action, if applicable.</w:t>
      </w:r>
    </w:p>
    <w:p>
      <w:pPr>
        <w:spacing w:after="0" w:line="134" w:lineRule="exact"/>
        <w:rPr>
          <w:rFonts w:ascii="Times New Roman" w:cs="Times New Roman" w:eastAsia="Times New Roman" w:hAnsi="Times New Roman"/>
          <w:sz w:val="16"/>
          <w:szCs w:val="16"/>
          <w:color w:val="auto"/>
        </w:rPr>
      </w:pPr>
    </w:p>
    <w:p>
      <w:pPr>
        <w:jc w:val="both"/>
        <w:ind w:firstLine="962"/>
        <w:spacing w:after="0" w:line="264" w:lineRule="auto"/>
        <w:tabs>
          <w:tab w:leader="none" w:pos="143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avoidance of doubt, this Agreement may be amended, supplemented, replaced, amended and restated or otherwise modified in compliance with this </w:t>
      </w:r>
      <w:r>
        <w:rPr>
          <w:rFonts w:ascii="Times New Roman" w:cs="Times New Roman" w:eastAsia="Times New Roman" w:hAnsi="Times New Roman"/>
          <w:sz w:val="16"/>
          <w:szCs w:val="16"/>
          <w:u w:val="single" w:color="auto"/>
          <w:color w:val="auto"/>
        </w:rPr>
        <w:t>Section 14.1</w:t>
      </w:r>
      <w:r>
        <w:rPr>
          <w:rFonts w:ascii="Times New Roman" w:cs="Times New Roman" w:eastAsia="Times New Roman" w:hAnsi="Times New Roman"/>
          <w:sz w:val="16"/>
          <w:szCs w:val="16"/>
          <w:color w:val="auto"/>
        </w:rPr>
        <w:t xml:space="preserve"> upon or immediately following the consummation of a Sale Transaction approved in compliance with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(but only after giving effect to the provisions of this Agreement in connection with such Sale Transaction).</w:t>
      </w:r>
    </w:p>
    <w:p>
      <w:pPr>
        <w:spacing w:after="0" w:line="134" w:lineRule="exact"/>
        <w:rPr>
          <w:rFonts w:ascii="Times New Roman" w:cs="Times New Roman" w:eastAsia="Times New Roman" w:hAnsi="Times New Roman"/>
          <w:sz w:val="16"/>
          <w:szCs w:val="16"/>
          <w:color w:val="auto"/>
        </w:rPr>
      </w:pPr>
    </w:p>
    <w:p>
      <w:pPr>
        <w:ind w:firstLine="962"/>
        <w:spacing w:after="0" w:line="280" w:lineRule="auto"/>
        <w:tabs>
          <w:tab w:leader="none" w:pos="14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waiver by any Party of any of the provisions hereof shall be effective unless explicitly set forth in writing and signed by the Party so waiving. A waiver by the Company must be approved unanimously by the Board to be effective.</w:t>
      </w:r>
    </w:p>
    <w:p>
      <w:pPr>
        <w:spacing w:after="0" w:line="111" w:lineRule="exact"/>
        <w:rPr>
          <w:rFonts w:ascii="Times New Roman" w:cs="Times New Roman" w:eastAsia="Times New Roman" w:hAnsi="Times New Roman"/>
          <w:sz w:val="16"/>
          <w:szCs w:val="16"/>
          <w:color w:val="auto"/>
        </w:rPr>
      </w:pPr>
    </w:p>
    <w:p>
      <w:pPr>
        <w:jc w:val="both"/>
        <w:ind w:firstLine="962"/>
        <w:spacing w:after="0" w:line="263" w:lineRule="auto"/>
        <w:tabs>
          <w:tab w:leader="none" w:pos="143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either the SB Member or the Symbotic Member determines, in consultation with its own auditors, accounting and legal advisors, that such Member is required to consolidate the financial results of the Company within its own financial statements, the Company and the Members agree to use their reasonable best efforts to amend this Agreement to the extent necessary to enable each Initial Member not to consolidate the financial results of the Company within such Initial Member’s financial statements.</w:t>
      </w:r>
    </w:p>
    <w:p>
      <w:pPr>
        <w:spacing w:after="0" w:line="125"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XIV.2 </w:t>
      </w:r>
      <w:r>
        <w:rPr>
          <w:rFonts w:ascii="Times New Roman" w:cs="Times New Roman" w:eastAsia="Times New Roman" w:hAnsi="Times New Roman"/>
          <w:sz w:val="16"/>
          <w:szCs w:val="16"/>
          <w:u w:val="single" w:color="auto"/>
          <w:color w:val="auto"/>
        </w:rPr>
        <w:t>Title to the Company’s Assets</w:t>
      </w:r>
      <w:r>
        <w:rPr>
          <w:rFonts w:ascii="Times New Roman" w:cs="Times New Roman" w:eastAsia="Times New Roman" w:hAnsi="Times New Roman"/>
          <w:sz w:val="16"/>
          <w:szCs w:val="16"/>
          <w:color w:val="auto"/>
        </w:rPr>
        <w:t>. The Company’s assets will be deemed to be owned by the Company as an entity, and no Member, individually or collectively, will have any ownership interest in such assets or any portion thereof. Legal title to any or all of such assets may be held in the name of the Company or one or more nominees, as the Board may determine. The Board declares and warrants that any of the Company’s assets for which legal title is held in the name of any nominee will be held in trust by such nominee for the use and benefit of the Company in accordance with the provisions of this Agreement. All of the Company’s assets will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color w:val="auto"/>
        </w:rPr>
        <w:t>be recorded as the property of the Company on its books and records, irrespective of the name in which legal title to such assets is held.</w:t>
      </w:r>
    </w:p>
    <w:p>
      <w:pPr>
        <w:spacing w:after="0" w:line="16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XIV.3 </w:t>
      </w: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Each Member and the Company will have all rights and remedies set forth in this Agreement and all rights and remedies that such Person has been granted at any time under any other agreement and all of the rights that such Person has under any applicable Law will be cumulative and in addition to every other right, power or remedy such Person may have. Any Person having any rights under any provision of this Agreement or any other agreement contemplated will be entitled to enforce such rights specifically (without posting a bond or other security) to recover damages by reason of any breach of any provision of this Agreement or such other agreement and to exercise all other rights granted by applicable Law.</w:t>
      </w:r>
    </w:p>
    <w:p>
      <w:pPr>
        <w:spacing w:after="0" w:line="129"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 xml:space="preserve">XIV.4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All covenants and agreements contained in this Agreement will bind and inure to the benefit of the Parties and their respective heirs, executors, administrators, successors, legal representatives and permitted assigns, whether so expressed or not.</w:t>
      </w:r>
    </w:p>
    <w:p>
      <w:pPr>
        <w:spacing w:after="0" w:line="122"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 xml:space="preserve">XIV.5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then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or if such term or provision could be drawn more narrowly so as not to be illegal, invalid, prohibited or unenforceable in such jurisdiction, it will be so narrowly drawn, as to such jurisdiction, without invalidating the remaining terms and provisions of this Agreement or affecting the legality, validity or enforceability of such term or provision in any other jurisdiction.</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XIV.6 </w:t>
      </w:r>
      <w:r>
        <w:rPr>
          <w:rFonts w:ascii="Times New Roman" w:cs="Times New Roman" w:eastAsia="Times New Roman" w:hAnsi="Times New Roman"/>
          <w:sz w:val="16"/>
          <w:szCs w:val="16"/>
          <w:u w:val="single" w:color="auto"/>
          <w:color w:val="auto"/>
        </w:rPr>
        <w:t>Counterparts; Binding Agreement; Delivery by Electronic Means</w:t>
      </w:r>
      <w:r>
        <w:rPr>
          <w:rFonts w:ascii="Times New Roman" w:cs="Times New Roman" w:eastAsia="Times New Roman" w:hAnsi="Times New Roman"/>
          <w:sz w:val="16"/>
          <w:szCs w:val="16"/>
          <w:color w:val="auto"/>
        </w:rPr>
        <w:t>. This Agreement and each other agreement or instrument entered into in connection herewith</w:t>
      </w:r>
    </w:p>
    <w:p>
      <w:pPr>
        <w:spacing w:after="0" w:line="24" w:lineRule="exact"/>
        <w:rPr>
          <w:sz w:val="20"/>
          <w:szCs w:val="20"/>
          <w:color w:val="auto"/>
        </w:rPr>
      </w:pPr>
    </w:p>
    <w:p>
      <w:pPr>
        <w:jc w:val="both"/>
        <w:spacing w:after="0" w:line="251" w:lineRule="auto"/>
        <w:tabs>
          <w:tab w:leader="none" w:pos="22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executed simultaneously in two or more separate counterparts, any one of which need not contain the signatures of more than one Party, but each of which will be deemed an original and all of which together will constitute one and the same agreement binding on all the Parties and may be executed (b) by facsimile or electronic signature (including using Adobe Acrobat, Adobe Sign, DocuSign or similar means) and a facsimile or electronic signature (including using Adobe Acrobat, Adobe Sign, DocuSign or similar means) will constitute an original and will be considered to have the same binding legal effect as if it were the original signed version thereof delivered in person. This Agreement and all of the provisions hereof will be binding upon and effective as to each Person who (x) executes this Agreement in the appropriate space provided in the signature pages hereto notwithstanding the fact that other Persons who have not executed this Agreement may be listed on the signature pages hereto and (y) may from time to time become a party to this Agreement by executing a Joinder Agreement. At the reasonable request of any party hereto or to any other agreement or instrument entered in connection herewith, each other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00" w:name="page201"/>
    <w:bookmarkEnd w:id="200"/>
    <w:p>
      <w:pPr>
        <w:jc w:val="both"/>
        <w:spacing w:after="0" w:line="264" w:lineRule="auto"/>
        <w:rPr>
          <w:sz w:val="20"/>
          <w:szCs w:val="20"/>
          <w:color w:val="auto"/>
        </w:rPr>
      </w:pPr>
      <w:r>
        <w:rPr>
          <w:rFonts w:ascii="Times New Roman" w:cs="Times New Roman" w:eastAsia="Times New Roman" w:hAnsi="Times New Roman"/>
          <w:sz w:val="16"/>
          <w:szCs w:val="16"/>
          <w:color w:val="auto"/>
        </w:rPr>
        <w:t>party hereto or thereto will re-execute original forms thereof and deliver them to all other Parties. No party hereto or to any such agreement or instrument will raise the use of a facsimile machine or an attachment to an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XIV.7 </w:t>
      </w: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962"/>
        <w:spacing w:after="0" w:line="264" w:lineRule="auto"/>
        <w:tabs>
          <w:tab w:leader="none" w:pos="14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deemed to be made in and in all respects shall be interpreted, construed and governed by and in accordance with the Laws of the State of Delaware without regard to the conflict of laws provisions, rules or principles thereof (or any other jurisdiction) to the extent that such provisions, rules or principles would direct a matter to another jurisdiction.</w:t>
      </w:r>
    </w:p>
    <w:p>
      <w:pPr>
        <w:spacing w:after="0" w:line="123" w:lineRule="exact"/>
        <w:rPr>
          <w:rFonts w:ascii="Times New Roman" w:cs="Times New Roman" w:eastAsia="Times New Roman" w:hAnsi="Times New Roman"/>
          <w:sz w:val="16"/>
          <w:szCs w:val="16"/>
          <w:color w:val="auto"/>
        </w:rPr>
      </w:pPr>
    </w:p>
    <w:p>
      <w:pPr>
        <w:jc w:val="both"/>
        <w:ind w:firstLine="962"/>
        <w:spacing w:after="0" w:line="257" w:lineRule="auto"/>
        <w:tabs>
          <w:tab w:leader="none" w:pos="143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and the other terms of this Agreement, any controversy or claim arising out of or relating to this Agreement, or the breach, termination or validity thereof, whether arising in contract or tort, shall be settled by arbitration administered in accordance with the JAMS International Arbitration Rules. The number of arbitrators shall be three, one of whom shall be appointed by each of the Initial Members and the third of whom shall be selected by mutual agreement of the co-arbitrators with the input of the Initial Members, if possible, within 30 days of the selection of the second arbitrator and thereafter by the administering authority. The place of arbitration shall be New York, New York. The language of the arbitration shall be English. The arbitration award rendered by the arbitrators shall be final and binding on the parties. Judgment on the award may be entered in any court having jurisdiction thereof.</w:t>
      </w:r>
    </w:p>
    <w:p>
      <w:pPr>
        <w:spacing w:after="0" w:line="129" w:lineRule="exact"/>
        <w:rPr>
          <w:rFonts w:ascii="Times New Roman" w:cs="Times New Roman" w:eastAsia="Times New Roman" w:hAnsi="Times New Roman"/>
          <w:sz w:val="16"/>
          <w:szCs w:val="16"/>
          <w:color w:val="auto"/>
        </w:rPr>
      </w:pPr>
    </w:p>
    <w:p>
      <w:pPr>
        <w:jc w:val="both"/>
        <w:ind w:firstLine="962"/>
        <w:spacing w:after="0" w:line="263" w:lineRule="auto"/>
        <w:tabs>
          <w:tab w:leader="none" w:pos="14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to such arbitration shall keep any such arbitration confidential and shall not disclose to any Person, other than those necessary to the proceedings, the existence of the arbitration, any information, testimony or documents submitted during the arbitration or received from any other party, a witness or the arbitrators in connection with the arbitration, and any award, unless and to the extent that disclosure is required by Law or is necessary for permitted court proceedings, such as proceedings to recognize or enforce an award.</w:t>
      </w:r>
    </w:p>
    <w:p>
      <w:pPr>
        <w:spacing w:after="0" w:line="124" w:lineRule="exact"/>
        <w:rPr>
          <w:rFonts w:ascii="Times New Roman" w:cs="Times New Roman" w:eastAsia="Times New Roman" w:hAnsi="Times New Roman"/>
          <w:sz w:val="16"/>
          <w:szCs w:val="16"/>
          <w:color w:val="auto"/>
        </w:rPr>
      </w:pPr>
    </w:p>
    <w:p>
      <w:pPr>
        <w:jc w:val="both"/>
        <w:ind w:firstLine="962"/>
        <w:spacing w:after="0" w:line="263" w:lineRule="auto"/>
        <w:tabs>
          <w:tab w:leader="none" w:pos="143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arbitrators shall award to the prevailing party its costs and expenses, including its reasonable legal fees and other costs of legal representation, as determined by the arbitrators. If the arbitrators determine a party to be the prevailing party under circumstances where the prevailing party won on some but not all of the claims and counterclaims, the arbitrators may award the prevailing party a corresponding percentage of the costs and attorneys’ fees reasonably incurred by the prevailing party in connection with the arbitration.</w:t>
      </w:r>
    </w:p>
    <w:p>
      <w:pPr>
        <w:spacing w:after="0" w:line="124" w:lineRule="exact"/>
        <w:rPr>
          <w:rFonts w:ascii="Times New Roman" w:cs="Times New Roman" w:eastAsia="Times New Roman" w:hAnsi="Times New Roman"/>
          <w:sz w:val="16"/>
          <w:szCs w:val="16"/>
          <w:color w:val="auto"/>
        </w:rPr>
      </w:pPr>
    </w:p>
    <w:p>
      <w:pPr>
        <w:ind w:firstLine="962"/>
        <w:spacing w:after="0" w:line="280" w:lineRule="auto"/>
        <w:tabs>
          <w:tab w:leader="none" w:pos="14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party may make an application to the arbitrators or to any court of competent jurisdiction seeking any interim measures, including injunctive relief to maintain the status quo until such time as the arbitration award is rendered or the controversy is otherwise resolved.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01" w:name="page202"/>
    <w:bookmarkEnd w:id="201"/>
    <w:p>
      <w:pPr>
        <w:ind w:left="1440" w:hanging="478"/>
        <w:spacing w:after="0"/>
        <w:tabs>
          <w:tab w:leader="none" w:pos="14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the taking of evidence shall be governed by the IBA Rules on the Taking of Evidence in International Arbitration.</w:t>
      </w:r>
    </w:p>
    <w:p>
      <w:pPr>
        <w:spacing w:after="0" w:line="166" w:lineRule="exact"/>
        <w:rPr>
          <w:rFonts w:ascii="Times New Roman" w:cs="Times New Roman" w:eastAsia="Times New Roman" w:hAnsi="Times New Roman"/>
          <w:sz w:val="16"/>
          <w:szCs w:val="16"/>
          <w:color w:val="auto"/>
        </w:rPr>
      </w:pPr>
    </w:p>
    <w:p>
      <w:pPr>
        <w:ind w:firstLine="962"/>
        <w:spacing w:after="0" w:line="280" w:lineRule="auto"/>
        <w:tabs>
          <w:tab w:leader="none" w:pos="1439"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waive any defense based on sovereignty, including immunity to arbitration, immunity to judicial proceedings to enforce or aid any such arbitration, and immunity to enforcement and execution of the award or any judgment thereon. This waiver includes pre-award and prejudgment attachments.</w:t>
      </w:r>
    </w:p>
    <w:p>
      <w:pPr>
        <w:spacing w:after="0" w:line="121" w:lineRule="exact"/>
        <w:rPr>
          <w:rFonts w:ascii="Times New Roman" w:cs="Times New Roman" w:eastAsia="Times New Roman" w:hAnsi="Times New Roman"/>
          <w:sz w:val="16"/>
          <w:szCs w:val="16"/>
          <w:color w:val="auto"/>
        </w:rPr>
      </w:pPr>
    </w:p>
    <w:p>
      <w:pPr>
        <w:jc w:val="both"/>
        <w:ind w:firstLine="962"/>
        <w:spacing w:after="0" w:line="259" w:lineRule="auto"/>
        <w:tabs>
          <w:tab w:leader="none" w:pos="1439"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arbitral tribunal constituted under this Agreement, or JAMS at any time prior to the arbitral tribunal being constituted, may, at the request of a party to the arbitration proceeding, consolidate the arbitration proceeding with any other arbitration arising under this Agreement or any related agreements, if the arbitration proceedings raise common questions of law or fact, and consolidation would not prejudice the rights of any party. If two or more arbitral tribunals under such agreements issue consolidation orders, the order issued by the arbitral tribunal first constituted shall prevail. In addition, any party may bring claims under such agreements.</w:t>
      </w:r>
    </w:p>
    <w:p>
      <w:pPr>
        <w:spacing w:after="0" w:line="127" w:lineRule="exact"/>
        <w:rPr>
          <w:rFonts w:ascii="Times New Roman" w:cs="Times New Roman" w:eastAsia="Times New Roman" w:hAnsi="Times New Roman"/>
          <w:sz w:val="16"/>
          <w:szCs w:val="16"/>
          <w:color w:val="auto"/>
        </w:rPr>
      </w:pPr>
    </w:p>
    <w:p>
      <w:pPr>
        <w:jc w:val="both"/>
        <w:ind w:firstLine="962"/>
        <w:spacing w:after="0" w:line="263" w:lineRule="auto"/>
        <w:tabs>
          <w:tab w:leader="none" w:pos="1433"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and the Members mutually consent and submit to the jurisdiction of the federal and state courts for New Castle County, Delaware for the purposes of confirming any arbitration award and entering judgment thereon pursuant to this </w:t>
      </w:r>
      <w:r>
        <w:rPr>
          <w:rFonts w:ascii="Times New Roman" w:cs="Times New Roman" w:eastAsia="Times New Roman" w:hAnsi="Times New Roman"/>
          <w:sz w:val="16"/>
          <w:szCs w:val="16"/>
          <w:u w:val="single" w:color="auto"/>
          <w:color w:val="auto"/>
        </w:rPr>
        <w:t>Section 14.7</w:t>
      </w:r>
      <w:r>
        <w:rPr>
          <w:rFonts w:ascii="Times New Roman" w:cs="Times New Roman" w:eastAsia="Times New Roman" w:hAnsi="Times New Roman"/>
          <w:sz w:val="16"/>
          <w:szCs w:val="16"/>
          <w:color w:val="auto"/>
        </w:rPr>
        <w:t>, and irrevocably waive any objection to the laying of venue of any such Proceeding in such court or that any such court is an inconvenient forum. THE COMPANY AND THE MEMBERS ACKNOWLEDGE THAT THEY HAVE READ AND UNDERSTAND THIS SECTION AND AGREE WILLINGLY TO ITS TERMS.</w:t>
      </w:r>
    </w:p>
    <w:p>
      <w:pPr>
        <w:spacing w:after="0" w:line="125"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 xml:space="preserve">XIV.8 </w:t>
      </w:r>
      <w:r>
        <w:rPr>
          <w:rFonts w:ascii="Times New Roman" w:cs="Times New Roman" w:eastAsia="Times New Roman" w:hAnsi="Times New Roman"/>
          <w:sz w:val="16"/>
          <w:szCs w:val="16"/>
          <w:u w:val="single" w:color="auto"/>
          <w:color w:val="auto"/>
        </w:rPr>
        <w:t>Addresses and Notices</w:t>
      </w:r>
      <w:r>
        <w:rPr>
          <w:rFonts w:ascii="Times New Roman" w:cs="Times New Roman" w:eastAsia="Times New Roman" w:hAnsi="Times New Roman"/>
          <w:sz w:val="16"/>
          <w:szCs w:val="16"/>
          <w:color w:val="auto"/>
        </w:rPr>
        <w:t xml:space="preserve">. Any notice, consent, demand or communication required or permitted to be given by any provision of this Agreement shall be in writing and shall be (a) delivered personally to the Person or to an officer of the Person (as designated by such Person to receive any such notice or, in the absence of such designation, any officer of such Person) to whom the same is directed, (b) sent by nationally recognized overnight courier service (with tracking capability) or (c) via e-mail at the following addresses;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email transmission is promptly confirmed by a responsive electronic communication by the recipient thereof or receipt is otherwise clearly evidenced (excluding out-of-office replies or other automatically generated responses) or is followed up within one Business Day after email by dispatch pursuant to one of the methods described in the foregoing clauses (a) and (b) of this </w:t>
      </w:r>
      <w:r>
        <w:rPr>
          <w:rFonts w:ascii="Times New Roman" w:cs="Times New Roman" w:eastAsia="Times New Roman" w:hAnsi="Times New Roman"/>
          <w:sz w:val="16"/>
          <w:szCs w:val="16"/>
          <w:u w:val="single" w:color="auto"/>
          <w:color w:val="auto"/>
        </w:rPr>
        <w:t>Section 14.8</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if to the Board or the Company, then to:</w:t>
      </w:r>
    </w:p>
    <w:p>
      <w:pPr>
        <w:spacing w:after="0" w:line="16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GreenBox Systems LLC</w:t>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02" w:name="page203"/>
    <w:bookmarkEnd w:id="202"/>
    <w:p>
      <w:pPr>
        <w:ind w:left="144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6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Morrison &amp; Foerster LLP</w:t>
      </w:r>
    </w:p>
    <w:p>
      <w:pPr>
        <w:ind w:left="1680"/>
        <w:spacing w:after="0" w:line="234" w:lineRule="auto"/>
        <w:rPr>
          <w:sz w:val="20"/>
          <w:szCs w:val="20"/>
          <w:color w:val="auto"/>
        </w:rPr>
      </w:pPr>
      <w:r>
        <w:rPr>
          <w:rFonts w:ascii="Times New Roman" w:cs="Times New Roman" w:eastAsia="Times New Roman" w:hAnsi="Times New Roman"/>
          <w:sz w:val="16"/>
          <w:szCs w:val="16"/>
          <w:color w:val="auto"/>
        </w:rPr>
        <w:t>Shin-Marunouchi Building, 29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Floor</w:t>
      </w:r>
    </w:p>
    <w:p>
      <w:pPr>
        <w:ind w:left="1680"/>
        <w:spacing w:after="0"/>
        <w:rPr>
          <w:sz w:val="20"/>
          <w:szCs w:val="20"/>
          <w:color w:val="auto"/>
        </w:rPr>
      </w:pPr>
      <w:r>
        <w:rPr>
          <w:rFonts w:ascii="Times New Roman" w:cs="Times New Roman" w:eastAsia="Times New Roman" w:hAnsi="Times New Roman"/>
          <w:sz w:val="16"/>
          <w:szCs w:val="16"/>
          <w:color w:val="auto"/>
        </w:rPr>
        <w:t>5-1, Marunouchi 1-Chome, Chiyoda-ku</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Tokyo, Japan 100-6529</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Kenneth A. Siegel</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ksiegel@mofo.com</w:t>
      </w:r>
    </w:p>
    <w:p>
      <w:pPr>
        <w:spacing w:after="0" w:line="1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Morrison &amp; Foerster LLP</w:t>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425 Market Street</w:t>
      </w:r>
    </w:p>
    <w:p>
      <w:pPr>
        <w:spacing w:after="0" w:line="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San Francisco, CA 94105-2482</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Attn: Eric T. McCrath; Erik G. Knudsen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emccrath@mofo.com; eknudsen@mofo.com</w:t>
      </w:r>
    </w:p>
    <w:p>
      <w:pPr>
        <w:spacing w:after="0" w:line="1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Sullivan &amp; Cromwell LLP</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125 Broad Street</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New York, NY 10004</w:t>
      </w:r>
    </w:p>
    <w:p>
      <w:pPr>
        <w:spacing w:after="0" w:line="16" w:lineRule="exact"/>
        <w:rPr>
          <w:sz w:val="20"/>
          <w:szCs w:val="20"/>
          <w:color w:val="auto"/>
        </w:rPr>
      </w:pPr>
    </w:p>
    <w:p>
      <w:pPr>
        <w:ind w:left="1680"/>
        <w:spacing w:after="0"/>
        <w:tabs>
          <w:tab w:leader="none" w:pos="2160" w:val="left"/>
        </w:tabs>
        <w:rPr>
          <w:sz w:val="20"/>
          <w:szCs w:val="20"/>
          <w:color w:val="auto"/>
        </w:rPr>
      </w:pPr>
      <w:r>
        <w:rPr>
          <w:rFonts w:ascii="Times New Roman" w:cs="Times New Roman" w:eastAsia="Times New Roman" w:hAnsi="Times New Roman"/>
          <w:sz w:val="16"/>
          <w:szCs w:val="16"/>
          <w:color w:val="auto"/>
        </w:rPr>
        <w:t>Attn:</w:t>
      </w:r>
      <w:r>
        <w:rPr>
          <w:sz w:val="20"/>
          <w:szCs w:val="20"/>
          <w:color w:val="auto"/>
        </w:rPr>
        <w:tab/>
      </w:r>
      <w:r>
        <w:rPr>
          <w:rFonts w:ascii="Times New Roman" w:cs="Times New Roman" w:eastAsia="Times New Roman" w:hAnsi="Times New Roman"/>
          <w:sz w:val="15"/>
          <w:szCs w:val="15"/>
          <w:color w:val="auto"/>
        </w:rPr>
        <w:t>Robert W. Downes</w:t>
      </w:r>
    </w:p>
    <w:p>
      <w:pPr>
        <w:spacing w:after="0" w:line="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Matthew B. Goodman</w:t>
      </w:r>
    </w:p>
    <w:p>
      <w:pPr>
        <w:spacing w:after="0" w:line="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Mimi Wu</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Email: downesr@sullcrom.com</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goodmanm@sullcrom.com</w:t>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wum@sullcrom.com</w:t>
      </w:r>
    </w:p>
    <w:p>
      <w:pPr>
        <w:spacing w:after="0" w:line="3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222222"/>
        </w:rPr>
        <w:t xml:space="preserve">if to any other Member, then to such Member at the address set forth on </w:t>
      </w:r>
      <w:r>
        <w:rPr>
          <w:rFonts w:ascii="Times New Roman" w:cs="Times New Roman" w:eastAsia="Times New Roman" w:hAnsi="Times New Roman"/>
          <w:sz w:val="16"/>
          <w:szCs w:val="16"/>
          <w:u w:val="single" w:color="auto"/>
          <w:color w:val="222222"/>
        </w:rPr>
        <w:t>Schedule A</w:t>
      </w:r>
      <w:r>
        <w:rPr>
          <w:rFonts w:ascii="Times New Roman" w:cs="Times New Roman" w:eastAsia="Times New Roman" w:hAnsi="Times New Roman"/>
          <w:sz w:val="16"/>
          <w:szCs w:val="16"/>
          <w:color w:val="222222"/>
          <w:highlight w:val="white"/>
        </w:rPr>
        <w:t>, or in any case,</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to such other address or to the attention of such other person as the</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recipient party has specified by prior written notice to the sending party.</w:t>
      </w:r>
    </w:p>
    <w:p>
      <w:pPr>
        <w:spacing w:after="0" w:line="112" w:lineRule="exact"/>
        <w:rPr>
          <w:sz w:val="20"/>
          <w:szCs w:val="20"/>
          <w:color w:val="auto"/>
        </w:rPr>
      </w:pPr>
    </w:p>
    <w:p>
      <w:pPr>
        <w:jc w:val="both"/>
        <w:ind w:firstLine="481"/>
        <w:spacing w:after="0" w:line="256" w:lineRule="auto"/>
        <w:rPr>
          <w:sz w:val="20"/>
          <w:szCs w:val="20"/>
          <w:color w:val="auto"/>
        </w:rPr>
      </w:pPr>
      <w:r>
        <w:rPr>
          <w:rFonts w:ascii="Times New Roman" w:cs="Times New Roman" w:eastAsia="Times New Roman" w:hAnsi="Times New Roman"/>
          <w:sz w:val="16"/>
          <w:szCs w:val="16"/>
          <w:color w:val="auto"/>
        </w:rPr>
        <w:t xml:space="preserve">XIV.9 </w:t>
      </w:r>
      <w:r>
        <w:rPr>
          <w:rFonts w:ascii="Times New Roman" w:cs="Times New Roman" w:eastAsia="Times New Roman" w:hAnsi="Times New Roman"/>
          <w:sz w:val="16"/>
          <w:szCs w:val="16"/>
          <w:u w:val="single" w:color="auto"/>
          <w:color w:val="auto"/>
        </w:rPr>
        <w:t>Creditors</w:t>
      </w:r>
      <w:r>
        <w:rPr>
          <w:rFonts w:ascii="Times New Roman" w:cs="Times New Roman" w:eastAsia="Times New Roman" w:hAnsi="Times New Roman"/>
          <w:sz w:val="16"/>
          <w:szCs w:val="16"/>
          <w:color w:val="auto"/>
        </w:rPr>
        <w:t xml:space="preserve">. This Agreement is entered into among the Company and its Members for the exclusive benefit of the Company, the Members and their successors and assigns. None of the provisions of this Agreement will be for the benefit of or enforceable by any creditors of the Company or any of its Affiliates, and no creditor who makes a loan to the Company or any of its Affiliates may have or acquire (except to the extent as may be provided for under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xml:space="preserve"> with respect to Emergency Loans or under a separate agreement executed by the Company in favor of such creditor) at any time as a result of making the loan any direct or indirect interest in the Company’s Profits, Losses, Distributions, capital or property other than its rights as a secured creditor expressly set forth in such separate written agreement. Notwithstanding the foregoing, the Indemnified Persons are intended third-party beneficiaries of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and will be entitled to enforce such provision (as it may be in effect from time to time). Notwithstanding anything herein to the contrary, nothing contained in this Agreement will affect, limit or impair the rights and remedies of any Member that is also a lender to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431" w:right="319" w:bottom="1440" w:gutter="0" w:footer="0" w:header="0"/>
        </w:sectPr>
      </w:pPr>
    </w:p>
    <w:bookmarkStart w:id="203" w:name="page204"/>
    <w:bookmarkEnd w:id="203"/>
    <w:p>
      <w:pPr>
        <w:jc w:val="both"/>
        <w:spacing w:after="0" w:line="263" w:lineRule="auto"/>
        <w:rPr>
          <w:sz w:val="20"/>
          <w:szCs w:val="20"/>
          <w:color w:val="auto"/>
        </w:rPr>
      </w:pPr>
      <w:r>
        <w:rPr>
          <w:rFonts w:ascii="Times New Roman" w:cs="Times New Roman" w:eastAsia="Times New Roman" w:hAnsi="Times New Roman"/>
          <w:sz w:val="16"/>
          <w:szCs w:val="16"/>
          <w:color w:val="auto"/>
        </w:rPr>
        <w:t>Company or any Subsidiary in its capacity as such lender. Without limiting the generality of the foregoing, any such Member, in exercising its rights as a lender, including making its decision on whether to foreclose on any collateral security, will not have a duty to consider (a) its status as a Member of the Company or an indirect owner of any Subsidiary, (b) the interests of the Company or any Subsidiary, or (c) any duty it may have to any other direct or indirect Member of the Company, except as may be required under the applicable loan documents or by commercial Law applicable to creditors generally.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XIV.10</w:t>
            </w:r>
          </w:p>
        </w:tc>
        <w:tc>
          <w:tcPr>
            <w:tcW w:w="9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 Waiver. No failure by any Party to insist upon the strict performance of any covenant, duty, agreement or condition of this Agreement or to exercise</w:t>
            </w:r>
          </w:p>
        </w:tc>
      </w:tr>
      <w:tr>
        <w:trPr>
          <w:trHeight w:val="20"/>
        </w:trPr>
        <w:tc>
          <w:tcPr>
            <w:tcW w:w="1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208"/>
        </w:trPr>
        <w:tc>
          <w:tcPr>
            <w:tcW w:w="11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right or remedy consequent upon a breach thereof will constitute a waiver of any such breach or any other covenant, duty, agreement or condition.</w:t>
            </w:r>
          </w:p>
        </w:tc>
      </w:tr>
      <w:tr>
        <w:trPr>
          <w:trHeight w:val="313"/>
        </w:trPr>
        <w:tc>
          <w:tcPr>
            <w:tcW w:w="1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XIV.11</w:t>
            </w:r>
          </w:p>
        </w:tc>
        <w:tc>
          <w:tcPr>
            <w:tcW w:w="9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Further Action. The Parties agree to execute and deliver all documents, provide all information and take or refrain from taking further actions as may be</w:t>
            </w: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reasonably necessary or appropriate to achieve the purposes and carry out the provisions of this Agreement, in each case as may be requested by the Board or any of the Initial Members.</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 xml:space="preserve">XIV.12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Except as otherwise set forth herein or therein, each of the Company and the Initial Members will pay their own reasonable fees and expenses incurred with respect to any amendments or waivers (whether or not the same become effective) under or in respect of this Agreement or the other agreements contemplated by this Agreement.</w:t>
      </w:r>
    </w:p>
    <w:p>
      <w:pPr>
        <w:spacing w:after="0" w:line="11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XIV.13</w:t>
            </w:r>
          </w:p>
        </w:tc>
        <w:tc>
          <w:tcPr>
            <w:tcW w:w="9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 Voting Trust. This Agreement is not a voting trust and should not be interpreted as such.</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700" w:type="dxa"/>
            <w:vAlign w:val="bottom"/>
            <w:tcBorders>
              <w:left w:val="single" w:sz="8" w:color="auto"/>
            </w:tcBorders>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XIV.14</w:t>
            </w:r>
          </w:p>
        </w:tc>
        <w:tc>
          <w:tcPr>
            <w:tcW w:w="9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Entire Agreement. This Agreement (including the exhibits, schedules, documents and instruments referred to herein), together with the Ancillary</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Agreements and subject to the conditions set forth therein, constitutes the entire agreement, and supersedes all prior and contemporaneous agreements and understandings, both written and oral, among the Parties with respect to the subject matter of this Agreement.</w:t>
      </w:r>
    </w:p>
    <w:p>
      <w:pPr>
        <w:spacing w:after="0" w:line="110" w:lineRule="exact"/>
        <w:rPr>
          <w:sz w:val="20"/>
          <w:szCs w:val="20"/>
          <w:color w:val="auto"/>
        </w:rPr>
      </w:pPr>
    </w:p>
    <w:p>
      <w:pPr>
        <w:ind w:left="480"/>
        <w:spacing w:after="0"/>
        <w:tabs>
          <w:tab w:leader="none" w:pos="1400" w:val="left"/>
        </w:tabs>
        <w:rPr>
          <w:sz w:val="20"/>
          <w:szCs w:val="20"/>
          <w:color w:val="auto"/>
        </w:rPr>
      </w:pPr>
      <w:r>
        <w:rPr>
          <w:rFonts w:ascii="Times New Roman" w:cs="Times New Roman" w:eastAsia="Times New Roman" w:hAnsi="Times New Roman"/>
          <w:sz w:val="16"/>
          <w:szCs w:val="16"/>
          <w:color w:val="auto"/>
        </w:rPr>
        <w:t>XIV.15</w:t>
      </w:r>
      <w:r>
        <w:rPr>
          <w:sz w:val="20"/>
          <w:szCs w:val="20"/>
          <w:color w:val="auto"/>
        </w:rPr>
        <w:tab/>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Sections 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Indemnification and Reimbursement for Payments on Behalf of a Member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Indemnification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Limitation of Liability of</w:t>
      </w:r>
    </w:p>
    <w:p>
      <w:pPr>
        <w:spacing w:after="0" w:line="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Members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6.6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Confidentiality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8.3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 Controversies</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Sections 14.2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14.16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General Provisions</w:t>
      </w:r>
      <w:r>
        <w:rPr>
          <w:rFonts w:ascii="Times New Roman" w:cs="Times New Roman" w:eastAsia="Times New Roman" w:hAnsi="Times New Roman"/>
          <w:sz w:val="16"/>
          <w:szCs w:val="16"/>
          <w:color w:val="auto"/>
        </w:rPr>
        <w:t>) will survive and continue in full force in accordance with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notwithstanding any termination of this Agreement or the dissolution of the Company.</w:t>
      </w:r>
    </w:p>
    <w:p>
      <w:pPr>
        <w:spacing w:after="0" w:line="139"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XIV.16 </w:t>
      </w:r>
      <w:r>
        <w:rPr>
          <w:rFonts w:ascii="Times New Roman" w:cs="Times New Roman" w:eastAsia="Times New Roman" w:hAnsi="Times New Roman"/>
          <w:sz w:val="16"/>
          <w:szCs w:val="16"/>
          <w:u w:val="single" w:color="auto"/>
          <w:color w:val="auto"/>
        </w:rPr>
        <w:t>Securities Subject to Agreement</w:t>
      </w:r>
      <w:r>
        <w:rPr>
          <w:rFonts w:ascii="Times New Roman" w:cs="Times New Roman" w:eastAsia="Times New Roman" w:hAnsi="Times New Roman"/>
          <w:sz w:val="16"/>
          <w:szCs w:val="16"/>
          <w:color w:val="auto"/>
        </w:rPr>
        <w:t>. This Agreement will apply to (a) the Units held by the Members, as well as any Equity Securities hereafter acquired by any such Member (including any Units issued upon the exercise, conversion or exchange of any Equity Securities), and (b) any and all Equity Securities that may be issued in respect of, in exchange for or in substitution of other Equity Securities, by reason of any Unit dividend, split, reverse split, combination, reclassification, merger, recapitalization, unit or limited liability company interest exchange or other transaction. In addition, all references herein to specific numbers of Units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04" w:name="page205"/>
    <w:bookmarkEnd w:id="204"/>
    <w:p>
      <w:pPr>
        <w:ind w:left="4860" w:right="1479" w:hanging="4853"/>
        <w:spacing w:after="0" w:line="489" w:lineRule="auto"/>
        <w:rPr>
          <w:sz w:val="20"/>
          <w:szCs w:val="20"/>
          <w:color w:val="auto"/>
        </w:rPr>
      </w:pPr>
      <w:r>
        <w:rPr>
          <w:rFonts w:ascii="Times New Roman" w:cs="Times New Roman" w:eastAsia="Times New Roman" w:hAnsi="Times New Roman"/>
          <w:sz w:val="16"/>
          <w:szCs w:val="16"/>
          <w:color w:val="auto"/>
        </w:rPr>
        <w:t xml:space="preserve">dollar amounts in respect of such Units, in each case, will be appropriately adjusted for any of the events set forth in this </w:t>
      </w:r>
      <w:r>
        <w:rPr>
          <w:rFonts w:ascii="Times New Roman" w:cs="Times New Roman" w:eastAsia="Times New Roman" w:hAnsi="Times New Roman"/>
          <w:sz w:val="16"/>
          <w:szCs w:val="16"/>
          <w:u w:val="single" w:color="auto"/>
          <w:color w:val="auto"/>
        </w:rPr>
        <w:t>Section 14.16</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72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0159"/>
          </w:cols>
          <w:pgMar w:left="300" w:top="1091"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color w:val="auto"/>
        </w:rPr>
        <w:t>The undersigned have executed or caused to be executed on their behalf this Agreement as of the date first above written.</w:t>
      </w:r>
    </w:p>
    <w:p>
      <w:pPr>
        <w:sectPr>
          <w:pgSz w:w="11900" w:h="16838" w:orient="portrait"/>
          <w:cols w:equalWidth="0" w:num="1">
            <w:col w:w="9679"/>
          </w:cols>
          <w:pgMar w:left="780" w:top="1091" w:right="1440" w:bottom="1440" w:gutter="0" w:footer="0" w:header="0"/>
        </w:sectPr>
      </w:pPr>
    </w:p>
    <w:p>
      <w:pPr>
        <w:spacing w:after="0" w:line="15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GREENBOX SYSTEMS LLC</w:t>
      </w:r>
    </w:p>
    <w:p>
      <w:pPr>
        <w:spacing w:after="0" w:line="367" w:lineRule="exact"/>
        <w:rPr>
          <w:sz w:val="20"/>
          <w:szCs w:val="20"/>
          <w:color w:val="auto"/>
        </w:rPr>
      </w:pPr>
    </w:p>
    <w:p>
      <w:pPr>
        <w:ind w:left="2400"/>
        <w:spacing w:after="0"/>
        <w:tabs>
          <w:tab w:leader="none" w:pos="2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u w:val="single" w:color="auto"/>
          <w:color w:val="auto"/>
        </w:rPr>
        <w:t>/s/ Vikas Parekh</w:t>
      </w:r>
    </w:p>
    <w:p>
      <w:pPr>
        <w:spacing w:after="0" w:line="2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Name: Vikas Parekh</w:t>
      </w:r>
    </w:p>
    <w:p>
      <w:pPr>
        <w:spacing w:after="0" w:line="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Title: Manager</w:t>
      </w:r>
    </w:p>
    <w:p>
      <w:pPr>
        <w:spacing w:after="0" w:line="34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SUNLIGHT INVESTMENT CORP.</w:t>
      </w:r>
    </w:p>
    <w:p>
      <w:pPr>
        <w:spacing w:after="0" w:line="200" w:lineRule="exact"/>
        <w:rPr>
          <w:sz w:val="20"/>
          <w:szCs w:val="20"/>
          <w:color w:val="auto"/>
        </w:rPr>
      </w:pPr>
    </w:p>
    <w:p>
      <w:pPr>
        <w:spacing w:after="0" w:line="347" w:lineRule="exact"/>
        <w:rPr>
          <w:sz w:val="20"/>
          <w:szCs w:val="20"/>
          <w:color w:val="auto"/>
        </w:rPr>
      </w:pPr>
    </w:p>
    <w:p>
      <w:pPr>
        <w:ind w:left="2400"/>
        <w:spacing w:after="0"/>
        <w:tabs>
          <w:tab w:leader="none" w:pos="2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u w:val="single" w:color="auto"/>
          <w:color w:val="auto"/>
        </w:rPr>
        <w:t>/s/ Jared Roscoe</w:t>
      </w:r>
    </w:p>
    <w:p>
      <w:pPr>
        <w:spacing w:after="0" w:line="2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Name: Jared Roscoe</w:t>
      </w:r>
    </w:p>
    <w:p>
      <w:pPr>
        <w:spacing w:after="0" w:line="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Title: Vice President &amp; Treasurer</w:t>
      </w:r>
    </w:p>
    <w:p>
      <w:pPr>
        <w:spacing w:after="0" w:line="3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SYMBOTIC HOLDINGS LLC</w:t>
      </w:r>
    </w:p>
    <w:p>
      <w:pPr>
        <w:spacing w:after="0" w:line="200" w:lineRule="exact"/>
        <w:rPr>
          <w:sz w:val="20"/>
          <w:szCs w:val="20"/>
          <w:color w:val="auto"/>
        </w:rPr>
      </w:pPr>
    </w:p>
    <w:p>
      <w:pPr>
        <w:spacing w:after="0" w:line="347" w:lineRule="exact"/>
        <w:rPr>
          <w:sz w:val="20"/>
          <w:szCs w:val="20"/>
          <w:color w:val="auto"/>
        </w:rPr>
      </w:pPr>
    </w:p>
    <w:p>
      <w:pPr>
        <w:ind w:left="2400"/>
        <w:spacing w:after="0"/>
        <w:tabs>
          <w:tab w:leader="none" w:pos="2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u w:val="single" w:color="auto"/>
          <w:color w:val="auto"/>
        </w:rPr>
        <w:t>/s/ Richard B. Cohen</w:t>
      </w:r>
    </w:p>
    <w:p>
      <w:pPr>
        <w:spacing w:after="0" w:line="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Name: Richard B. Cohen</w:t>
      </w:r>
    </w:p>
    <w:p>
      <w:pPr>
        <w:spacing w:after="0" w:line="1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Amended and Restated Limited Liability Company Agreement</w:t>
      </w:r>
      <w:r>
        <w:rPr>
          <w:rFonts w:ascii="Times New Roman" w:cs="Times New Roman" w:eastAsia="Times New Roman" w:hAnsi="Times New Roman"/>
          <w:sz w:val="13"/>
          <w:szCs w:val="13"/>
          <w:color w:val="auto"/>
        </w:rPr>
        <w:t>]</w:t>
      </w:r>
    </w:p>
    <w:p>
      <w:pPr>
        <w:sectPr>
          <w:pgSz w:w="11900" w:h="16838" w:orient="portrait"/>
          <w:cols w:equalWidth="0" w:num="1">
            <w:col w:w="9679"/>
          </w:cols>
          <w:pgMar w:left="780" w:top="1091" w:right="1440" w:bottom="1440" w:gutter="0" w:footer="0" w:header="0"/>
          <w:type w:val="continuous"/>
        </w:sectPr>
      </w:pPr>
    </w:p>
    <w:bookmarkStart w:id="206" w:name="page207"/>
    <w:bookmarkEnd w:id="206"/>
    <w:p>
      <w:pPr>
        <w:ind w:left="5100"/>
        <w:spacing w:after="0"/>
        <w:rPr>
          <w:sz w:val="20"/>
          <w:szCs w:val="20"/>
          <w:color w:val="auto"/>
        </w:rPr>
      </w:pPr>
      <w:r>
        <w:rPr>
          <w:rFonts w:ascii="Times New Roman" w:cs="Times New Roman" w:eastAsia="Times New Roman" w:hAnsi="Times New Roman"/>
          <w:sz w:val="16"/>
          <w:szCs w:val="16"/>
          <w:color w:val="auto"/>
        </w:rPr>
        <w:t>SCHEDULE 1.1</w:t>
      </w:r>
    </w:p>
    <w:p>
      <w:pPr>
        <w:spacing w:after="0" w:line="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DEFINITIONS</w:t>
      </w:r>
    </w:p>
    <w:p>
      <w:pPr>
        <w:spacing w:after="0" w:line="139"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10% Member Consent</w:t>
      </w:r>
      <w:r>
        <w:rPr>
          <w:rFonts w:ascii="Times New Roman" w:cs="Times New Roman" w:eastAsia="Times New Roman" w:hAnsi="Times New Roman"/>
          <w:sz w:val="16"/>
          <w:szCs w:val="16"/>
          <w:color w:val="auto"/>
        </w:rPr>
        <w:t>” means the prior written consent or prior written waiver of (i) the Symbotic Member, (ii) the SB Member and (iii) any other Member that holds at least 10% of the Units.</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Additional Member</w:t>
      </w:r>
      <w:r>
        <w:rPr>
          <w:rFonts w:ascii="Times New Roman" w:cs="Times New Roman" w:eastAsia="Times New Roman" w:hAnsi="Times New Roman"/>
          <w:sz w:val="16"/>
          <w:szCs w:val="16"/>
          <w:color w:val="auto"/>
        </w:rPr>
        <w:t xml:space="preserve">” means a Person admitted to the Company as a Member pursuant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Admission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9.4(a)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any particular Person means any other Person controlling, controlled by or under common control with such particular Person, where “</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xml:space="preserve">” means the possession, directly or indirectly, of the power to direct the management and policies of a Person, whether through the ownership of voting securities, by contract or otherwise;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none of (i) the SB Member and its Subsidiaries (or any Person that “controls” any of the foregoing), (ii) the Symbotic Member and its Subsidiaries (or any Person that “controls” any of the foregoing) and (iii) the Company and its Subsidiaries, if any, (or any Person that “controls” any of the foregoing) shall be deemed to be “Affiliates” of each other. For purposes hereof, any Subsidiary of the Company will be deemed an Affiliate of the Company.</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Ancillary Agreements</w:t>
      </w:r>
      <w:r>
        <w:rPr>
          <w:rFonts w:ascii="Times New Roman" w:cs="Times New Roman" w:eastAsia="Times New Roman" w:hAnsi="Times New Roman"/>
          <w:sz w:val="16"/>
          <w:szCs w:val="16"/>
          <w:color w:val="auto"/>
        </w:rPr>
        <w:t>” means each of the Framework Agreement, the Commercial Agreement and the Warrant.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Annual Budget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5.6(a)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Tax Rate</w:t>
      </w:r>
      <w:r>
        <w:rPr>
          <w:rFonts w:ascii="Times New Roman" w:cs="Times New Roman" w:eastAsia="Times New Roman" w:hAnsi="Times New Roman"/>
          <w:sz w:val="16"/>
          <w:szCs w:val="16"/>
          <w:color w:val="auto"/>
        </w:rPr>
        <w:t>” means, for any Taxable Year, the highest effective marginal combined federal, state and local income Tax rate applicable to a corporation or individual Member residing in Los Angeles, California or New York, New York (whichever is higher in such Taxable Year), taking into account (i) the character of the relevant tax items (including ordinary or capital), (ii) the deductibility of state and local income taxes for federal income tax purposes (but only to the extent such taxes are deductible under the Code), and (iii) any surtax or excise tax on income (including, for the avoidance of doubt, the Medicare surtax on certain net investment income), as reasonably determined by the Board. For the avoidance of doubt, the same Applicable Tax Rate will apply to all Members.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Approved Sale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9.3(a)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xml:space="preserve">” means a Person to whom Units have been Transferred in accordance with the provisions of this Agreement and the other agreements contemplated by this Agreement, as applicable, but who has not become a Member pursuant to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jc w:val="both"/>
        <w:ind w:firstLine="481"/>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Available Cash</w:t>
      </w:r>
      <w:r>
        <w:rPr>
          <w:rFonts w:ascii="Times New Roman" w:cs="Times New Roman" w:eastAsia="Times New Roman" w:hAnsi="Times New Roman"/>
          <w:sz w:val="16"/>
          <w:szCs w:val="16"/>
          <w:color w:val="auto"/>
        </w:rPr>
        <w:t>” means, as of any relevant time of determination, to the extent able to be distributed under applicable Laws, an amount equal to (i) all cash and cash equivalents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07" w:name="page208"/>
    <w:bookmarkEnd w:id="207"/>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Company and its Subsidiaries (with respect to such Subsidiaries, limited to the Company’s proportionate share of such amounts based on its equity ownership interests in such Subsidiaries),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(ii) cash or cash equivalents held in or attributable to a Permitted Reserve as determined by the Board in accordance with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Blocker Corporation</w:t>
      </w:r>
      <w:r>
        <w:rPr>
          <w:rFonts w:ascii="Times New Roman" w:cs="Times New Roman" w:eastAsia="Times New Roman" w:hAnsi="Times New Roman"/>
          <w:sz w:val="16"/>
          <w:szCs w:val="16"/>
          <w:color w:val="auto"/>
        </w:rPr>
        <w:t>” means a special purpose Person that (a) is classified as a corporation for U.S. federal income tax purposes that is an Affiliate of the SB Member (or any Transferee of the SB Member) and (b) was formed and at all times maintained exclusively for the purposes of owning, directly or indirectly, Units and has never conducted any business, or entered into any arrangement, in each case, other than in connection with its purchase and ownership of Units.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Capital Determination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Book Value</w:t>
      </w:r>
      <w:r>
        <w:rPr>
          <w:rFonts w:ascii="Times New Roman" w:cs="Times New Roman" w:eastAsia="Times New Roman" w:hAnsi="Times New Roman"/>
          <w:sz w:val="16"/>
          <w:szCs w:val="16"/>
          <w:color w:val="auto"/>
        </w:rPr>
        <w:t>” means, with respect to any asset, the asset’s adjusted tax basis for U.S. federal income tax purposes, except as follows:</w:t>
      </w:r>
    </w:p>
    <w:p>
      <w:pPr>
        <w:spacing w:after="0" w:line="157" w:lineRule="exact"/>
        <w:rPr>
          <w:sz w:val="20"/>
          <w:szCs w:val="20"/>
          <w:color w:val="auto"/>
        </w:rPr>
      </w:pPr>
    </w:p>
    <w:p>
      <w:pPr>
        <w:ind w:left="480" w:firstLine="962"/>
        <w:spacing w:after="0" w:line="280" w:lineRule="auto"/>
        <w:tabs>
          <w:tab w:leader="none" w:pos="1913"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Book Value of any asset contributed by a Member to the Company will be the gross Fair Market Value of such asset at the time of contribution, as determined by the contributing Member and the Company.</w:t>
      </w:r>
    </w:p>
    <w:p>
      <w:pPr>
        <w:spacing w:after="0" w:line="111" w:lineRule="exact"/>
        <w:rPr>
          <w:rFonts w:ascii="Times New Roman" w:cs="Times New Roman" w:eastAsia="Times New Roman" w:hAnsi="Times New Roman"/>
          <w:sz w:val="16"/>
          <w:szCs w:val="16"/>
          <w:color w:val="auto"/>
        </w:rPr>
      </w:pPr>
    </w:p>
    <w:p>
      <w:pPr>
        <w:jc w:val="both"/>
        <w:ind w:left="480" w:firstLine="962"/>
        <w:spacing w:after="0" w:line="254" w:lineRule="auto"/>
        <w:tabs>
          <w:tab w:leader="none" w:pos="191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Book Value of all Company assets may, as determined by the Board, be adjusted to equal their respective Fair Market Values, as determined by the Board, and, in accordance with Treasury Regulations Section 1.704-1(b)(2)(iv)(f), the resulting unrecognized profit or loss will be allocated to the Capital Accounts of the Members pursuant to </w:t>
      </w:r>
      <w:r>
        <w:rPr>
          <w:rFonts w:ascii="Times New Roman" w:cs="Times New Roman" w:eastAsia="Times New Roman" w:hAnsi="Times New Roman"/>
          <w:sz w:val="16"/>
          <w:szCs w:val="16"/>
          <w:u w:val="single" w:color="auto"/>
          <w:color w:val="auto"/>
        </w:rPr>
        <w:t>Section 3.7</w:t>
      </w:r>
      <w:r>
        <w:rPr>
          <w:rFonts w:ascii="Times New Roman" w:cs="Times New Roman" w:eastAsia="Times New Roman" w:hAnsi="Times New Roman"/>
          <w:sz w:val="16"/>
          <w:szCs w:val="16"/>
          <w:color w:val="auto"/>
        </w:rPr>
        <w:t xml:space="preserve"> as of the following times: (A) the Distribution by the Company to a Member of more than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amount of Company assets, unless all Members receive simultaneous distributions of either undivided interests in the distributed property or identical Company assets in proportion to their interests in the Company; (B) the issuance by the Company of a noncompensatory option (as that term is used in Treasury Regulations Section 1.704-1(b)(2)(iv)(f)); (C) the acquisition of an additional interest in the Company by any new or existing Member in exchange for the provisions of services to or for the benefit of the Company; and (D) the acquisition of an additional interest in the Company by any new or existing Member in exchange for more than a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minimis </w:t>
      </w:r>
      <w:r>
        <w:rPr>
          <w:rFonts w:ascii="Times New Roman" w:cs="Times New Roman" w:eastAsia="Times New Roman" w:hAnsi="Times New Roman"/>
          <w:sz w:val="16"/>
          <w:szCs w:val="16"/>
          <w:color w:val="auto"/>
        </w:rPr>
        <w:t>Capital Contribution.</w:t>
      </w:r>
    </w:p>
    <w:p>
      <w:pPr>
        <w:spacing w:after="0" w:line="144" w:lineRule="exact"/>
        <w:rPr>
          <w:rFonts w:ascii="Times New Roman" w:cs="Times New Roman" w:eastAsia="Times New Roman" w:hAnsi="Times New Roman"/>
          <w:sz w:val="16"/>
          <w:szCs w:val="16"/>
          <w:color w:val="auto"/>
        </w:rPr>
      </w:pPr>
    </w:p>
    <w:p>
      <w:pPr>
        <w:ind w:left="1920" w:hanging="478"/>
        <w:spacing w:after="0"/>
        <w:tabs>
          <w:tab w:leader="none" w:pos="19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 Value of any Company asset distributed to any Member will be adjusted to equal the gross Fair Market Value of such asset on the date</w:t>
      </w:r>
    </w:p>
    <w:p>
      <w:pPr>
        <w:spacing w:after="0" w:line="24"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distribution.</w:t>
      </w:r>
    </w:p>
    <w:p>
      <w:pPr>
        <w:spacing w:after="0" w:line="148" w:lineRule="exact"/>
        <w:rPr>
          <w:rFonts w:ascii="Times New Roman" w:cs="Times New Roman" w:eastAsia="Times New Roman" w:hAnsi="Times New Roman"/>
          <w:sz w:val="16"/>
          <w:szCs w:val="16"/>
          <w:color w:val="auto"/>
        </w:rPr>
      </w:pPr>
    </w:p>
    <w:p>
      <w:pPr>
        <w:jc w:val="both"/>
        <w:ind w:left="480" w:firstLine="962"/>
        <w:spacing w:after="0" w:line="264" w:lineRule="auto"/>
        <w:tabs>
          <w:tab w:leader="none" w:pos="1913"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 Value of Company assets will be increased (or decreased) to reflect any adjustments to the adjusted basis of such assets pursuant to Section 734(b) or Section 743(b) of the Code, but only to the extent that such adjustments are taken into account in determining Capital Accounts pursuant to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08" w:name="page209"/>
    <w:bookmarkEnd w:id="208"/>
    <w:p>
      <w:pPr>
        <w:ind w:left="480"/>
        <w:spacing w:after="0" w:line="280" w:lineRule="auto"/>
        <w:rPr>
          <w:sz w:val="20"/>
          <w:szCs w:val="20"/>
          <w:color w:val="auto"/>
        </w:rPr>
      </w:pPr>
      <w:r>
        <w:rPr>
          <w:rFonts w:ascii="Times New Roman" w:cs="Times New Roman" w:eastAsia="Times New Roman" w:hAnsi="Times New Roman"/>
          <w:sz w:val="16"/>
          <w:szCs w:val="16"/>
          <w:color w:val="auto"/>
        </w:rPr>
        <w:t xml:space="preserve">Section 1.704-1(b)(2)(iv)(m);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Book Values will not be adjusted pursuant to this subsection to the extent that an adjustment is required pursuant to subsection (ii) above in connection with a transaction that would otherwise result in an adjustment under this subsection (iv).</w:t>
      </w:r>
    </w:p>
    <w:p>
      <w:pPr>
        <w:spacing w:after="0" w:line="112" w:lineRule="exact"/>
        <w:rPr>
          <w:sz w:val="20"/>
          <w:szCs w:val="20"/>
          <w:color w:val="auto"/>
        </w:rPr>
      </w:pPr>
    </w:p>
    <w:p>
      <w:pPr>
        <w:ind w:left="1920" w:hanging="478"/>
        <w:spacing w:after="0"/>
        <w:tabs>
          <w:tab w:leader="none" w:pos="19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 Value of any Company asset will be adjusted to reflect any cost recovery deductions claimed with respect to such asset.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Sunday or a day on which commercial banks are authorized or required to close in New York, New York.</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Opportunity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Account</w:t>
      </w:r>
      <w:r>
        <w:rPr>
          <w:rFonts w:ascii="Times New Roman" w:cs="Times New Roman" w:eastAsia="Times New Roman" w:hAnsi="Times New Roman"/>
          <w:sz w:val="16"/>
          <w:szCs w:val="16"/>
          <w:color w:val="auto"/>
        </w:rPr>
        <w:t xml:space="preserve">” means the capital account maintained for a Member pursuant to </w:t>
      </w:r>
      <w:r>
        <w:rPr>
          <w:rFonts w:ascii="Times New Roman" w:cs="Times New Roman" w:eastAsia="Times New Roman" w:hAnsi="Times New Roman"/>
          <w:sz w:val="16"/>
          <w:szCs w:val="16"/>
          <w:u w:val="single" w:color="auto"/>
          <w:color w:val="auto"/>
        </w:rPr>
        <w:t>Section 3.7</w:t>
      </w:r>
      <w:r>
        <w:rPr>
          <w:rFonts w:ascii="Times New Roman" w:cs="Times New Roman" w:eastAsia="Times New Roman" w:hAnsi="Times New Roman"/>
          <w:sz w:val="16"/>
          <w:szCs w:val="16"/>
          <w:color w:val="auto"/>
        </w:rPr>
        <w:t xml:space="preserve"> and the other applicable provisions of this Agreement.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Call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Contributions</w:t>
      </w:r>
      <w:r>
        <w:rPr>
          <w:rFonts w:ascii="Times New Roman" w:cs="Times New Roman" w:eastAsia="Times New Roman" w:hAnsi="Times New Roman"/>
          <w:sz w:val="16"/>
          <w:szCs w:val="16"/>
          <w:color w:val="auto"/>
        </w:rPr>
        <w:t xml:space="preserve">” means, with respect to any Member, the amount of cash and the Fair Market Value of other property contributed or deemed contributed by a Member to the Company pursuant to </w:t>
      </w:r>
      <w:r>
        <w:rPr>
          <w:rFonts w:ascii="Times New Roman" w:cs="Times New Roman" w:eastAsia="Times New Roman" w:hAnsi="Times New Roman"/>
          <w:sz w:val="16"/>
          <w:szCs w:val="16"/>
          <w:u w:val="single" w:color="auto"/>
          <w:color w:val="auto"/>
        </w:rPr>
        <w:t>Sections 3.2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xml:space="preserve"> and as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from time to time.</w:t>
      </w:r>
    </w:p>
    <w:p>
      <w:pPr>
        <w:spacing w:after="0" w:line="122"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Contributions Default Rate</w:t>
      </w:r>
      <w:r>
        <w:rPr>
          <w:rFonts w:ascii="Times New Roman" w:cs="Times New Roman" w:eastAsia="Times New Roman" w:hAnsi="Times New Roman"/>
          <w:sz w:val="16"/>
          <w:szCs w:val="16"/>
          <w:color w:val="auto"/>
        </w:rPr>
        <w:t xml:space="preserve">” means, as of any date of determination, a variable rate per annum equal to (A) the greater of (x) the Secured Overnight Financing Rate most recently published by the Federal Reserve Bank of New York, as the administrator of such rate (or any successor administrator of such rate), on the website of the Federal Reserve Bank of New York currently at http://www.newyorkfed.org, or any successor website of the Federal Reserve Bank of New York, and (y) zero percent,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800 basis points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(but not in excess of the highest rate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permitted by Law), compounded on the last day of each Fiscal Quarter.</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 for Removal</w:t>
      </w:r>
      <w:r>
        <w:rPr>
          <w:rFonts w:ascii="Times New Roman" w:cs="Times New Roman" w:eastAsia="Times New Roman" w:hAnsi="Times New Roman"/>
          <w:sz w:val="16"/>
          <w:szCs w:val="16"/>
          <w:color w:val="auto"/>
        </w:rPr>
        <w:t>” means, with respect to any Manager, such individual (i) has been found by a court to be incapable of managing such individual’s own affairs,</w:t>
      </w:r>
    </w:p>
    <w:p>
      <w:pPr>
        <w:spacing w:after="0" w:line="24" w:lineRule="exact"/>
        <w:rPr>
          <w:sz w:val="20"/>
          <w:szCs w:val="20"/>
          <w:color w:val="auto"/>
        </w:rPr>
      </w:pPr>
    </w:p>
    <w:p>
      <w:pPr>
        <w:jc w:val="both"/>
        <w:spacing w:after="0" w:line="255" w:lineRule="auto"/>
        <w:tabs>
          <w:tab w:leader="none" w:pos="23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undischarged bankrupt, (iii) has been convicted of a felony by a court of competent jurisdiction and that conviction is no longer subject to direct appeal, (iv) has been convicted of an offense in connection with the promotion, formation or management of a corporation or unincorporated business or an offense involving fraud, (v) has been found to have been guilty of willful misconduct in the performance of such individual’s duties to the Company, or (vi) has been adjudicated by a court of competent jurisdiction to be mentally incompetent, which mental incompetency directly affects such individual’s ability to serve as Manager.</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has the meaning set forth in the Recitals.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Certificated Units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CFIUS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6.3(b)(ix)</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09" w:name="page210"/>
    <w:bookmarkEnd w:id="209"/>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Chairperson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5.2(f)</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A Holders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4.2(a)(ii)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B Holders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4.2(a)(iii)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United States Internal Revenue Code of 1986.</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Commercial Agreement</w:t>
      </w:r>
      <w:r>
        <w:rPr>
          <w:rFonts w:ascii="Times New Roman" w:cs="Times New Roman" w:eastAsia="Times New Roman" w:hAnsi="Times New Roman"/>
          <w:sz w:val="16"/>
          <w:szCs w:val="16"/>
          <w:color w:val="auto"/>
        </w:rPr>
        <w:t>” has the meaning set forth in the Recitals.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Unit</w:t>
      </w:r>
      <w:r>
        <w:rPr>
          <w:rFonts w:ascii="Times New Roman" w:cs="Times New Roman" w:eastAsia="Times New Roman" w:hAnsi="Times New Roman"/>
          <w:sz w:val="16"/>
          <w:szCs w:val="16"/>
          <w:color w:val="auto"/>
        </w:rPr>
        <w:t>” means a Unit having the rights and obligations specified with respect to a Common Unit in this Agreement.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6.6(a)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Conflict of Interest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Member</w:t>
      </w:r>
      <w:r>
        <w:rPr>
          <w:rFonts w:ascii="Times New Roman" w:cs="Times New Roman" w:eastAsia="Times New Roman" w:hAnsi="Times New Roman"/>
          <w:sz w:val="16"/>
          <w:szCs w:val="16"/>
          <w:color w:val="auto"/>
        </w:rPr>
        <w:t>” means any Member that is a Covered Person.</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Person</w:t>
      </w:r>
      <w:r>
        <w:rPr>
          <w:rFonts w:ascii="Times New Roman" w:cs="Times New Roman" w:eastAsia="Times New Roman" w:hAnsi="Times New Roman"/>
          <w:sz w:val="16"/>
          <w:szCs w:val="16"/>
          <w:color w:val="auto"/>
        </w:rPr>
        <w:t>” means any “covered person” as defined in Rule 506 of the Securities Act.</w:t>
      </w:r>
    </w:p>
    <w:p>
      <w:pPr>
        <w:spacing w:after="0" w:line="157"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Support</w:t>
      </w:r>
      <w:r>
        <w:rPr>
          <w:rFonts w:ascii="Times New Roman" w:cs="Times New Roman" w:eastAsia="Times New Roman" w:hAnsi="Times New Roman"/>
          <w:sz w:val="16"/>
          <w:szCs w:val="16"/>
          <w:color w:val="auto"/>
        </w:rPr>
        <w:t xml:space="preserve">” means (i) an Equity Commitment Letter, including the SB ECL, (ii) a customary letter of credit, with only administrative draw conditions, provided by a Qualified Institution or (iii) such other guarantee or financial security arrangement as is acceptable to the Board (acting unanimously) at the time such financial security is to be provided, in each case that is provided as set forth herein, on behalf of the applicable Member by a Qualified Institution (in the case of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or one or more of its Affiliates.</w:t>
      </w:r>
    </w:p>
    <w:p>
      <w:pPr>
        <w:spacing w:after="0" w:line="115"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Support Provider</w:t>
      </w:r>
      <w:r>
        <w:rPr>
          <w:rFonts w:ascii="Times New Roman" w:cs="Times New Roman" w:eastAsia="Times New Roman" w:hAnsi="Times New Roman"/>
          <w:sz w:val="16"/>
          <w:szCs w:val="16"/>
          <w:color w:val="auto"/>
        </w:rPr>
        <w:t>” means (i) in respect of the SB Member or the Syndication Parties, SVF II Strategic Investments AIV LLC or such other Affiliate of the SB Member reasonably acceptable to the Board (acting unanimously) and (ii) in respect of any other Member, such other Person (including the Transferring Member in respect of a Transfer) that is providing credit support or other financial security on behalf of such Member that is acceptable to the Board (acting unanimously) for any Credit Support, at the time provided.</w:t>
      </w:r>
    </w:p>
    <w:p>
      <w:pPr>
        <w:spacing w:after="0" w:line="11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Support Release Date</w:t>
      </w:r>
      <w:r>
        <w:rPr>
          <w:rFonts w:ascii="Times New Roman" w:cs="Times New Roman" w:eastAsia="Times New Roman" w:hAnsi="Times New Roman"/>
          <w:sz w:val="16"/>
          <w:szCs w:val="16"/>
          <w:color w:val="auto"/>
        </w:rPr>
        <w:t>” means, in respect of any Member, the date which the Remaining Commitment Amount for such Member, or in the case of the SB Member, the SB Member and the Syndication Parties, is zero.</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CTA</w:t>
      </w:r>
      <w:r>
        <w:rPr>
          <w:rFonts w:ascii="Times New Roman" w:cs="Times New Roman" w:eastAsia="Times New Roman" w:hAnsi="Times New Roman"/>
          <w:sz w:val="16"/>
          <w:szCs w:val="16"/>
          <w:color w:val="auto"/>
        </w:rPr>
        <w:t>” means the Corporate Transparency Act (31 U.S.C. § 5336), enacted as part of the National Defense Authorization Act for Fiscal Year 2021.</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Cure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10" w:name="page211"/>
    <w:bookmarkEnd w:id="210"/>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Call Right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9.11(a)(iii)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Rate</w:t>
      </w:r>
      <w:r>
        <w:rPr>
          <w:rFonts w:ascii="Times New Roman" w:cs="Times New Roman" w:eastAsia="Times New Roman" w:hAnsi="Times New Roman"/>
          <w:sz w:val="16"/>
          <w:szCs w:val="16"/>
          <w:color w:val="auto"/>
        </w:rPr>
        <w:t xml:space="preserve">” means, as of any date of determination, a variable rate per annum equal to (A) the greater of (x) the Secured Overnight Financing Rate most recently published by the Federal Reserve Bank of New York, as the administrator of such rate (or any successor administrator of such rate), on the website of the Federal Reserve Bank of New York currently at http://www.newyorkfed.org, or any successor website of the Federal Reserve Bank of New York, and (y) zero percent,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500 basis points </w:t>
      </w:r>
      <w:r>
        <w:rPr>
          <w:rFonts w:ascii="Times New Roman" w:cs="Times New Roman" w:eastAsia="Times New Roman" w:hAnsi="Times New Roman"/>
          <w:sz w:val="16"/>
          <w:szCs w:val="16"/>
          <w:i w:val="1"/>
          <w:iCs w:val="1"/>
          <w:color w:val="auto"/>
        </w:rPr>
        <w:t>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annum </w:t>
      </w:r>
      <w:r>
        <w:rPr>
          <w:rFonts w:ascii="Times New Roman" w:cs="Times New Roman" w:eastAsia="Times New Roman" w:hAnsi="Times New Roman"/>
          <w:sz w:val="16"/>
          <w:szCs w:val="16"/>
          <w:color w:val="auto"/>
        </w:rPr>
        <w:t>(but not in excess of the highest rate</w:t>
      </w:r>
      <w:r>
        <w:rPr>
          <w:rFonts w:ascii="Times New Roman" w:cs="Times New Roman" w:eastAsia="Times New Roman" w:hAnsi="Times New Roman"/>
          <w:sz w:val="16"/>
          <w:szCs w:val="16"/>
          <w:i w:val="1"/>
          <w:iCs w:val="1"/>
          <w:color w:val="auto"/>
        </w:rPr>
        <w:t xml:space="preserve"> per annum </w:t>
      </w:r>
      <w:r>
        <w:rPr>
          <w:rFonts w:ascii="Times New Roman" w:cs="Times New Roman" w:eastAsia="Times New Roman" w:hAnsi="Times New Roman"/>
          <w:sz w:val="16"/>
          <w:szCs w:val="16"/>
          <w:color w:val="auto"/>
        </w:rPr>
        <w:t>permitted by Law), compounded on the last day of each Fiscal Quarter.</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Defaulted Amount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Defaulting Member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Delaware Act</w:t>
      </w:r>
      <w:r>
        <w:rPr>
          <w:rFonts w:ascii="Times New Roman" w:cs="Times New Roman" w:eastAsia="Times New Roman" w:hAnsi="Times New Roman"/>
          <w:sz w:val="16"/>
          <w:szCs w:val="16"/>
          <w:color w:val="auto"/>
        </w:rPr>
        <w:t xml:space="preserve">” means the Delaware Limited Liability Company Act, 6 Del. C. Sections 18-101 </w:t>
      </w:r>
      <w:r>
        <w:rPr>
          <w:rFonts w:ascii="Times New Roman" w:cs="Times New Roman" w:eastAsia="Times New Roman" w:hAnsi="Times New Roman"/>
          <w:sz w:val="16"/>
          <w:szCs w:val="16"/>
          <w:i w:val="1"/>
          <w:iCs w:val="1"/>
          <w:color w:val="auto"/>
        </w:rPr>
        <w:t>et seq.</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Disqualification Event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3.14</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Covered Member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3.15(a)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Designee</w:t>
      </w:r>
      <w:r>
        <w:rPr>
          <w:rFonts w:ascii="Times New Roman" w:cs="Times New Roman" w:eastAsia="Times New Roman" w:hAnsi="Times New Roman"/>
          <w:sz w:val="16"/>
          <w:szCs w:val="16"/>
          <w:color w:val="auto"/>
        </w:rPr>
        <w:t>” means any Covered Person to whom any Disqualification Event is applicable, except for a Disqualification Event to which Rule 506(d)(2)(ii), (d)(2)(iii) or (d)(3) promulgated under the Securities Act is applicable.</w:t>
      </w:r>
    </w:p>
    <w:p>
      <w:pPr>
        <w:spacing w:after="0" w:line="82"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xml:space="preserve">” means each distribution made by the Company to a Member with respect to such Member’s Units, whether in cash, property or securities and whether by liquidating distribution, redemption, repurchase or otherwise;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none of the following will be deemed to be a Distribution hereunder: (i) any redemption or repurchase by the Company of any securities of the Company in connection with the termination of employment or other engagement of an employee or service provider of the Company or any of its Subsidiaries; (ii) any recapitalization, exchange or conversion of securities of the Company, and any subdivision (by unit split or otherwise) or any combination (by reverse unit split or otherwise) of any outstanding Units; (iii) any repurchase of Units pursuant to any right of first refusal or repurchase right in favor of the Company; and (iv) any redemption of Units from Members pursuant to the terms of this Agreement.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Distribution Payment Date</w:t>
      </w:r>
      <w:r>
        <w:rPr>
          <w:rFonts w:ascii="Times New Roman" w:cs="Times New Roman" w:eastAsia="Times New Roman" w:hAnsi="Times New Roman"/>
          <w:sz w:val="16"/>
          <w:szCs w:val="16"/>
          <w:color w:val="auto"/>
        </w:rPr>
        <w:t xml:space="preserve">” means the day that is five Business Days following the delivery of the Available Cash statement contemplated by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Dual Hat Person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6.6(d)</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has the meaning set forth in the Preamble.</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Emergency</w:t>
      </w:r>
      <w:r>
        <w:rPr>
          <w:rFonts w:ascii="Times New Roman" w:cs="Times New Roman" w:eastAsia="Times New Roman" w:hAnsi="Times New Roman"/>
          <w:sz w:val="16"/>
          <w:szCs w:val="16"/>
          <w:color w:val="auto"/>
        </w:rPr>
        <w:t>” means an unplanned event, occurrence or condition (including any act of God, natural disaster, fire, condition endangering health and human safety, cyber-attack, war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11" w:name="page212"/>
    <w:bookmarkEnd w:id="211"/>
    <w:p>
      <w:pPr>
        <w:jc w:val="both"/>
        <w:spacing w:after="0" w:line="280" w:lineRule="auto"/>
        <w:rPr>
          <w:sz w:val="20"/>
          <w:szCs w:val="20"/>
          <w:color w:val="auto"/>
        </w:rPr>
      </w:pPr>
      <w:r>
        <w:rPr>
          <w:rFonts w:ascii="Times New Roman" w:cs="Times New Roman" w:eastAsia="Times New Roman" w:hAnsi="Times New Roman"/>
          <w:sz w:val="16"/>
          <w:szCs w:val="16"/>
          <w:color w:val="auto"/>
        </w:rPr>
        <w:t>terrorist attack) affecting the Company that has caused, or that poses an imminent risk of causing, (i) loss of life or serious bodily harm to any individual; or (ii) substantial damage to or destruction of any of the property owned or leased by the Company.</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Emergency Loan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Commitment Letter</w:t>
      </w:r>
      <w:r>
        <w:rPr>
          <w:rFonts w:ascii="Times New Roman" w:cs="Times New Roman" w:eastAsia="Times New Roman" w:hAnsi="Times New Roman"/>
          <w:sz w:val="16"/>
          <w:szCs w:val="16"/>
          <w:color w:val="auto"/>
        </w:rPr>
        <w:t>” means an equity commitment letter delivered by a Credit Support Provider to such Member (with the Company as third-party beneficiary thereto), in a form that is reasonably acceptable to the Board, pursuant to which such Credit Support Provider has committed to provide equity commitments in the aggregate amounts set forth therein, for the purpose of funding the Member’s Capital Contributions.</w:t>
      </w:r>
    </w:p>
    <w:p>
      <w:pPr>
        <w:spacing w:after="0" w:line="114"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Securities</w:t>
      </w:r>
      <w:r>
        <w:rPr>
          <w:rFonts w:ascii="Times New Roman" w:cs="Times New Roman" w:eastAsia="Times New Roman" w:hAnsi="Times New Roman"/>
          <w:sz w:val="16"/>
          <w:szCs w:val="16"/>
          <w:color w:val="auto"/>
        </w:rPr>
        <w:t>” means (i) any Units, capital stock, partnership, membership or limited liability company interests or other equity interests (including other classes, groups or series thereof having such relative rights, powers, duties, obligations and liabilities as may from time to time be established by the Board, including rights, powers, duties, obligations and liabilities different from, senior to or more favorable than existing classes, groups and series of Units, capital stock, partnership, membership or limited liability company interests or other equity interests, including any profits interests), (ii) obligations, evidences of indebtedness or other securities or interests, in each case, convertible or exchangeable into Units, capital stock, partnership interests, membership or limited liability company interests or other equity interests, and (iii) warrants, options or other rights to purchase or otherwise acquire Units, capital stock, partnership interests, membership or limited liability company interests or other equity interests. Unless the context expressly indicates otherwise, the term “Equity Securities” refers to Equity Securities of the Company.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 of Withdrawal</w:t>
      </w:r>
      <w:r>
        <w:rPr>
          <w:rFonts w:ascii="Times New Roman" w:cs="Times New Roman" w:eastAsia="Times New Roman" w:hAnsi="Times New Roman"/>
          <w:sz w:val="16"/>
          <w:szCs w:val="16"/>
          <w:color w:val="auto"/>
        </w:rPr>
        <w:t>” means the death, retirement, resignation, expulsion, bankruptcy or dissolution of a Member or the occurrence of any other event that terminates the continued membership of a Member in the Company.</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Exempt Transfer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9.1(d)(i)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Exit Fair Market Value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Exit Fair Market Value Determination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xml:space="preserve">” means, with respect to any asset or equity interest, its fair market value determined according to </w:t>
      </w:r>
      <w:r>
        <w:rPr>
          <w:rFonts w:ascii="Times New Roman" w:cs="Times New Roman" w:eastAsia="Times New Roman" w:hAnsi="Times New Roman"/>
          <w:sz w:val="16"/>
          <w:szCs w:val="16"/>
          <w:u w:val="single" w:color="auto"/>
          <w:color w:val="auto"/>
        </w:rPr>
        <w:t>Article XIII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Family Group</w:t>
      </w:r>
      <w:r>
        <w:rPr>
          <w:rFonts w:ascii="Times New Roman" w:cs="Times New Roman" w:eastAsia="Times New Roman" w:hAnsi="Times New Roman"/>
          <w:sz w:val="16"/>
          <w:szCs w:val="16"/>
          <w:color w:val="auto"/>
        </w:rPr>
        <w:t>” means, with respect to a Person who is an individual, (i) such individual’s executor or personal representative, spouse, domestic partner, child (natural or adopted), or any other direct lineal descendant of such Person (or his, her or their spouse or domestic partner), (ii) any trust, any trustee of which is such individual or such individual’s executor or personal representative or such individual’s children, spouse or domestic partner and which at all times is and remains solely for the benefit of such individual or such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12" w:name="page213"/>
    <w:bookmarkEnd w:id="212"/>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relatives or domestic partner, and (iii) any corporation, limited partnership, limited liability company or other tax flow-through entity the governing instruments of which provide that such individual or such individual’s executor or personal representative will have the exclusive, nontransferable power to direct the management and policies of such entity and of which the sole record and beneficial owners of stock, partnership interests, membership interests or any other equity interests are limited to such individual or the trusts described in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xml:space="preserve"> above, in each of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whether by will or the laws of intestate succession.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Fiduciary Duty Fallaway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Final Third Party Offer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9.10(c)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Fiscal Quarter</w:t>
      </w:r>
      <w:r>
        <w:rPr>
          <w:rFonts w:ascii="Times New Roman" w:cs="Times New Roman" w:eastAsia="Times New Roman" w:hAnsi="Times New Roman"/>
          <w:sz w:val="16"/>
          <w:szCs w:val="16"/>
          <w:color w:val="auto"/>
        </w:rPr>
        <w:t>” means each fiscal quarter of the Symbotic Member, or such other quarterly accounting period as may be established by the Board or as required by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Code.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Fiscal Year</w:t>
      </w:r>
      <w:r>
        <w:rPr>
          <w:rFonts w:ascii="Times New Roman" w:cs="Times New Roman" w:eastAsia="Times New Roman" w:hAnsi="Times New Roman"/>
          <w:sz w:val="16"/>
          <w:szCs w:val="16"/>
          <w:color w:val="auto"/>
        </w:rPr>
        <w:t>” means the one year period ending on the thirty-first of March of each year.</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Foreclosure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9.11(a)(i)</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Forfeiture Allocations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Framework Agreement</w:t>
      </w:r>
      <w:r>
        <w:rPr>
          <w:rFonts w:ascii="Times New Roman" w:cs="Times New Roman" w:eastAsia="Times New Roman" w:hAnsi="Times New Roman"/>
          <w:sz w:val="16"/>
          <w:szCs w:val="16"/>
          <w:color w:val="auto"/>
        </w:rPr>
        <w:t>” has the meaning set forth in the Recitals.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Funded Commitment Amount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U.S. generally accepted accounting principles, in effect from time to time.</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the United States of America or any other nation, any state or other political subdivision thereof, or any entity exercising executive, legislative, judicial, regulatory or administrative functions of government.</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Granting Member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9.11(a)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Granting Member’s Financial Institutions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9.11(a)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Hart-Scott-Rodino Antitrust Improvements Act of 1976.</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Person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5.7(a)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Appraiser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Manager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5.2(a)(iii)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Third Party</w:t>
      </w:r>
      <w:r>
        <w:rPr>
          <w:rFonts w:ascii="Times New Roman" w:cs="Times New Roman" w:eastAsia="Times New Roman" w:hAnsi="Times New Roman"/>
          <w:sz w:val="16"/>
          <w:szCs w:val="16"/>
          <w:color w:val="auto"/>
        </w:rPr>
        <w:t>” means, with respect to the Company and its Subsidiaries, any Person or group of Persons in which an Initial Member holds less than five percent of the voting securities of such Person or group of Persons and that is not otherwise an Affiliate of such Initial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13" w:name="page214"/>
    <w:bookmarkEnd w:id="213"/>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Member Managers</w:t>
      </w:r>
      <w:r>
        <w:rPr>
          <w:rFonts w:ascii="Times New Roman" w:cs="Times New Roman" w:eastAsia="Times New Roman" w:hAnsi="Times New Roman"/>
          <w:sz w:val="16"/>
          <w:szCs w:val="16"/>
          <w:color w:val="auto"/>
        </w:rPr>
        <w:t>” means the SB Managers and the Symbotic Managers.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Members</w:t>
      </w:r>
      <w:r>
        <w:rPr>
          <w:rFonts w:ascii="Times New Roman" w:cs="Times New Roman" w:eastAsia="Times New Roman" w:hAnsi="Times New Roman"/>
          <w:sz w:val="16"/>
          <w:szCs w:val="16"/>
          <w:color w:val="auto"/>
        </w:rPr>
        <w:t>” means the SB Member and the Symbotic Member.</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Public Offering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9.9(a)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SB Member</w:t>
      </w:r>
      <w:r>
        <w:rPr>
          <w:rFonts w:ascii="Times New Roman" w:cs="Times New Roman" w:eastAsia="Times New Roman" w:hAnsi="Times New Roman"/>
          <w:sz w:val="16"/>
          <w:szCs w:val="16"/>
          <w:color w:val="auto"/>
        </w:rPr>
        <w:t>” has the meaning set forth in the Preamble.</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Symbotic Member</w:t>
      </w:r>
      <w:r>
        <w:rPr>
          <w:rFonts w:ascii="Times New Roman" w:cs="Times New Roman" w:eastAsia="Times New Roman" w:hAnsi="Times New Roman"/>
          <w:sz w:val="16"/>
          <w:szCs w:val="16"/>
          <w:color w:val="auto"/>
        </w:rPr>
        <w:t>” has the meaning set forth in the Preamble.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In-Kind Contribution</w:t>
      </w:r>
      <w:r>
        <w:rPr>
          <w:rFonts w:ascii="Times New Roman" w:cs="Times New Roman" w:eastAsia="Times New Roman" w:hAnsi="Times New Roman"/>
          <w:sz w:val="16"/>
          <w:szCs w:val="16"/>
          <w:color w:val="auto"/>
        </w:rPr>
        <w:t xml:space="preserve">” shall mean an in-kind contribution made in accordance with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in lieu of a cash Capital Contribution to the Company of</w:t>
      </w:r>
    </w:p>
    <w:p>
      <w:pPr>
        <w:spacing w:after="0" w:line="24" w:lineRule="exact"/>
        <w:rPr>
          <w:sz w:val="20"/>
          <w:szCs w:val="20"/>
          <w:color w:val="auto"/>
        </w:rPr>
      </w:pPr>
    </w:p>
    <w:p>
      <w:pPr>
        <w:spacing w:after="0" w:line="270" w:lineRule="auto"/>
        <w:tabs>
          <w:tab w:leader="none" w:pos="195"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Symbotic Systems delivered under and in accordance with the Commercial Agreement or (ii) such other property or services of the Symbotic Member or its Subsidiaries as the SB Member consents to treat as an In-Kind Contribution in its sole discretion.</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In-Kind Contribution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 Restructuring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9.9(b)(i)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IRR</w:t>
      </w:r>
      <w:r>
        <w:rPr>
          <w:rFonts w:ascii="Times New Roman" w:cs="Times New Roman" w:eastAsia="Times New Roman" w:hAnsi="Times New Roman"/>
          <w:sz w:val="16"/>
          <w:szCs w:val="16"/>
          <w:color w:val="auto"/>
        </w:rPr>
        <w:t>” means, with respect to one or more Units, as of any time of determination, the actual internal annualized rate of return based on (i) the aggregate amount of all Capital Contributions paid (or deemed to have been paid) to the Company in respect of such Unit(s) and (ii) all Distributions of cash and cash equivalents paid on such Unit(s) pursuant to this Agreement. IRR shall be calculated using the “XIRR” function in the most recent version of Microsoft Excel (or if such program is no longer available, such other software program for calculating the IRR reasonably determined by the Board) on the basis of the actual number of days elapsed over a 365- or 366-day year, as the case may be, and taking into account the respective dates of each such Capital Contribution and Distribution.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Joinder Agreement</w:t>
      </w:r>
      <w:r>
        <w:rPr>
          <w:rFonts w:ascii="Times New Roman" w:cs="Times New Roman" w:eastAsia="Times New Roman" w:hAnsi="Times New Roman"/>
          <w:sz w:val="16"/>
          <w:szCs w:val="16"/>
          <w:color w:val="auto"/>
        </w:rPr>
        <w:t xml:space="preserve">” means a joinder to this Agreement in substantially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or such other form as is reasonably acceptable to the Board.</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statute, law, treaty, ordinance, regulation, directive, rule, code, executive order, injunction, judgment, decree, writ, order or other requirement, including any successor provisions thereof, of any Governmental Authority.</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options, proxies, voting trusts, voting agreements, judgments, pledges, charges, escrows, rights of first refusal or first offer, transfer restrictions, liens, claims, mortgages, security interests, indentures, equities, covenants, rights of way, and other encumbrances of every kind and nature whatsoever, including any arrangements or obligations to create any such encumbrance, whether arising by agreement, operation of law or otherwise.</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Liquidation Assets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12.2(b)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Liquidation FMV</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12.2(b)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Liquidation Statement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12.2(b)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14" w:name="page215"/>
    <w:bookmarkEnd w:id="214"/>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means items of Company loss and deduction determined in accordance with Section 704(b) of the Code and the Capital Account maintenance rules under Treasury Regulations Section 1.704-1(b)(2)(iv).</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 Investors</w:t>
      </w:r>
      <w:r>
        <w:rPr>
          <w:rFonts w:ascii="Times New Roman" w:cs="Times New Roman" w:eastAsia="Times New Roman" w:hAnsi="Times New Roman"/>
          <w:sz w:val="16"/>
          <w:szCs w:val="16"/>
          <w:color w:val="auto"/>
        </w:rPr>
        <w:t>” means: (i) the SB Member, so long as the SB Member holds at least 10% of the Units; (ii) the Symbotic Member, so long as the Symbotic Member holds at least 10% of the Units; and (iii) any other Member that owns at least 20% of the Units and is responsible for a corresponding portion of the Remaining Commitment Amount.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 Investor Approval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Manager</w:t>
      </w:r>
      <w:r>
        <w:rPr>
          <w:rFonts w:ascii="Times New Roman" w:cs="Times New Roman" w:eastAsia="Times New Roman" w:hAnsi="Times New Roman"/>
          <w:sz w:val="16"/>
          <w:szCs w:val="16"/>
          <w:color w:val="auto"/>
        </w:rPr>
        <w:t>” means a Manager serving on the Board at any given time, who, for purposes of the Delaware Act, will not be deemed a “manager” (as defined in the Delaware Act) but will be subject to the rights, obligations, limitations and duties expressly set forth in this Agreement.</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xml:space="preserve">” means each of the Persons listed as a Member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and any Person admitted to the Company as a Substituted Member or Additional Member in accordance with the provisions of this Agreement; but in each case only for so long as such Person is shown on the Company’s books and records as the owner of one or more Units.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Member Appraiser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Minimum Gain</w:t>
      </w:r>
      <w:r>
        <w:rPr>
          <w:rFonts w:ascii="Times New Roman" w:cs="Times New Roman" w:eastAsia="Times New Roman" w:hAnsi="Times New Roman"/>
          <w:sz w:val="16"/>
          <w:szCs w:val="16"/>
          <w:color w:val="auto"/>
        </w:rPr>
        <w:t>” means the partnership minimum gain determined pursuant to Treasury Regulations Section 1.704-2(d).</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Newco</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9.9(b)(i)</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Non-Defaulting Member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Offered Units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Offering Member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w:t>
      </w:r>
      <w:r>
        <w:rPr>
          <w:rFonts w:ascii="Times New Roman" w:cs="Times New Roman" w:eastAsia="Times New Roman" w:hAnsi="Times New Roman"/>
          <w:sz w:val="16"/>
          <w:szCs w:val="16"/>
          <w:color w:val="auto"/>
        </w:rPr>
        <w:t xml:space="preserve">” means each person designated as an officer of the Company to whom authority and duties have been delegated pursuant to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subject to any resolution of the Board appointing or removing such person as an officer or relating to such appointment.</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Operating Plan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5.6(a)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Original Certificate</w:t>
      </w:r>
      <w:r>
        <w:rPr>
          <w:rFonts w:ascii="Times New Roman" w:cs="Times New Roman" w:eastAsia="Times New Roman" w:hAnsi="Times New Roman"/>
          <w:sz w:val="16"/>
          <w:szCs w:val="16"/>
          <w:color w:val="auto"/>
        </w:rPr>
        <w:t>” has the meaning set forth in the Recitals.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Original LLCA</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15" w:name="page216"/>
    <w:bookmarkEnd w:id="215"/>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Original LLCA Effective Date</w:t>
      </w:r>
      <w:r>
        <w:rPr>
          <w:rFonts w:ascii="Times New Roman" w:cs="Times New Roman" w:eastAsia="Times New Roman" w:hAnsi="Times New Roman"/>
          <w:sz w:val="16"/>
          <w:szCs w:val="16"/>
          <w:color w:val="auto"/>
        </w:rPr>
        <w:t>” has the meaning set forth in the Recitals.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has the meaning set forth in the Preamble.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Partnership Representative</w:t>
      </w:r>
      <w:r>
        <w:rPr>
          <w:rFonts w:ascii="Times New Roman" w:cs="Times New Roman" w:eastAsia="Times New Roman" w:hAnsi="Times New Roman"/>
          <w:sz w:val="16"/>
          <w:szCs w:val="16"/>
          <w:color w:val="auto"/>
        </w:rPr>
        <w:t>” means the “partnership representative” as such term is defined in Section 6223 of the Code.</w:t>
      </w:r>
    </w:p>
    <w:p>
      <w:pPr>
        <w:spacing w:after="0" w:line="15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 the following Liens: (i) Liens for current taxes, assessments or other governmental charges not yet delinquent, or which may be hereafter paid without penalty or that the taxpayer is contesting in good faith through appropriate proceedings for which adequate reserves have been established in accordance with GAAP;</w:t>
      </w:r>
    </w:p>
    <w:p>
      <w:pPr>
        <w:spacing w:after="0" w:line="1" w:lineRule="exact"/>
        <w:rPr>
          <w:sz w:val="20"/>
          <w:szCs w:val="20"/>
          <w:color w:val="auto"/>
        </w:rPr>
      </w:pPr>
    </w:p>
    <w:p>
      <w:pPr>
        <w:jc w:val="both"/>
        <w:spacing w:after="0" w:line="251" w:lineRule="auto"/>
        <w:tabs>
          <w:tab w:leader="none" w:pos="2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mechanics’, materialmen’s, carriers’, workmen’s, warehousemen’s, repairmen’s or other like common law, statutory or consensual Liens arising or incurred in the ordinary course of business and which do not materially impair the present use and operation of, or materially and adversely affect the value of, the assets to which they relate or deposits to obtain the release of such Liens; (iii) with respect to leasehold interests, mortgages and other Liens incurred, created, assumed or permitted to exist and arising by, through or under a landlord or owner of any real property subject to a lease; (iv) zoning, building, subdivision, entitlement, conservation restriction and other land use and environmental regulations, easements, covenants, rights of way or other similar requirements or restrictions, none of which (A) materially and adversely interfere with the present uses of the real property or (B) materially and adversely affect the value of the specific parcel of real property to which they relate; (v) zoning promulgated by Governmental Authorities; and (vi) non-exclusive licenses or sublicenses under intellectual property rights owned by or licensed to the Company granted to any licensee in the ordinary course of business.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Reserves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4.2(c).</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Security Interest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9.11(a)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Syndication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Syndication Party</w:t>
      </w:r>
      <w:r>
        <w:rPr>
          <w:rFonts w:ascii="Times New Roman" w:cs="Times New Roman" w:eastAsia="Times New Roman" w:hAnsi="Times New Roman"/>
          <w:sz w:val="16"/>
          <w:szCs w:val="16"/>
          <w:color w:val="auto"/>
        </w:rPr>
        <w:t xml:space="preserve">” means each of the Persons set forth on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color w:val="auto"/>
        </w:rPr>
        <w:t>, which may be updated from time to time by mutual consent of the SB Member and the Symbotic Member in writing.</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means (i) with respect to any Person who is an individual, any member of such Person’s Family Group who executes a Joinder Agreement,</w:t>
      </w:r>
    </w:p>
    <w:p>
      <w:pPr>
        <w:spacing w:after="0" w:line="24" w:lineRule="exact"/>
        <w:rPr>
          <w:sz w:val="20"/>
          <w:szCs w:val="20"/>
          <w:color w:val="auto"/>
        </w:rPr>
      </w:pPr>
    </w:p>
    <w:p>
      <w:pPr>
        <w:spacing w:after="0" w:line="257" w:lineRule="auto"/>
        <w:tabs>
          <w:tab w:leader="none" w:pos="249"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SB Member, any Affiliate of the Initial SB Member that is not a Portfolio Company, (iii) with respect to the Symbotic Member, any Affiliate of the Initial Symbotic Member, and (iv) with respect to any other Member, an Affiliate of such Member.</w:t>
      </w:r>
    </w:p>
    <w:p>
      <w:pPr>
        <w:spacing w:after="0" w:line="119" w:lineRule="exact"/>
        <w:rPr>
          <w:sz w:val="20"/>
          <w:szCs w:val="20"/>
          <w:color w:val="auto"/>
        </w:rPr>
      </w:pPr>
    </w:p>
    <w:p>
      <w:pPr>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 natural person, a partnership, a corporation, a limited liability company, an association, a joint stock company, a trust, a joint venture, an unincorporated organization, association or other entity or a Governmental Authority.</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an equity incentive plan to be adopted by the Board with such provisions as the Board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16" w:name="page217"/>
    <w:bookmarkEnd w:id="216"/>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Portfolio Company</w:t>
      </w:r>
      <w:r>
        <w:rPr>
          <w:rFonts w:ascii="Times New Roman" w:cs="Times New Roman" w:eastAsia="Times New Roman" w:hAnsi="Times New Roman"/>
          <w:sz w:val="16"/>
          <w:szCs w:val="16"/>
          <w:color w:val="auto"/>
        </w:rPr>
        <w:t>” means an entity in which the SB Member or an Affiliate holds voting stock that is primarily engaged in the operation of a business that primarily derives its revenues from the sale of products or the provision of services to customers.</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Preemptive Rights Exercise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3.6(d)</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Preemptive Rights Holder</w:t>
      </w:r>
      <w:r>
        <w:rPr>
          <w:rFonts w:ascii="Times New Roman" w:cs="Times New Roman" w:eastAsia="Times New Roman" w:hAnsi="Times New Roman"/>
          <w:sz w:val="16"/>
          <w:szCs w:val="16"/>
          <w:color w:val="auto"/>
        </w:rPr>
        <w:t>” means any Initial Member, to the extent such Initial Member remains a Major Investor.</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Preemptive Rights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3.6(c)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Preemptive Rights Portion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3.6(a)</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Preemptive Securities</w:t>
      </w:r>
      <w:r>
        <w:rPr>
          <w:rFonts w:ascii="Times New Roman" w:cs="Times New Roman" w:eastAsia="Times New Roman" w:hAnsi="Times New Roman"/>
          <w:sz w:val="16"/>
          <w:szCs w:val="16"/>
          <w:color w:val="auto"/>
        </w:rPr>
        <w:t>” means, collectively, any Equity Securities of the Company offered for sale by the Company.</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 Rata Share</w:t>
      </w:r>
      <w:r>
        <w:rPr>
          <w:rFonts w:ascii="Times New Roman" w:cs="Times New Roman" w:eastAsia="Times New Roman" w:hAnsi="Times New Roman"/>
          <w:sz w:val="16"/>
          <w:szCs w:val="16"/>
          <w:color w:val="auto"/>
        </w:rPr>
        <w:t xml:space="preserve">” means, with respect to each Unit, the proportionate amount such Unit would receive if an amount equal to the Total Equity Value were distributed to all Units in accordance with the distribution provisions of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in each case as determined by the Board.</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any judicial, administrative or arbitral action, lawsuit or proceeding (in each case, public or private).</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Profits</w:t>
      </w:r>
      <w:r>
        <w:rPr>
          <w:rFonts w:ascii="Times New Roman" w:cs="Times New Roman" w:eastAsia="Times New Roman" w:hAnsi="Times New Roman"/>
          <w:sz w:val="16"/>
          <w:szCs w:val="16"/>
          <w:color w:val="auto"/>
        </w:rPr>
        <w:t>” means items of Company income and gain determined in accordance with Section 704(b) of the Code and the Capital Account maintenance rules under Treasury Regulations Section 1.704-1(b)(2)(iv).</w:t>
      </w:r>
    </w:p>
    <w:p>
      <w:pPr>
        <w:spacing w:after="0" w:line="102"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Offering</w:t>
      </w:r>
      <w:r>
        <w:rPr>
          <w:rFonts w:ascii="Times New Roman" w:cs="Times New Roman" w:eastAsia="Times New Roman" w:hAnsi="Times New Roman"/>
          <w:sz w:val="16"/>
          <w:szCs w:val="16"/>
          <w:color w:val="auto"/>
        </w:rPr>
        <w:t xml:space="preserve">” means (i) any underwritten sale of common equity securities of a Person (or any successor thereto, whether by merger, conversion, consolidation, recapitalization, reorganization or otherwise) pursuant to an effective registration statement under the Securities Act filed with the U.S. Securities and Exchange Commission on Form S-1 or S-3 (or any successor forms adopted by the U.S. Securities and Exchange Commission); (ii) a direct listing, or (iii) a business combination transaction with a special purpose acquisition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following will not be considered a Public Offering: (A) any issuance of common equity securities in connection with and as consideration for a merger or acquisition; and (B) any issuance of common equity securities or rights to acquire common equity securities to employees, officers, directors, consultants or other service providers of the Company or any of its Subsidiaries or others as part of an incentive or compensation plan, agreement or arrangement. Unless otherwise indicated herein, “Public Offering” will refer to a Public Offering of the common equity securities of the Company (or its successor).</w:t>
      </w:r>
    </w:p>
    <w:p>
      <w:pPr>
        <w:spacing w:after="0" w:line="124" w:lineRule="exact"/>
        <w:rPr>
          <w:sz w:val="20"/>
          <w:szCs w:val="20"/>
          <w:color w:val="auto"/>
        </w:rPr>
      </w:pPr>
    </w:p>
    <w:p>
      <w:pPr>
        <w:jc w:val="both"/>
        <w:ind w:firstLine="481"/>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Qualified Institution</w:t>
      </w:r>
      <w:r>
        <w:rPr>
          <w:rFonts w:ascii="Times New Roman" w:cs="Times New Roman" w:eastAsia="Times New Roman" w:hAnsi="Times New Roman"/>
          <w:sz w:val="16"/>
          <w:szCs w:val="16"/>
          <w:color w:val="auto"/>
        </w:rPr>
        <w:t>” means a domestic office of a commercial bank or trust company organized under the laws of the United States (or any State or political subdivision thereof) that: (i) has assets of at least $50,000,000,000; (ii) has a credit rating of at least (A) A3 from Moody’s or (B) A- from S&amp;P or Fitch; and (iii) is not an Affiliate of the Member on whose behalf such commercial bank or trust company is proposed to issue any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17" w:name="page218"/>
    <w:bookmarkEnd w:id="217"/>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Allocations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Related Party</w:t>
      </w:r>
      <w:r>
        <w:rPr>
          <w:rFonts w:ascii="Times New Roman" w:cs="Times New Roman" w:eastAsia="Times New Roman" w:hAnsi="Times New Roman"/>
          <w:sz w:val="16"/>
          <w:szCs w:val="16"/>
          <w:color w:val="auto"/>
        </w:rPr>
        <w:t xml:space="preserve">” means, with respect to any Person, any Affiliate of such Person, and, if such Person is an individual, any member of the Family Group of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Richard Cohen and each of his Related Parties shall be deemed to be Related Parties of the Symbotic Member.</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Remaining Commitment Amount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Requested Capital Call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3.3(b)(i)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Requested Capital Call Acceptance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3.3(b)(ii)</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Requested Capital Call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3.3(b)(ii)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Commitment Amount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Commitment Amount Capital Call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3.3(e)(i)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Residual Information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6.6(e)</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Right of First Offer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ROFO Exercise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ROFO Rightholder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506(d) Related Party</w:t>
      </w:r>
      <w:r>
        <w:rPr>
          <w:rFonts w:ascii="Times New Roman" w:cs="Times New Roman" w:eastAsia="Times New Roman" w:hAnsi="Times New Roman"/>
          <w:sz w:val="16"/>
          <w:szCs w:val="16"/>
          <w:color w:val="auto"/>
        </w:rPr>
        <w:t>” means, with respect to any Member, a Person that is a beneficial owner of such Member’s securities for purposes of Rule 506(d) of the Securities Act.</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9.10(a)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Transaction</w:t>
      </w:r>
      <w:r>
        <w:rPr>
          <w:rFonts w:ascii="Times New Roman" w:cs="Times New Roman" w:eastAsia="Times New Roman" w:hAnsi="Times New Roman"/>
          <w:sz w:val="16"/>
          <w:szCs w:val="16"/>
          <w:color w:val="auto"/>
        </w:rPr>
        <w:t>” means a transaction or series of transactions involving either: (i) the sale, lease, Transfer, conveyance or other disposition, in one transaction or a series of related transactions (including by way of merger, consolidation, recapitalization, reorganization or Transfer of securities of one or more of the Company’s Subsidiaries), to an Independent Third Party or group solely of Independent Third Parties for value, of all or substantially all of the assets of the Company (including the Equity Securities of one or more Subsidiaries) and its Subsidiaries, on a consolidated basis; (ii) a transaction or series of transactions (including by way of merger, consolidation, recapitalization, reorganization or Transfer of securities by the holders of securities of the Company) with an Independent Third Party or group solely of Independent Third Parties, the result of which is that the Members immediately prior to such transaction are (after giving effect to such transaction) no longer, in the aggregate, the “beneficial owners” (as such term is defined in Rule 13d-3 and Rule 13d-5 promulgated under the Securities Exchange Act), directly or indirectly through one or more intermediaries, of Equity Securities representing the right to receive more than 50% of the capital and more than 50% of the profits of the Company; or (iii) a similar transaction with a like economic effect. A SPAC Transaction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0" w:right="319" w:bottom="1440" w:gutter="0" w:footer="0" w:header="0"/>
        </w:sectPr>
      </w:pPr>
    </w:p>
    <w:bookmarkStart w:id="218" w:name="page219"/>
    <w:bookmarkEnd w:id="218"/>
    <w:p>
      <w:pPr>
        <w:jc w:val="both"/>
        <w:spacing w:after="0" w:line="264" w:lineRule="auto"/>
        <w:rPr>
          <w:sz w:val="20"/>
          <w:szCs w:val="20"/>
          <w:color w:val="auto"/>
        </w:rPr>
      </w:pPr>
      <w:r>
        <w:rPr>
          <w:rFonts w:ascii="Times New Roman" w:cs="Times New Roman" w:eastAsia="Times New Roman" w:hAnsi="Times New Roman"/>
          <w:sz w:val="16"/>
          <w:szCs w:val="16"/>
          <w:color w:val="auto"/>
        </w:rPr>
        <w:t>not be deemed a Sale Transaction. Notwithstanding the foregoing, no such transaction or series of related transactions (including by way of merger, consolidation, recapitalization, reorganization, sale of securities or otherwise, including a business combination with a special purpose acquisition company) in connection with a Public Offering will be deemed a Sale Transaction.</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Transaction Offer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9.10(a)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SB ECL</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SB Managers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5.2(a)(i)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SB Member</w:t>
      </w:r>
      <w:r>
        <w:rPr>
          <w:rFonts w:ascii="Times New Roman" w:cs="Times New Roman" w:eastAsia="Times New Roman" w:hAnsi="Times New Roman"/>
          <w:sz w:val="16"/>
          <w:szCs w:val="16"/>
          <w:color w:val="auto"/>
        </w:rPr>
        <w:t>” has the meaning set forth in the Preamble.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Exchange Act</w:t>
      </w:r>
      <w:r>
        <w:rPr>
          <w:rFonts w:ascii="Times New Roman" w:cs="Times New Roman" w:eastAsia="Times New Roman" w:hAnsi="Times New Roman"/>
          <w:sz w:val="16"/>
          <w:szCs w:val="16"/>
          <w:color w:val="auto"/>
        </w:rPr>
        <w:t>” means the Securities Exchange Act of 1934.</w:t>
      </w:r>
    </w:p>
    <w:p>
      <w:pPr>
        <w:spacing w:after="0" w:line="157" w:lineRule="exact"/>
        <w:rPr>
          <w:sz w:val="20"/>
          <w:szCs w:val="20"/>
          <w:color w:val="auto"/>
        </w:rPr>
      </w:pPr>
    </w:p>
    <w:p>
      <w:pPr>
        <w:jc w:val="both"/>
        <w:ind w:firstLine="481"/>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Sharing Percentage</w:t>
      </w:r>
      <w:r>
        <w:rPr>
          <w:rFonts w:ascii="Times New Roman" w:cs="Times New Roman" w:eastAsia="Times New Roman" w:hAnsi="Times New Roman"/>
          <w:sz w:val="16"/>
          <w:szCs w:val="16"/>
          <w:color w:val="auto"/>
        </w:rPr>
        <w:t xml:space="preserve">” means, as to each Member as of any date of determination, a fraction (represented as a percentage) the numerator of which is the number of Units held by such Member and the denominator of which is the aggregate number of all issued and outstanding Units, in each case, on a look-through and “as-if-converted” basis. For the avoidance of doubt, as of the Effective Date, each Member’s Sharing Percentage is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10"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SPAC</w:t>
      </w:r>
      <w:r>
        <w:rPr>
          <w:rFonts w:ascii="Times New Roman" w:cs="Times New Roman" w:eastAsia="Times New Roman" w:hAnsi="Times New Roman"/>
          <w:sz w:val="16"/>
          <w:szCs w:val="16"/>
          <w:color w:val="auto"/>
        </w:rPr>
        <w:t>” means any publicly traded blank check company or special purpose acquisition company or vehicle pursuing an initial business combination or any Subsidiary thereof that, immediately prior to the consummation of the initial business combination transaction, (i) has no material assets (other than proceeds from its initial public offering, the private placement of securities in connection therewith and working capital loans made by such company’s sponsor, management team or their respective Affiliates), (ii) has no material liabilities or obligations (other than ordinary course payables to vendors, professionals, consultants and other advisors, deferred underwriting fees incurred in connection with its initial public offering and otherwise to the extent arising from the rights of the company’s public shareholders to redeem their shares and receive liquidating distributions under specified circumstances) and (iii) is not an Affiliate of an Initial Member.</w:t>
      </w:r>
    </w:p>
    <w:p>
      <w:pPr>
        <w:spacing w:after="0" w:line="124"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SPAC Transaction</w:t>
      </w:r>
      <w:r>
        <w:rPr>
          <w:rFonts w:ascii="Times New Roman" w:cs="Times New Roman" w:eastAsia="Times New Roman" w:hAnsi="Times New Roman"/>
          <w:sz w:val="16"/>
          <w:szCs w:val="16"/>
          <w:color w:val="auto"/>
        </w:rPr>
        <w:t>” means (i) a transaction or series of related transactions, by merger, consolidation or other business combination, including in an “Up-C” transaction, pursuant to which a majority of the business, assets or divisions of the Company or any successor thereto or Subsidiary thereof is combined with that of a SPAC, regardless of the percentage of the Members’ ownership interest in the entity resulting from or surviving such merger, consolidation or other business combination, (ii) the sale, transfer, exchange or other disposition of all or a majority of the business, assets, divisions or voting securities of the Company or any successor thereto or Subsidiary thereof to a SPAC, whether by way of merger, consolidation or otherwise, or (iii) a restructuring, recapitalization or similar transaction resulting in the combination of the Company or any successor thereto or Subsidiary thereof with a SPAC, in each case, (A)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19" w:name="page220"/>
    <w:bookmarkEnd w:id="219"/>
    <w:p>
      <w:pPr>
        <w:jc w:val="both"/>
        <w:spacing w:after="0" w:line="264" w:lineRule="auto"/>
        <w:rPr>
          <w:sz w:val="20"/>
          <w:szCs w:val="20"/>
          <w:color w:val="auto"/>
        </w:rPr>
      </w:pPr>
      <w:r>
        <w:rPr>
          <w:rFonts w:ascii="Times New Roman" w:cs="Times New Roman" w:eastAsia="Times New Roman" w:hAnsi="Times New Roman"/>
          <w:sz w:val="16"/>
          <w:szCs w:val="16"/>
          <w:color w:val="auto"/>
        </w:rPr>
        <w:t>result of which the surviving entity (or its parent entity) is listed on a United States national securities exchange with Equity Securities registered under Section 12(b) of the Securities Exchange Act and (B) the consideration payable in such transaction to the Members shall be solely cash or publicly traded Equity Securities (including earnout consideration payable in cash or publicly traded Equity Securities).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Call Right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3.15(a)(i)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Persons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6.5(a)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Steering Committee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5.8(a)</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interests thereof is at the time owned or controlled, directly or indirectly, by any Person or one or more Subsidiaries of that Person or a combination thereof. For purposes hereof, and without limitation, a Person or Persons will be deemed to have a majority ownership interest in a limited liability company, partnership, association or other business entity (other than a corporation) if such Person or Persons will be allocated a majority of limited liability company, partnership, association or other business entity gains or losses or will be or control the manager, managing member, managing director (or a board comprised of any of the foregoing) or general partner of such limited liability company, partnership, association or other business entity. For purposes hereof, any controlled Affiliate of a Person will be deemed to be a Subsidiary of such Person. For purposes hereof, references to a “Subsidiary” of any Person will be given effect only at such times that such Person has one or more Subsidiaries, and, unless otherwise indicated, the term “Subsidiary” refers to a Subsidiary of 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Substituted Member</w:t>
      </w:r>
      <w:r>
        <w:rPr>
          <w:rFonts w:ascii="Times New Roman" w:cs="Times New Roman" w:eastAsia="Times New Roman" w:hAnsi="Times New Roman"/>
          <w:sz w:val="16"/>
          <w:szCs w:val="16"/>
          <w:color w:val="auto"/>
        </w:rPr>
        <w:t xml:space="preserve">” means a Person that is admitted as a Member to the Company pursuant to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Supplemental Indemnification Rights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5.7(b)</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Symbotic Competitor</w:t>
      </w:r>
      <w:r>
        <w:rPr>
          <w:rFonts w:ascii="Times New Roman" w:cs="Times New Roman" w:eastAsia="Times New Roman" w:hAnsi="Times New Roman"/>
          <w:sz w:val="16"/>
          <w:szCs w:val="16"/>
          <w:color w:val="auto"/>
        </w:rPr>
        <w:t xml:space="preserve">” means each of the Persons set forth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and their Subsidiaries and respective successors, which may be updated from time to time by mutual consent of the SB Member and the Symbotic Member in writing, such consent not to be unreasonably withheld.</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Symbotic Managers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5.2(a)(ii)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Symbotic Member</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20" w:name="page221"/>
    <w:bookmarkEnd w:id="220"/>
    <w:p>
      <w:pPr>
        <w:ind w:left="480" w:right="1300"/>
        <w:spacing w:after="0" w:line="4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Symbotic Systems</w:t>
      </w:r>
      <w:r>
        <w:rPr>
          <w:rFonts w:ascii="Times New Roman" w:cs="Times New Roman" w:eastAsia="Times New Roman" w:hAnsi="Times New Roman"/>
          <w:sz w:val="16"/>
          <w:szCs w:val="16"/>
          <w:color w:val="auto"/>
        </w:rPr>
        <w:t>” has the meaning set forth in the Commercial Agreement, excluding the Symbotic System Software and all related components. “</w:t>
      </w:r>
      <w:r>
        <w:rPr>
          <w:rFonts w:ascii="Times New Roman" w:cs="Times New Roman" w:eastAsia="Times New Roman" w:hAnsi="Times New Roman"/>
          <w:sz w:val="16"/>
          <w:szCs w:val="16"/>
          <w:u w:val="single" w:color="auto"/>
          <w:color w:val="auto"/>
        </w:rPr>
        <w:t>Syndication Party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9.1(c)</w:t>
      </w: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means any federal, state, local or foreign income, gross receipts, franchise, estimated, alternative minimum, add-on minimum, sales, use, surplus line, excess, transfer, registration, value added, excise, natural resources, severance, stamp, occupation, premium, windfall profit, environmental, customs, duties, real property, personal property, capital stock, social security, unemployment, disability, payroll, license, employee or other withholding, or other tax, of any kind whatsoever, including any Transferee liability and any interest, penalties or additions to tax or additional amounts in respect of the foregoing.</w:t>
      </w:r>
    </w:p>
    <w:p>
      <w:pPr>
        <w:spacing w:after="0" w:line="117"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Basis Differential</w:t>
      </w:r>
      <w:r>
        <w:rPr>
          <w:rFonts w:ascii="Times New Roman" w:cs="Times New Roman" w:eastAsia="Times New Roman" w:hAnsi="Times New Roman"/>
          <w:sz w:val="16"/>
          <w:szCs w:val="16"/>
          <w:color w:val="auto"/>
        </w:rPr>
        <w:t xml:space="preserve">” means an amount equal to the difference (expressed as a positive number) between (i) the Company’s tax basis in the Symbotic Systems acquired by the Company (or its Affiliates) from the Symbotic Member (or its Affiliates) pursuant to the Commercial Agreement as of the date of the relevant acquisition (taking into account the tax treatment of the Warrant as a rebate as described in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and (ii) the tax basis that the Company would have had in such Symbotic Systems as of the date of the relevant acquisition if no such rebate had been made.</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Distribution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Taxable Year</w:t>
      </w:r>
      <w:r>
        <w:rPr>
          <w:rFonts w:ascii="Times New Roman" w:cs="Times New Roman" w:eastAsia="Times New Roman" w:hAnsi="Times New Roman"/>
          <w:sz w:val="16"/>
          <w:szCs w:val="16"/>
          <w:color w:val="auto"/>
        </w:rPr>
        <w:t xml:space="preserve">” means the Company’s accounting period for federal income Tax purposes determined pursuant to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Taxing Authority</w:t>
      </w:r>
      <w:r>
        <w:rPr>
          <w:rFonts w:ascii="Times New Roman" w:cs="Times New Roman" w:eastAsia="Times New Roman" w:hAnsi="Times New Roman"/>
          <w:sz w:val="16"/>
          <w:szCs w:val="16"/>
          <w:color w:val="auto"/>
        </w:rPr>
        <w:t>” means any federal, state, local or foreign governmental authority with responsibility for the collection or enforcement of any Tax.</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Temporary Independent Manager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5.2(e)</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 Offer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9.10(c)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 Purchaser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 Sale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 Sale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Equity Value</w:t>
      </w:r>
      <w:r>
        <w:rPr>
          <w:rFonts w:ascii="Times New Roman" w:cs="Times New Roman" w:eastAsia="Times New Roman" w:hAnsi="Times New Roman"/>
          <w:sz w:val="16"/>
          <w:szCs w:val="16"/>
          <w:color w:val="auto"/>
        </w:rPr>
        <w:t xml:space="preserve">” means, as reasonably determined by the Board and as applicable, (i) the aggregate net proceeds (net of all Taxes, costs and expenses incurred by the Company (excluding, for the avoidance of doubt, any Taxes incurred by Members of the Company) in connection with such transaction and any amounts reserved by the Board with respect to any contingent or other liabilities, or the amounts of deferred, escrowed, withheld, adjusted or contingent consideration) that would be received by the Members in connection with any Sale Transaction or other transaction if such proceeds were distributed in accordance with the distribution provisions of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or, if different, (ii) the aggregate proceeds that would be received by the Members if: (A) all of the assets of the Company and its Subsidiaries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21" w:name="page222"/>
    <w:bookmarkEnd w:id="221"/>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consolidated basis) were sold at their Fair Market Value on arm’s-length terms, with neither the seller nor the buyer being under compulsion to buy or sell such assets; (B) the Company and its Subsidiaries satisfied and paid in full all of their respective obligations and liabilities (including all Taxes of the Company and its Subsidiaries (excluding, for the avoidance of doubt, any Taxes incurred by Members of the Company), costs and expenses incurred in connection with such transaction and any amounts reserved by the Board with respect to any contingent or other liabilities, or the amounts of deferred, escrowed, withheld, adjusted or contingent consideration); and (C) such net sale proceeds were then distributed in accordance with the distribution provisions of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all as reasonably determined by the Board.</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Committee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9.10(a)</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jc w:val="both"/>
        <w:ind w:firstLine="48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any direct or indirect sale, transfer, assignment, pledge, mortgage, exchange, hypothecation, grant of a participation interest in, grant of a security interest or other disposition or encumbrance of an interest (whether with or without consideration, whether voluntarily or involuntarily or by operation of law) or the acts thereof or an offer or agreement to do the foregoing, but excluding any conversion or redemptions of Equity Securities by the Company and any merger or consolidation of the Company. The terms “</w:t>
      </w:r>
      <w:r>
        <w:rPr>
          <w:rFonts w:ascii="Times New Roman" w:cs="Times New Roman" w:eastAsia="Times New Roman" w:hAnsi="Times New Roman"/>
          <w:sz w:val="16"/>
          <w:szCs w:val="16"/>
          <w:u w:val="single" w:color="auto"/>
          <w:color w:val="auto"/>
        </w:rPr>
        <w:t>Transferee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Transferor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and other forms of the word “Transfer” will have the correlative meanings.</w:t>
      </w:r>
    </w:p>
    <w:p>
      <w:pPr>
        <w:spacing w:after="0" w:line="115"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102" w:lineRule="exact"/>
        <w:rPr>
          <w:sz w:val="20"/>
          <w:szCs w:val="20"/>
          <w:color w:val="auto"/>
        </w:rPr>
      </w:pPr>
    </w:p>
    <w:p>
      <w:pPr>
        <w:jc w:val="both"/>
        <w:ind w:firstLine="48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w:t>
      </w:r>
      <w:r>
        <w:rPr>
          <w:rFonts w:ascii="Times New Roman" w:cs="Times New Roman" w:eastAsia="Times New Roman" w:hAnsi="Times New Roman"/>
          <w:sz w:val="16"/>
          <w:szCs w:val="16"/>
          <w:color w:val="auto"/>
        </w:rPr>
        <w:t xml:space="preserve">” means a limited liability company interest in the Company of a Member or an Assignee in the Company representing a fractional part of the interests in Profits, Losses and Distributions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class, group or series of Units issued will have the relative rights, powers, duties, obligations and liabilities set forth in this Agreement.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means that certain Warrant to Purchase Class A Common Stock issued by Symbotic Inc. to the Initial SB Member on the Original LLCA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4859-2554-6723 v.3</w:t>
      </w:r>
    </w:p>
    <w:p>
      <w:pPr>
        <w:sectPr>
          <w:pgSz w:w="11900" w:h="16838" w:orient="portrait"/>
          <w:cols w:equalWidth="0" w:num="1">
            <w:col w:w="11280"/>
          </w:cols>
          <w:pgMar w:left="300" w:top="1091" w:right="319" w:bottom="1440" w:gutter="0" w:footer="0" w:header="0"/>
        </w:sectPr>
      </w:pPr>
    </w:p>
    <w:bookmarkStart w:id="222" w:name="page223"/>
    <w:bookmarkEnd w:id="222"/>
    <w:p>
      <w:pPr>
        <w:ind w:left="52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6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FORM OF JOINDER AGREEMENT</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LIMITED LIABILITY COMPANY AGREEMENT</w:t>
      </w:r>
    </w:p>
    <w:p>
      <w:pPr>
        <w:spacing w:after="0" w:line="149" w:lineRule="exact"/>
        <w:rPr>
          <w:sz w:val="20"/>
          <w:szCs w:val="20"/>
          <w:color w:val="auto"/>
        </w:rPr>
      </w:pPr>
    </w:p>
    <w:p>
      <w:pPr>
        <w:jc w:val="both"/>
        <w:ind w:firstLine="481"/>
        <w:spacing w:after="0" w:line="280" w:lineRule="auto"/>
        <w:rPr>
          <w:sz w:val="20"/>
          <w:szCs w:val="20"/>
          <w:color w:val="auto"/>
        </w:rPr>
      </w:pPr>
      <w:r>
        <w:rPr>
          <w:rFonts w:ascii="Times New Roman" w:cs="Times New Roman" w:eastAsia="Times New Roman" w:hAnsi="Times New Roman"/>
          <w:sz w:val="16"/>
          <w:szCs w:val="16"/>
          <w:color w:val="auto"/>
        </w:rPr>
        <w:t>This JOINDER TO AMENDED AND RESTATED LIMITED LIABILITY COMPANY AGREEMENT (this “</w:t>
      </w:r>
      <w:r>
        <w:rPr>
          <w:rFonts w:ascii="Times New Roman" w:cs="Times New Roman" w:eastAsia="Times New Roman" w:hAnsi="Times New Roman"/>
          <w:sz w:val="16"/>
          <w:szCs w:val="16"/>
          <w:u w:val="single" w:color="auto"/>
          <w:color w:val="auto"/>
        </w:rPr>
        <w:t>Joinder Agreement</w:t>
      </w:r>
      <w:r>
        <w:rPr>
          <w:rFonts w:ascii="Times New Roman" w:cs="Times New Roman" w:eastAsia="Times New Roman" w:hAnsi="Times New Roman"/>
          <w:sz w:val="16"/>
          <w:szCs w:val="16"/>
          <w:color w:val="auto"/>
        </w:rPr>
        <w:t>”) is dated as of [ ● ] between GREENBOX SYSTEMS LLC, a Delaware limited liability company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 (“</w:t>
      </w:r>
      <w:r>
        <w:rPr>
          <w:rFonts w:ascii="Times New Roman" w:cs="Times New Roman" w:eastAsia="Times New Roman" w:hAnsi="Times New Roman"/>
          <w:sz w:val="16"/>
          <w:szCs w:val="16"/>
          <w:u w:val="single" w:color="auto"/>
          <w:color w:val="auto"/>
        </w:rPr>
        <w:t>New Member</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both"/>
        <w:ind w:firstLine="481"/>
        <w:spacing w:after="0" w:line="259" w:lineRule="auto"/>
        <w:rPr>
          <w:sz w:val="20"/>
          <w:szCs w:val="20"/>
          <w:color w:val="auto"/>
        </w:rPr>
      </w:pPr>
      <w:r>
        <w:rPr>
          <w:rFonts w:ascii="Times New Roman" w:cs="Times New Roman" w:eastAsia="Times New Roman" w:hAnsi="Times New Roman"/>
          <w:sz w:val="16"/>
          <w:szCs w:val="16"/>
          <w:color w:val="auto"/>
        </w:rPr>
        <w:t xml:space="preserve">The Company has entered into the Amended and Restated Limited Liability Company Agreement of GreenBox Systems LLC, a Delaware limited liability company, dated as of September 25, 2024, among the Company and its Members, a copy of which is attached hereto as </w:t>
      </w:r>
      <w:r>
        <w:rPr>
          <w:rFonts w:ascii="Times New Roman" w:cs="Times New Roman" w:eastAsia="Times New Roman" w:hAnsi="Times New Roman"/>
          <w:sz w:val="16"/>
          <w:szCs w:val="16"/>
          <w:u w:val="single" w:color="auto"/>
          <w:color w:val="auto"/>
        </w:rPr>
        <w:t>Annex I</w:t>
      </w:r>
      <w:r>
        <w:rPr>
          <w:rFonts w:ascii="Times New Roman" w:cs="Times New Roman" w:eastAsia="Times New Roman" w:hAnsi="Times New Roman"/>
          <w:sz w:val="16"/>
          <w:szCs w:val="16"/>
          <w:color w:val="auto"/>
        </w:rPr>
        <w:t xml:space="preserve"> (as amended, supplemented, replaced or otherwise modified from time to time, the “</w:t>
      </w:r>
      <w:r>
        <w:rPr>
          <w:rFonts w:ascii="Times New Roman" w:cs="Times New Roman" w:eastAsia="Times New Roman" w:hAnsi="Times New Roman"/>
          <w:sz w:val="16"/>
          <w:szCs w:val="16"/>
          <w:u w:val="single" w:color="auto"/>
          <w:color w:val="auto"/>
        </w:rPr>
        <w:t>LLC Agreemen</w:t>
      </w:r>
      <w:r>
        <w:rPr>
          <w:rFonts w:ascii="Times New Roman" w:cs="Times New Roman" w:eastAsia="Times New Roman" w:hAnsi="Times New Roman"/>
          <w:sz w:val="16"/>
          <w:szCs w:val="16"/>
          <w:color w:val="auto"/>
        </w:rPr>
        <w:t>t”). Pursuant to the terms of the LLC Agreement, the New Member is required to execute this Joinder Agreement for the purposes of making the New Member a party to the LLC Agreement. The New Member has agreed to execute this Joinder Agreement in consideration of the receipt of the New Member’s Interest.</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and the New Member agree as follows:</w:t>
      </w:r>
    </w:p>
    <w:p>
      <w:pPr>
        <w:spacing w:after="0" w:line="167" w:lineRule="exact"/>
        <w:rPr>
          <w:sz w:val="20"/>
          <w:szCs w:val="20"/>
          <w:color w:val="auto"/>
        </w:rPr>
      </w:pPr>
    </w:p>
    <w:p>
      <w:pPr>
        <w:ind w:left="960" w:hanging="479"/>
        <w:spacing w:after="0"/>
        <w:tabs>
          <w:tab w:leader="none" w:pos="96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All capitalized, undefined terms used in this Joinder Agreement have the meanings assigned thereto in the LLC Agreement.</w:t>
      </w:r>
    </w:p>
    <w:p>
      <w:pPr>
        <w:spacing w:after="0" w:line="176" w:lineRule="exact"/>
        <w:rPr>
          <w:rFonts w:ascii="Times New Roman" w:cs="Times New Roman" w:eastAsia="Times New Roman" w:hAnsi="Times New Roman"/>
          <w:sz w:val="15"/>
          <w:szCs w:val="15"/>
          <w:color w:val="auto"/>
        </w:rPr>
      </w:pPr>
    </w:p>
    <w:p>
      <w:pPr>
        <w:ind w:firstLine="481"/>
        <w:spacing w:after="0" w:line="293" w:lineRule="auto"/>
        <w:tabs>
          <w:tab w:leader="none" w:pos="961"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u w:val="single" w:color="auto"/>
          <w:color w:val="auto"/>
        </w:rPr>
        <w:t>Joinder of New Member</w:t>
      </w:r>
      <w:r>
        <w:rPr>
          <w:rFonts w:ascii="Times New Roman" w:cs="Times New Roman" w:eastAsia="Times New Roman" w:hAnsi="Times New Roman"/>
          <w:sz w:val="16"/>
          <w:szCs w:val="16"/>
          <w:color w:val="auto"/>
        </w:rPr>
        <w:t>. The New Member hereby agrees to become a party to the LLC Agreement with all right, title and interest as a [●] Member thereunder and subject to all of the terms and conditions thereof. The New Member’s notice address for purposes of Section 14.8 of the LLC Agreement is [●].</w:t>
      </w:r>
    </w:p>
    <w:p>
      <w:pPr>
        <w:spacing w:after="0" w:line="101" w:lineRule="exact"/>
        <w:rPr>
          <w:rFonts w:ascii="Times New Roman" w:cs="Times New Roman" w:eastAsia="Times New Roman" w:hAnsi="Times New Roman"/>
          <w:sz w:val="15"/>
          <w:szCs w:val="15"/>
          <w:color w:val="auto"/>
        </w:rPr>
      </w:pPr>
    </w:p>
    <w:p>
      <w:pPr>
        <w:jc w:val="both"/>
        <w:ind w:firstLine="481"/>
        <w:spacing w:after="0" w:line="257" w:lineRule="auto"/>
        <w:tabs>
          <w:tab w:leader="none" w:pos="961"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u w:val="single" w:color="auto"/>
          <w:color w:val="auto"/>
        </w:rPr>
        <w:t>Acknowledgement</w:t>
      </w:r>
      <w:r>
        <w:rPr>
          <w:rFonts w:ascii="Times New Roman" w:cs="Times New Roman" w:eastAsia="Times New Roman" w:hAnsi="Times New Roman"/>
          <w:sz w:val="16"/>
          <w:szCs w:val="16"/>
          <w:color w:val="auto"/>
        </w:rPr>
        <w:t>. With the execution and delivery of this Joinder and entry into the LLC Agreement, the New Member hereby acknowledges that (a) such New Member is a sophisticated investor and has been represented by counsel in connection with entry into the LLC Agreement, (b) such New Member has reviewed Section 5.5(d) of the LLC Agreement and (c) to the fullest extent permitted by applicable Law, including, for the avoidance of doubt, Section 18-1101(c) of the Delaware Act, and except as expressly contemplated by this Agreement or any other agreement entered into between a Manager and any Member or the Company or any of its Subsidiaries, no Manager shall have any duty (including any fiduciary duty) in such capacity as Manager otherwise applicable at law or in equity to the Company or such New Member with respect to or in connection with the Company or the Company’s business or affairs.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and the New Member have executed this Joinder Agreement as of [●].</w:t>
      </w:r>
    </w:p>
    <w:p>
      <w:pPr>
        <w:spacing w:after="0" w:line="17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[INSERT SIGNATURE BLOCK</w:t>
      </w:r>
    </w:p>
    <w:p>
      <w:pPr>
        <w:spacing w:after="0" w:line="2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FOR NEW MEMBER]</w:t>
      </w:r>
    </w:p>
    <w:p>
      <w:pPr>
        <w:sectPr>
          <w:pgSz w:w="11900" w:h="16838" w:orient="portrait"/>
          <w:cols w:equalWidth="0" w:num="1">
            <w:col w:w="11280"/>
          </w:cols>
          <w:pgMar w:left="300" w:top="1089"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color w:val="auto"/>
        </w:rPr>
        <w:t>Accepted and acknowledged as of [●]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GREENBOX SYSTEMS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-7620</wp:posOffset>
            </wp:positionV>
            <wp:extent cx="40703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407035"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10159"/>
          </w:cols>
          <w:pgMar w:left="300" w:top="1431" w:right="1440" w:bottom="1440"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753745</wp:posOffset>
            </wp:positionH>
            <wp:positionV relativeFrom="page">
              <wp:posOffset>292735</wp:posOffset>
            </wp:positionV>
            <wp:extent cx="6143625" cy="8799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614362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753745</wp:posOffset>
            </wp:positionH>
            <wp:positionV relativeFrom="page">
              <wp:posOffset>407035</wp:posOffset>
            </wp:positionV>
            <wp:extent cx="6143625" cy="8799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614362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753745</wp:posOffset>
            </wp:positionH>
            <wp:positionV relativeFrom="page">
              <wp:posOffset>407035</wp:posOffset>
            </wp:positionV>
            <wp:extent cx="6143625" cy="8799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614362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467360</wp:posOffset>
            </wp:positionH>
            <wp:positionV relativeFrom="page">
              <wp:posOffset>292735</wp:posOffset>
            </wp:positionV>
            <wp:extent cx="6716395" cy="8799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671639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467360</wp:posOffset>
            </wp:positionH>
            <wp:positionV relativeFrom="page">
              <wp:posOffset>407035</wp:posOffset>
            </wp:positionV>
            <wp:extent cx="6716395" cy="8799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671639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467360</wp:posOffset>
            </wp:positionH>
            <wp:positionV relativeFrom="page">
              <wp:posOffset>407035</wp:posOffset>
            </wp:positionV>
            <wp:extent cx="6716395" cy="8799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671639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461010</wp:posOffset>
            </wp:positionH>
            <wp:positionV relativeFrom="page">
              <wp:posOffset>292735</wp:posOffset>
            </wp:positionV>
            <wp:extent cx="6735445" cy="88118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735445" cy="881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461010</wp:posOffset>
            </wp:positionH>
            <wp:positionV relativeFrom="page">
              <wp:posOffset>407035</wp:posOffset>
            </wp:positionV>
            <wp:extent cx="6735445" cy="8805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735445" cy="8805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753745</wp:posOffset>
            </wp:positionH>
            <wp:positionV relativeFrom="page">
              <wp:posOffset>292735</wp:posOffset>
            </wp:positionV>
            <wp:extent cx="6143625" cy="8799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614362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753745</wp:posOffset>
            </wp:positionH>
            <wp:positionV relativeFrom="page">
              <wp:posOffset>407035</wp:posOffset>
            </wp:positionV>
            <wp:extent cx="6143625" cy="8799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6143625" cy="879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6"/>
          <w:szCs w:val="16"/>
          <w:u w:val="single" w:color="auto"/>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(Effective November 13, 2024)</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the course of conducting the business of Symbotic Inc. (together with its subsidiaries, the “Company”), you may come into possession of material information that is not available to the investing public (“material, non-public information”) about the Company or other entities. You must maintain the confidentiality of material, non-public information and may not use it in connection with the purchase or sale of Company Securities (as defined below) or the securities of any other entity to which the information relates. The Company has adopted this Insider Trading Policy (this “Policy”) in order to ensure compliance with the law and to avoid the appearance of improper conduct by any Covered Persons (as defined below). We have all worked hard to establish the Company’s reputation for integrity and ethical conduct, and we are all responsible for preserving and enhancing this reputation.</w:t>
      </w:r>
    </w:p>
    <w:p>
      <w:pPr>
        <w:spacing w:after="0" w:line="128" w:lineRule="exact"/>
        <w:rPr>
          <w:sz w:val="20"/>
          <w:szCs w:val="20"/>
          <w:color w:val="auto"/>
        </w:rPr>
      </w:pPr>
    </w:p>
    <w:p>
      <w:pPr>
        <w:ind w:left="480" w:hanging="480"/>
        <w:spacing w:after="0"/>
        <w:tabs>
          <w:tab w:leader="none" w:pos="480" w:val="left"/>
        </w:tabs>
        <w:numPr>
          <w:ilvl w:val="0"/>
          <w:numId w:val="1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SCOPE OF POLICY</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Policy applies to (i) all directors, officers, employees, independent contractors, temporary agency workers and consultants (in each case, as applicable) of the Company (collectively referred to as the “Insiders”), (ii) the spouses or equivalents, minor children and any individuals sharing the same household with any Insider (regardless of whether such individual is a family member), (iii) any other person or entity over whom any Insider exercises substantial control over his, her, their or its securities trading decisions, and (iv) any trust or other estate in which any Insider has a substantial beneficial interest or as to which he, she or they serves as trustee or in a similar fiduciary capacity (collectively, the “Covered Persons”).</w:t>
      </w:r>
    </w:p>
    <w:p>
      <w:pPr>
        <w:spacing w:after="0" w:line="127" w:lineRule="exact"/>
        <w:rPr>
          <w:sz w:val="20"/>
          <w:szCs w:val="20"/>
          <w:color w:val="auto"/>
        </w:rPr>
      </w:pPr>
    </w:p>
    <w:p>
      <w:pPr>
        <w:ind w:left="480" w:hanging="480"/>
        <w:spacing w:after="0"/>
        <w:tabs>
          <w:tab w:leader="none" w:pos="480"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PROHIBITION ON TRADING ON MATERIAL, NON-PUBLIC INFORMATION</w:t>
      </w:r>
    </w:p>
    <w:p>
      <w:pPr>
        <w:spacing w:after="0" w:line="165" w:lineRule="exact"/>
        <w:rPr>
          <w:sz w:val="20"/>
          <w:szCs w:val="20"/>
          <w:color w:val="auto"/>
        </w:rPr>
      </w:pPr>
    </w:p>
    <w:p>
      <w:pPr>
        <w:ind w:left="480" w:hanging="480"/>
        <w:spacing w:after="0"/>
        <w:tabs>
          <w:tab w:leader="none" w:pos="480" w:val="left"/>
        </w:tabs>
        <w:numPr>
          <w:ilvl w:val="0"/>
          <w:numId w:val="164"/>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Prohibition</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Policy prohibits, and the laws, rules and regulations of the United States and other countries may prohibit, any Covered Person from purchasing, selling or otherwise trading any securities of the Company, including common stock, any other common equity securities or any preferred equity, convertible or debt securities (“Company Securities”) while in possession of “inside information” about the Company. Inside information about the Company constitutes any material, non-public information about the Company. If you become aware of any inside information about the Company, you may not execute any trade in Company Securities and you should treat the information as confidential.</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Insiders may become temporary insiders of an entity other than the Company if such entity is an entity with which the Company has a contractual relationship or may be negotiating a transaction, or a competitor of the Company. Thus, the prohibition on trading while in possession of inside information also applies to transactions in the securities of any such other entity about which you acquire inside information in the course of your duties for the Company.</w:t>
      </w:r>
    </w:p>
    <w:p>
      <w:pPr>
        <w:sectPr>
          <w:pgSz w:w="11900" w:h="16838" w:orient="portrait"/>
          <w:cols w:equalWidth="0" w:num="1">
            <w:col w:w="11280"/>
          </w:cols>
          <w:pgMar w:left="300" w:top="129" w:right="319" w:bottom="1440" w:gutter="0" w:footer="0" w:header="0"/>
        </w:sectPr>
      </w:pPr>
    </w:p>
    <w:bookmarkStart w:id="239" w:name="page240"/>
    <w:bookmarkEnd w:id="239"/>
    <w:p>
      <w:pPr>
        <w:ind w:right="180"/>
        <w:spacing w:after="0" w:line="280" w:lineRule="auto"/>
        <w:rPr>
          <w:sz w:val="20"/>
          <w:szCs w:val="20"/>
          <w:color w:val="auto"/>
        </w:rPr>
      </w:pPr>
      <w:r>
        <w:rPr>
          <w:rFonts w:ascii="Times New Roman" w:cs="Times New Roman" w:eastAsia="Times New Roman" w:hAnsi="Times New Roman"/>
          <w:sz w:val="16"/>
          <w:szCs w:val="16"/>
          <w:color w:val="auto"/>
        </w:rPr>
        <w:t>Gifts (which includes donations) are covered by this Policy’s prohibitions on trading. A Covered Person in possession of inside information about the Company is prohibited from making a gift of Company Securities.</w:t>
      </w:r>
    </w:p>
    <w:p>
      <w:pPr>
        <w:spacing w:after="0" w:line="108" w:lineRule="exact"/>
        <w:rPr>
          <w:sz w:val="20"/>
          <w:szCs w:val="20"/>
          <w:color w:val="auto"/>
        </w:rPr>
      </w:pPr>
    </w:p>
    <w:p>
      <w:pPr>
        <w:ind w:left="480" w:hanging="480"/>
        <w:spacing w:after="0"/>
        <w:tabs>
          <w:tab w:leader="none" w:pos="480" w:val="left"/>
        </w:tabs>
        <w:numPr>
          <w:ilvl w:val="0"/>
          <w:numId w:val="165"/>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Definition of Inside Information (Material, Non-Public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Inside information about any entity constitutes “material, non-public information” about such entity.</w:t>
      </w:r>
    </w:p>
    <w:p>
      <w:pPr>
        <w:spacing w:after="0" w:line="163" w:lineRule="exact"/>
        <w:rPr>
          <w:sz w:val="20"/>
          <w:szCs w:val="20"/>
          <w:color w:val="auto"/>
        </w:rPr>
      </w:pPr>
    </w:p>
    <w:p>
      <w:pPr>
        <w:ind w:left="960" w:hanging="479"/>
        <w:spacing w:after="0"/>
        <w:tabs>
          <w:tab w:leader="none" w:pos="960" w:val="left"/>
        </w:tabs>
        <w:numPr>
          <w:ilvl w:val="0"/>
          <w:numId w:val="166"/>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Material Information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Under this Policy and United States laws, rules and regulations, information is material if there is a substantial likelihood that a reasonable investor would consider it important in deciding whether to buy, hold or sell an entity’s securities, or in making another investment decision involving an entity’s securities. Any information that could reasonably be expected to affect (either negatively or positively) the price of an entity’s securities is material for these purposes.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an entity’s securities, then such pieces of information are considered material. Information may be material even if it relates to future, speculative or contingent events and even if it is significant only when considered in combination with publicly available information. Examples of potentially material information about an entity include, depending on the particular circumstances:</w:t>
      </w:r>
    </w:p>
    <w:p>
      <w:pPr>
        <w:spacing w:after="0" w:line="134" w:lineRule="exact"/>
        <w:rPr>
          <w:sz w:val="20"/>
          <w:szCs w:val="20"/>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results;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announcements or estimates;</w:t>
      </w:r>
    </w:p>
    <w:p>
      <w:pPr>
        <w:spacing w:after="0" w:line="9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previously released earnings information;</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information regarding new products, technology or similar developments;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regarding customers, suppliers or competitors;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risks and incidents, including vulnerabilities and breaches;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execution or termination of significant financing, management or customer agreements or other contracts with business entities;</w:t>
      </w:r>
    </w:p>
    <w:p>
      <w:pPr>
        <w:spacing w:after="0" w:line="9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relating to a pending or proposed merger, acquisition, tender offer, joint venture or changes in assets (even if preliminary in nature);</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liquidity or solvency;</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extraordinary borrowings;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debt ratings;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unpublished research reports or models;</w:t>
      </w:r>
    </w:p>
    <w:p>
      <w:pPr>
        <w:spacing w:after="0" w:line="9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developments involving corporate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091" w:right="319" w:bottom="1440" w:gutter="0" w:footer="0" w:header="0"/>
        </w:sectPr>
      </w:pPr>
    </w:p>
    <w:bookmarkStart w:id="240" w:name="page241"/>
    <w:bookmarkEnd w:id="240"/>
    <w:p>
      <w:pPr>
        <w:ind w:left="480" w:hanging="239"/>
        <w:spacing w:after="0" w:line="283" w:lineRule="auto"/>
        <w:tabs>
          <w:tab w:leader="none" w:pos="476"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events regarding the entity’s securities, </w:t>
      </w:r>
      <w:r>
        <w:rPr>
          <w:rFonts w:ascii="Times New Roman" w:cs="Times New Roman" w:eastAsia="Times New Roman" w:hAnsi="Times New Roman"/>
          <w:sz w:val="16"/>
          <w:szCs w:val="16"/>
          <w:i w:val="1"/>
          <w:iCs w:val="1"/>
          <w:color w:val="auto"/>
        </w:rPr>
        <w:t>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w:t>
      </w:r>
      <w:r>
        <w:rPr>
          <w:rFonts w:ascii="Times New Roman" w:cs="Times New Roman" w:eastAsia="Times New Roman" w:hAnsi="Times New Roman"/>
          <w:sz w:val="16"/>
          <w:szCs w:val="16"/>
          <w:color w:val="auto"/>
        </w:rPr>
        <w:t>., defaults on senior securities, calls of securities for redemption, repurchase plans, stock splits or changes in dividends or dividend policy, changes to the rights of security holders and new equity or debt offerings;</w:t>
      </w:r>
    </w:p>
    <w:p>
      <w:pPr>
        <w:spacing w:after="0" w:line="28"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(whether positive or negative) in pending litigation;</w:t>
      </w:r>
    </w:p>
    <w:p>
      <w:pPr>
        <w:spacing w:after="0" w:line="9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litigation exposure due to actual or threatened litigation;</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auditors or an auditor’s notification that the entity may no longer rely on such auditor’s audit report;</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changes in accounting methods or policies;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control, in management or in the board of directors; and</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bankruptcies or receiverships.</w:t>
      </w:r>
    </w:p>
    <w:p>
      <w:pPr>
        <w:spacing w:after="0" w:line="173" w:lineRule="exact"/>
        <w:rPr>
          <w:sz w:val="20"/>
          <w:szCs w:val="20"/>
          <w:color w:val="auto"/>
        </w:rPr>
      </w:pPr>
    </w:p>
    <w:p>
      <w:pPr>
        <w:ind w:left="960" w:hanging="479"/>
        <w:spacing w:after="0"/>
        <w:tabs>
          <w:tab w:leader="none" w:pos="960" w:val="left"/>
        </w:tabs>
        <w:numPr>
          <w:ilvl w:val="0"/>
          <w:numId w:val="169"/>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Non-Public Information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Information is considered to be non-public unless it has been adequately disclosed to the public, which means that the information must be publicly disseminated in a manner designed to reach investors generally and sufficient time must have passed for the capital markets to have absorbed the information. Information is not necessarily public merely because it has been discussed in the press, which will sometimes report rumors. You should presume that information is non-public unless you can point to its official release in at least one of the following ways: (i) regulatory filings; or (ii) issuance of press releases (including on an entity’s official website).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You may not attempt to “beat the market” by trading simultaneously with, or shortly after, the official release of material information. Although there is no fixed period for how long it takes the market to absorb information, out of prudence, a person aware of material, non-public information should refrain from any trading activity for approximately two full trading days following its official release; shorter or longer waiting periods might be warranted based upon the liquidity of the security and the nature of the information. </w:t>
      </w:r>
      <w:r>
        <w:rPr>
          <w:rFonts w:ascii="Times New Roman" w:cs="Times New Roman" w:eastAsia="Times New Roman" w:hAnsi="Times New Roman"/>
          <w:sz w:val="16"/>
          <w:szCs w:val="16"/>
          <w:b w:val="1"/>
          <w:bCs w:val="1"/>
          <w:color w:val="auto"/>
        </w:rPr>
        <w:t>Notwithstanding these timing guidelines, it is illegal for you to trade while in possession of material, non-public information, including situations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which you are aware of major developments that have not yet been publicly announced.</w:t>
      </w:r>
    </w:p>
    <w:p>
      <w:pPr>
        <w:spacing w:after="0" w:line="125" w:lineRule="exact"/>
        <w:rPr>
          <w:sz w:val="20"/>
          <w:szCs w:val="20"/>
          <w:color w:val="auto"/>
        </w:rPr>
      </w:pPr>
    </w:p>
    <w:p>
      <w:pPr>
        <w:ind w:left="480" w:hanging="480"/>
        <w:spacing w:after="0"/>
        <w:tabs>
          <w:tab w:leader="none" w:pos="480" w:val="left"/>
        </w:tabs>
        <w:numPr>
          <w:ilvl w:val="0"/>
          <w:numId w:val="170"/>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Exemptions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prohibitions in Sections 2.A and 4.C on purchases, sales or other transactions of Company Securities do not apply to:</w:t>
      </w:r>
    </w:p>
    <w:p>
      <w:pPr>
        <w:spacing w:after="0" w:line="167" w:lineRule="exact"/>
        <w:rPr>
          <w:sz w:val="20"/>
          <w:szCs w:val="20"/>
          <w:color w:val="auto"/>
        </w:rPr>
      </w:pPr>
    </w:p>
    <w:p>
      <w:pPr>
        <w:ind w:left="480" w:hanging="239"/>
        <w:spacing w:after="0" w:line="280" w:lineRule="auto"/>
        <w:tabs>
          <w:tab w:leader="none" w:pos="47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contributions to, or the acquisition of Company Securities under, an employee stock purchase plan maintained by the Company, in each case, pursuant to the terms and conditions of the applicable plan;</w:t>
      </w:r>
    </w:p>
    <w:p>
      <w:pPr>
        <w:spacing w:after="0" w:line="31" w:lineRule="exact"/>
        <w:rPr>
          <w:rFonts w:ascii="Times New Roman" w:cs="Times New Roman" w:eastAsia="Times New Roman" w:hAnsi="Times New Roman"/>
          <w:sz w:val="16"/>
          <w:szCs w:val="16"/>
          <w:color w:val="auto"/>
        </w:rPr>
      </w:pPr>
    </w:p>
    <w:p>
      <w:pPr>
        <w:ind w:left="480" w:hanging="239"/>
        <w:spacing w:after="0" w:line="280" w:lineRule="auto"/>
        <w:tabs>
          <w:tab w:leader="none" w:pos="47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exercises of stock options or stock appreciation rights, or the surrender of shares to the Company in payment of the exercise price or in satisfaction of any tax withholding obligations in a manner permitted by the terms and conditions of the applicable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089" w:right="319" w:bottom="1440" w:gutter="0" w:footer="0" w:header="0"/>
        </w:sectPr>
      </w:pPr>
    </w:p>
    <w:bookmarkStart w:id="241" w:name="page242"/>
    <w:bookmarkEnd w:id="241"/>
    <w:p>
      <w:pPr>
        <w:ind w:left="480"/>
        <w:spacing w:after="0"/>
        <w:rPr>
          <w:sz w:val="20"/>
          <w:szCs w:val="20"/>
          <w:color w:val="auto"/>
        </w:rPr>
      </w:pPr>
      <w:r>
        <w:rPr>
          <w:rFonts w:ascii="Times New Roman" w:cs="Times New Roman" w:eastAsia="Times New Roman" w:hAnsi="Times New Roman"/>
          <w:sz w:val="16"/>
          <w:szCs w:val="16"/>
          <w:color w:val="auto"/>
        </w:rPr>
        <w:t>vesting or settlement of equity-based awards, that in each case do not involve a market sale of Company Securities; or</w:t>
      </w:r>
    </w:p>
    <w:p>
      <w:pPr>
        <w:spacing w:after="0" w:line="86" w:lineRule="exact"/>
        <w:rPr>
          <w:sz w:val="20"/>
          <w:szCs w:val="20"/>
          <w:color w:val="auto"/>
        </w:rPr>
      </w:pPr>
    </w:p>
    <w:p>
      <w:pPr>
        <w:ind w:left="480" w:hanging="239"/>
        <w:spacing w:after="0" w:line="280" w:lineRule="auto"/>
        <w:tabs>
          <w:tab w:leader="none" w:pos="47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in exchange-traded index securities or derivatives linked to broad-based indices that may include securities of the Company or any other entity about which you acquire inside information in the course of your duties for the Company.</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For purposes of this Policy, a broad-based index investment strategy would not include an index or strategy if (i) more than 10% of the index or strategy were to be represented by a single issuer or (ii) the index or strategy were to be linked to a relatively narrow group of companies. Appropriate care should be taken in investing in index securities or industry-focused funds to ascertain the nature of the index or strategy and to avoid concerns over its being too narrowly focused.</w:t>
      </w:r>
    </w:p>
    <w:p>
      <w:pPr>
        <w:spacing w:after="0" w:line="122" w:lineRule="exact"/>
        <w:rPr>
          <w:sz w:val="20"/>
          <w:szCs w:val="20"/>
          <w:color w:val="auto"/>
        </w:rPr>
      </w:pPr>
    </w:p>
    <w:p>
      <w:pPr>
        <w:ind w:left="480" w:hanging="480"/>
        <w:spacing w:after="0"/>
        <w:tabs>
          <w:tab w:leader="none" w:pos="480"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PROHIBITION ON “TIPPING” MATERIAL, NON-PUBLIC INFORMATION</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to trading while in possession of material, non-public information, it is illegal and a violation of this Policy to convey such information to another (“tipping”) if you know, have reason to believe or suspect that the person will misuse such information by trading in securities or passing such information to others who trade. This applies regardless of whether the “tippee” is related to the Covered Person or is an entity, and regardless of whether you receive any monetary benefit from the tippee.</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Trading on or conveying material, non-public information may also breach contractual obligations assumed by the Company to or on behalf of entities with which the Company has a contractual relationship or may be negotiating a transaction. Apart from contractual remedies (such as damages and injunctions), severe, and possibly irreparable, reputational damage to the Company can result from trading on, tipping or other improper use of material, non-public information.</w:t>
      </w:r>
    </w:p>
    <w:p>
      <w:pPr>
        <w:spacing w:after="0" w:line="122" w:lineRule="exact"/>
        <w:rPr>
          <w:sz w:val="20"/>
          <w:szCs w:val="20"/>
          <w:color w:val="auto"/>
        </w:rPr>
      </w:pPr>
    </w:p>
    <w:p>
      <w:pPr>
        <w:ind w:left="480" w:hanging="480"/>
        <w:spacing w:after="0"/>
        <w:tabs>
          <w:tab w:leader="none" w:pos="480" w:val="left"/>
        </w:tabs>
        <w:numPr>
          <w:ilvl w:val="0"/>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STATEMENT OF PROCEDURES PREVENTING INSIDER TRADING</w:t>
      </w:r>
    </w:p>
    <w:p>
      <w:pPr>
        <w:spacing w:after="0" w:line="17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procedures have been established, and will be maintained and enforced, by the Company to prevent insider trading. Every director, officer and designated employee is required to follow these procedures.</w:t>
      </w:r>
    </w:p>
    <w:p>
      <w:pPr>
        <w:spacing w:after="0" w:line="108" w:lineRule="exact"/>
        <w:rPr>
          <w:sz w:val="20"/>
          <w:szCs w:val="20"/>
          <w:color w:val="auto"/>
        </w:rPr>
      </w:pPr>
    </w:p>
    <w:p>
      <w:pPr>
        <w:ind w:left="480" w:hanging="480"/>
        <w:spacing w:after="0"/>
        <w:tabs>
          <w:tab w:leader="none" w:pos="480" w:val="left"/>
        </w:tabs>
        <w:numPr>
          <w:ilvl w:val="0"/>
          <w:numId w:val="175"/>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Pre-Clearance of All Transactions by All Directors, Officers and Designated Employees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To provide assistance in preventing inadvertent violations of applicable laws, rules and regulations and to avoid the appearance of impropriety in connection with the trading of securities, </w:t>
      </w:r>
      <w:r>
        <w:rPr>
          <w:rFonts w:ascii="Times New Roman" w:cs="Times New Roman" w:eastAsia="Times New Roman" w:hAnsi="Times New Roman"/>
          <w:sz w:val="16"/>
          <w:szCs w:val="16"/>
          <w:b w:val="1"/>
          <w:bCs w:val="1"/>
          <w:color w:val="auto"/>
        </w:rPr>
        <w:t>all transactions in Company Securities and securities of entities with which the Company has a contractual relationship or may be negotiating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transaction, in each case, material to the other entity, by directors, officers and designated employees listed on </w:t>
      </w:r>
      <w:r>
        <w:rPr>
          <w:rFonts w:ascii="Times New Roman" w:cs="Times New Roman" w:eastAsia="Times New Roman" w:hAnsi="Times New Roman"/>
          <w:sz w:val="16"/>
          <w:szCs w:val="16"/>
          <w:b w:val="1"/>
          <w:bCs w:val="1"/>
          <w:u w:val="single" w:color="auto"/>
          <w:color w:val="auto"/>
        </w:rPr>
        <w:t>Schedule I.A</w:t>
      </w:r>
      <w:r>
        <w:rPr>
          <w:rFonts w:ascii="Times New Roman" w:cs="Times New Roman" w:eastAsia="Times New Roman" w:hAnsi="Times New Roman"/>
          <w:sz w:val="16"/>
          <w:szCs w:val="16"/>
          <w:b w:val="1"/>
          <w:bCs w:val="1"/>
          <w:color w:val="auto"/>
        </w:rPr>
        <w:t xml:space="preserve"> (as may be amended from time to time) (each, a “Pre-Clearance Person”) must be pre-cleared </w:t>
      </w:r>
      <w:r>
        <w:rPr>
          <w:rFonts w:ascii="Times New Roman" w:cs="Times New Roman" w:eastAsia="Times New Roman" w:hAnsi="Times New Roman"/>
          <w:sz w:val="16"/>
          <w:szCs w:val="16"/>
          <w:color w:val="auto"/>
        </w:rPr>
        <w:t>by the Company’s General Counsel or his, her or their designee. Gifts of Company Securities or other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this Section 4.A by Pre-Clearance Persons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090" w:right="319" w:bottom="1440" w:gutter="0" w:footer="0" w:header="0"/>
        </w:sectPr>
      </w:pPr>
    </w:p>
    <w:bookmarkStart w:id="242" w:name="page243"/>
    <w:bookmarkEnd w:id="242"/>
    <w:p>
      <w:pPr>
        <w:jc w:val="both"/>
        <w:spacing w:after="0" w:line="280" w:lineRule="auto"/>
        <w:rPr>
          <w:sz w:val="20"/>
          <w:szCs w:val="20"/>
          <w:color w:val="auto"/>
        </w:rPr>
      </w:pPr>
      <w:r>
        <w:rPr>
          <w:rFonts w:ascii="Times New Roman" w:cs="Times New Roman" w:eastAsia="Times New Roman" w:hAnsi="Times New Roman"/>
          <w:sz w:val="16"/>
          <w:szCs w:val="16"/>
          <w:color w:val="auto"/>
        </w:rPr>
        <w:t>be pre-cleared. Transactions in exchange-traded index securities or derivatives linked to broad-based indices are exempted from this pre-clearance requirement. Pre-clearance does not relieve anyone of his, her or their responsibility under U.S. Securities and Exchange Commission (“SEC”) rules and other applicable laws, rules and regulations.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A request for pre-clearance must be in writing (including by e-mail), or pursuant to such other method required by the Company from time to time, should be made </w:t>
      </w:r>
      <w:r>
        <w:rPr>
          <w:rFonts w:ascii="Times New Roman" w:cs="Times New Roman" w:eastAsia="Times New Roman" w:hAnsi="Times New Roman"/>
          <w:sz w:val="16"/>
          <w:szCs w:val="16"/>
          <w:b w:val="1"/>
          <w:bCs w:val="1"/>
          <w:u w:val="single" w:color="auto"/>
          <w:color w:val="auto"/>
        </w:rPr>
        <w:t>at least</w:t>
      </w:r>
      <w:r>
        <w:rPr>
          <w:rFonts w:ascii="Times New Roman" w:cs="Times New Roman" w:eastAsia="Times New Roman" w:hAnsi="Times New Roman"/>
          <w:sz w:val="16"/>
          <w:szCs w:val="16"/>
          <w:color w:val="auto"/>
        </w:rPr>
        <w:t xml:space="preserve">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the Pre-Clearance Person will certify to the General Counsel or his, her or their designee, that such person is not aware of any relevant material non-public information. The General Counsel or his, her or their designee shall have discretion to decide whether to clear any contemplated transaction, provided that the Chief Financial Officer shall have discretion to decide whether to clear transactions by the General Counsel, the General Counsel’s designee or persons or entities subject to this Policy as a result of their relationship with the General Counsel or designee, as the case may be. All transactions that are pre-cleared must be effected within five business days of receipt of the pre-clearance unless a specific exception has been granted by the General Counsel or his, her or their designee.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26" w:lineRule="exact"/>
        <w:rPr>
          <w:sz w:val="20"/>
          <w:szCs w:val="20"/>
          <w:color w:val="auto"/>
        </w:rPr>
      </w:pPr>
    </w:p>
    <w:p>
      <w:pPr>
        <w:ind w:left="480" w:hanging="480"/>
        <w:spacing w:after="0"/>
        <w:tabs>
          <w:tab w:leader="none" w:pos="480" w:val="left"/>
        </w:tabs>
        <w:numPr>
          <w:ilvl w:val="0"/>
          <w:numId w:val="176"/>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Post-Transaction Notice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Each Covered Person who is subject to reporting obligations under Section 16 of the Securities Exchange Act of 1934 (as amended, the “Exchange Act”) shall also notify the General Counsel (or his, her or their designee) of the occurrence of any purchase, sale or other acquisition or disposition, including any gift, of securities of the Company as soon as possible following the transaction, but in any event within one business day after the transaction. Such notification shall be in writing (including by e-mail) and should include the identity of the Covered Person, the type of transaction, the date of the transaction, the number of shares involved and the purchase or sale price. For purposes of this Section 4.B, a purchase, sale or other acquisition or disposition shall be deemed to occur at the time the person becomes irrevocably committed to it (for example, in the case of an open market purchase or sale, this occurs when the trade is executed, not when it settles).</w:t>
      </w:r>
    </w:p>
    <w:p>
      <w:pPr>
        <w:spacing w:after="0" w:line="136" w:lineRule="exact"/>
        <w:rPr>
          <w:sz w:val="20"/>
          <w:szCs w:val="20"/>
          <w:color w:val="auto"/>
        </w:rPr>
      </w:pPr>
    </w:p>
    <w:p>
      <w:pPr>
        <w:ind w:left="480" w:hanging="480"/>
        <w:spacing w:after="0"/>
        <w:tabs>
          <w:tab w:leader="none" w:pos="480" w:val="left"/>
        </w:tabs>
        <w:numPr>
          <w:ilvl w:val="0"/>
          <w:numId w:val="177"/>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Black-Out Periods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Additionally, no director, officer or employee listed on </w:t>
      </w:r>
      <w:r>
        <w:rPr>
          <w:rFonts w:ascii="Times New Roman" w:cs="Times New Roman" w:eastAsia="Times New Roman" w:hAnsi="Times New Roman"/>
          <w:sz w:val="16"/>
          <w:szCs w:val="16"/>
          <w:u w:val="single" w:color="auto"/>
          <w:color w:val="auto"/>
        </w:rPr>
        <w:t>Schedule I.B</w:t>
      </w:r>
      <w:r>
        <w:rPr>
          <w:rFonts w:ascii="Times New Roman" w:cs="Times New Roman" w:eastAsia="Times New Roman" w:hAnsi="Times New Roman"/>
          <w:sz w:val="16"/>
          <w:szCs w:val="16"/>
          <w:color w:val="auto"/>
        </w:rPr>
        <w:t xml:space="preserve"> (as may be amended from time to time) shall purchase, sell or otherwise transact in any Company Securities during the period beginning at 11:59 p.m. Eastern time on the fourteenth calendar day before the end of any fiscal quarter of the Company and ending upon the completion of the second full trading day after the public release of earnings data for such fiscal quarter or during any other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091" w:right="319" w:bottom="1440" w:gutter="0" w:footer="0" w:header="0"/>
        </w:sectPr>
      </w:pPr>
    </w:p>
    <w:bookmarkStart w:id="243" w:name="page244"/>
    <w:bookmarkEnd w:id="243"/>
    <w:p>
      <w:pPr>
        <w:jc w:val="both"/>
        <w:spacing w:after="0" w:line="264" w:lineRule="auto"/>
        <w:rPr>
          <w:sz w:val="20"/>
          <w:szCs w:val="20"/>
          <w:color w:val="auto"/>
        </w:rPr>
      </w:pPr>
      <w:r>
        <w:rPr>
          <w:rFonts w:ascii="Times New Roman" w:cs="Times New Roman" w:eastAsia="Times New Roman" w:hAnsi="Times New Roman"/>
          <w:sz w:val="16"/>
          <w:szCs w:val="16"/>
          <w:color w:val="auto"/>
        </w:rPr>
        <w:t>suspension period declared by the Company, except for purchases and sales pursuant to a previously approved Rule 10b5-1(c) Trading Plan (as described below). For example, if the Company’s fourth fiscal quarter ends on September 30, the corresponding black-out period would begin at 11:59 p.m. Eastern time on September 16. For the purposes of this Policy, a “trading day” is a day on which national stock exchanges in the United States are open for trading.</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Exceptions to the black-out period policy may be approved only by General Counsel or his, her or their designee (or, in the case of an exception for the General Counsel, the General Counsel’s designee or persons or entities subject to this Policy as a result of their relationship with the General Counsel or the designee, as the case may be, the Chief Financial Officer, or, in the case of exceptions for directors, the Board of Directors).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From time to time, the Company, through the Board of Directors or the General Counsel, may recommend that directors, officers, employees or others suspend trading in Company Securities because of developments that have not yet been disclosed to the public. Subject to the exceptions noted above, all of those affected should not trade in Company Securities while the suspension is in effect and should not disclose to others that the Company has suspended trading. The fact that there is a trading suspension may constitute material, non-public information or information that may lead to rumors in the public market and must be kept strictly confidential.</w:t>
      </w:r>
    </w:p>
    <w:p>
      <w:pPr>
        <w:spacing w:after="0" w:line="121" w:lineRule="exact"/>
        <w:rPr>
          <w:sz w:val="20"/>
          <w:szCs w:val="20"/>
          <w:color w:val="auto"/>
        </w:rPr>
      </w:pPr>
    </w:p>
    <w:p>
      <w:pPr>
        <w:ind w:left="480" w:hanging="480"/>
        <w:spacing w:after="0"/>
        <w:tabs>
          <w:tab w:leader="none" w:pos="480" w:val="left"/>
        </w:tabs>
        <w:numPr>
          <w:ilvl w:val="0"/>
          <w:numId w:val="178"/>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Post-Termination Transactions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With the exception of the pre-clearance requirement, this Policy continues to apply to transactions in Company Securities, securities of an entity with which the Company has a contractual relationship or may be negotiating a transaction, and securities of a competitor of the Company, even after termination of service to the Company. If an Insider is in possession of material, non-public information when his, her or their service terminates, that individual and related Covered Persons may not trade in Company Securities or the securities of any other entity to which that information relates until that information has become public or is no longer material.</w:t>
      </w:r>
    </w:p>
    <w:p>
      <w:pPr>
        <w:spacing w:after="0" w:line="123" w:lineRule="exact"/>
        <w:rPr>
          <w:sz w:val="20"/>
          <w:szCs w:val="20"/>
          <w:color w:val="auto"/>
        </w:rPr>
      </w:pPr>
    </w:p>
    <w:p>
      <w:pPr>
        <w:ind w:left="480" w:hanging="480"/>
        <w:spacing w:after="0"/>
        <w:tabs>
          <w:tab w:leader="none" w:pos="480"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ADDITIONAL PROHIBITED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Insiders and Covered Persons, as applicable, shall comply with the following policies with respect to certain transactions in Company Securities:</w:t>
      </w:r>
    </w:p>
    <w:p>
      <w:pPr>
        <w:spacing w:after="0" w:line="163" w:lineRule="exact"/>
        <w:rPr>
          <w:sz w:val="20"/>
          <w:szCs w:val="20"/>
          <w:color w:val="auto"/>
        </w:rPr>
      </w:pPr>
    </w:p>
    <w:p>
      <w:pPr>
        <w:ind w:left="480" w:hanging="480"/>
        <w:spacing w:after="0"/>
        <w:tabs>
          <w:tab w:leader="none" w:pos="480" w:val="left"/>
        </w:tabs>
        <w:numPr>
          <w:ilvl w:val="0"/>
          <w:numId w:val="180"/>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Short Sales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Short sales of Company Securities by Covered Persons are prohibited by this Policy. In addition, Section 16(c) of the Exchange Act absolutely prohibits Section 16 reporting persons from making sales of shares of the Company’s equity securities that the insider does not own at the time of sale, or sales of shares against which the insider does not deliver the shares within 20 days after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090" w:right="319" w:bottom="1440" w:gutter="0" w:footer="0" w:header="0"/>
        </w:sectPr>
      </w:pPr>
    </w:p>
    <w:bookmarkStart w:id="244" w:name="page245"/>
    <w:bookmarkEnd w:id="244"/>
    <w:p>
      <w:pPr>
        <w:ind w:left="480" w:hanging="480"/>
        <w:spacing w:after="0"/>
        <w:tabs>
          <w:tab w:leader="none" w:pos="480" w:val="left"/>
        </w:tabs>
        <w:numPr>
          <w:ilvl w:val="0"/>
          <w:numId w:val="181"/>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Derivative Transactions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Transactions in puts, calls or other derivative securities involving Company Securities by Covered Persons are prohibited by this Policy. </w:t>
      </w:r>
      <w:r>
        <w:rPr>
          <w:rFonts w:ascii="Times New Roman" w:cs="Times New Roman" w:eastAsia="Times New Roman" w:hAnsi="Times New Roman"/>
          <w:sz w:val="16"/>
          <w:szCs w:val="16"/>
          <w:b w:val="1"/>
          <w:bCs w:val="1"/>
          <w:color w:val="auto"/>
        </w:rPr>
        <w:t>This prohibition on derivatives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trading does not preclude Covered Persons from exercising any employee stock option or stock appreciation right which may be issued to such Covered Person by the Company from time to time. </w:t>
      </w:r>
      <w:r>
        <w:rPr>
          <w:rFonts w:ascii="Times New Roman" w:cs="Times New Roman" w:eastAsia="Times New Roman" w:hAnsi="Times New Roman"/>
          <w:sz w:val="16"/>
          <w:szCs w:val="16"/>
          <w:color w:val="auto"/>
        </w:rPr>
        <w:t>However, other factors, such as general insider trading rules or this Policy, may prohibit employees from simultaneously selling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obtained from the exercise of these options or stock appreciation rights at various times.</w:t>
      </w:r>
    </w:p>
    <w:p>
      <w:pPr>
        <w:spacing w:after="0" w:line="120" w:lineRule="exact"/>
        <w:rPr>
          <w:sz w:val="20"/>
          <w:szCs w:val="20"/>
          <w:color w:val="auto"/>
        </w:rPr>
      </w:pPr>
    </w:p>
    <w:p>
      <w:pPr>
        <w:ind w:left="480" w:hanging="480"/>
        <w:spacing w:after="0"/>
        <w:tabs>
          <w:tab w:leader="none" w:pos="480" w:val="left"/>
        </w:tabs>
        <w:numPr>
          <w:ilvl w:val="0"/>
          <w:numId w:val="182"/>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Hedging Transactions</w:t>
      </w:r>
    </w:p>
    <w:p>
      <w:pPr>
        <w:spacing w:after="0" w:line="1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No Covered Person may engage in hedging or monetization transactions or similar arrangements designed to limit the financial risk of ownership of Company Securities, such as through prepaid variable forwards, equity swaps, collars and exchange funds.</w:t>
      </w:r>
    </w:p>
    <w:p>
      <w:pPr>
        <w:spacing w:after="0" w:line="118" w:lineRule="exact"/>
        <w:rPr>
          <w:sz w:val="20"/>
          <w:szCs w:val="20"/>
          <w:color w:val="auto"/>
        </w:rPr>
      </w:pPr>
    </w:p>
    <w:p>
      <w:pPr>
        <w:ind w:left="480" w:hanging="480"/>
        <w:spacing w:after="0"/>
        <w:tabs>
          <w:tab w:leader="none" w:pos="480" w:val="left"/>
        </w:tabs>
        <w:numPr>
          <w:ilvl w:val="0"/>
          <w:numId w:val="183"/>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Purchases of Company Securities on Margin</w:t>
      </w:r>
    </w:p>
    <w:p>
      <w:pPr>
        <w:spacing w:after="0" w:line="1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Purchasing on margin means borrowing from a brokerage firm, bank or other entity in order to purchase Company Securities (other than in connection with a cashless exercise of stock options through a broker under the Company’s equity plans). Margin purchases of Company Securities by Covered Persons are prohibited by this Policy.</w:t>
      </w:r>
    </w:p>
    <w:p>
      <w:pPr>
        <w:spacing w:after="0" w:line="108" w:lineRule="exact"/>
        <w:rPr>
          <w:sz w:val="20"/>
          <w:szCs w:val="20"/>
          <w:color w:val="auto"/>
        </w:rPr>
      </w:pPr>
    </w:p>
    <w:p>
      <w:pPr>
        <w:ind w:left="480" w:hanging="480"/>
        <w:spacing w:after="0"/>
        <w:tabs>
          <w:tab w:leader="none" w:pos="480" w:val="left"/>
        </w:tabs>
        <w:numPr>
          <w:ilvl w:val="0"/>
          <w:numId w:val="184"/>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Pledging Company Securities to Secure Margin or Other Loans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Covered Persons are prohibited from entering into margin loans, or other transactions involving the pledging of Company Securities as collateral under this Policy.</w:t>
      </w:r>
    </w:p>
    <w:p>
      <w:pPr>
        <w:spacing w:after="0" w:line="163" w:lineRule="exact"/>
        <w:rPr>
          <w:sz w:val="20"/>
          <w:szCs w:val="20"/>
          <w:color w:val="auto"/>
        </w:rPr>
      </w:pPr>
    </w:p>
    <w:p>
      <w:pPr>
        <w:ind w:left="460" w:hanging="460"/>
        <w:spacing w:after="0"/>
        <w:tabs>
          <w:tab w:leader="none" w:pos="460" w:val="left"/>
        </w:tabs>
        <w:numPr>
          <w:ilvl w:val="0"/>
          <w:numId w:val="185"/>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Regulation BTR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If the Company is required to impose a pension fund “blackout period” under Regulation BTR, each director and executive officer shall not, directly or indirectly purchase, sell or otherwise acquire or transfer during such blackout period any equity securities of the Company acquired in connection with his, her or their service as a director or officer of the Company, except as permitted by Regulation BTR.</w:t>
      </w:r>
    </w:p>
    <w:p>
      <w:pPr>
        <w:spacing w:after="0" w:line="122" w:lineRule="exact"/>
        <w:rPr>
          <w:sz w:val="20"/>
          <w:szCs w:val="20"/>
          <w:color w:val="auto"/>
        </w:rPr>
      </w:pPr>
    </w:p>
    <w:p>
      <w:pPr>
        <w:ind w:left="480" w:hanging="480"/>
        <w:spacing w:after="0"/>
        <w:tabs>
          <w:tab w:leader="none" w:pos="480"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RULE 10b5-1(c) TRADING PLANS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Transactions in Company Securities made pursuant to a previously established and approved “Rule 10b-5-1(c) Trading Plan” are not subject to the pre-clearance requirements or the black-out period policy. A Rule 10b5-1(c) Trading Plan must comply with the requirements of Rule 10b5-1(c) under the Exchange Act, as may be adopted or amended from time to time by the SEC.</w:t>
      </w:r>
    </w:p>
    <w:p>
      <w:pPr>
        <w:spacing w:after="0" w:line="1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Rule 10b5-1(c) Trading Plans do not exempt individuals from complying with Section 16 short-swing profit rules or liability. </w:t>
      </w:r>
      <w:r>
        <w:rPr>
          <w:rFonts w:ascii="Times New Roman" w:cs="Times New Roman" w:eastAsia="Times New Roman" w:hAnsi="Times New Roman"/>
          <w:sz w:val="16"/>
          <w:szCs w:val="16"/>
          <w:color w:val="auto"/>
        </w:rPr>
        <w:t>Furthermore, Rule 10b5-1(c) Trading Plans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meet the requirements of applicable laws, rules and regulations only provide an “affirmative defense”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087" w:right="3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color w:val="auto"/>
        </w:rPr>
        <w:t>the event there is an insider trading lawsuit. A Rule 10b5-1(c) Trading Plan does not prevent someone from bringing a lawsuit.</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Although transactions effected under a Rule 10b5-1(c) Trading Plan will not require further pre-clearance at the time of the trade, any transaction (including the quantity and price) made pursuant to a Rule 10b5-1(c)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reserves the right from time to time to suspend, discontinue or otherwise prohibit any transaction in Company Securities, even pursuant to a previously approved Rule 10b5-1(c) Trading Plan, if the General Counsel or the Board of Directors, in his, her, their or its discretion, determines that such suspension, discontinuation or other prohibition is in the best interests of the Company. Any Trading Plan submitted for approval hereunder should explicitly acknowledge the Company’s right to prohibit transactions in Company Securities. Failure to discontinue purchases and sales as directed shall constitute a violation of the terms of this Section 6 and result in a loss of the exemption set forth herein.</w:t>
      </w:r>
    </w:p>
    <w:p>
      <w:pPr>
        <w:spacing w:after="0" w:line="127" w:lineRule="exact"/>
        <w:rPr>
          <w:sz w:val="20"/>
          <w:szCs w:val="20"/>
          <w:color w:val="auto"/>
        </w:rPr>
      </w:pPr>
    </w:p>
    <w:p>
      <w:pPr>
        <w:ind w:left="480" w:hanging="480"/>
        <w:spacing w:after="0"/>
        <w:tabs>
          <w:tab w:leader="none" w:pos="480"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SAFEGUARDING CONFIDENTIAL INFORMATION</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Subject to the exceptions noted below, f material information relating to the Company or its business has not been disclosed to the general public, such information must be kept in strict confidence and should be discussed only with persons who have a “need to know” of the information for a legitimate business purpose, except when disclosure is authorized, legally mandated or made in cooperation with a government investigation. The utmost care and circumspection must be exercised at all times in order to protect the Company’s confidential information. The following practices should be followed to help prevent the misuse of confidential information:</w:t>
      </w:r>
    </w:p>
    <w:p>
      <w:pPr>
        <w:spacing w:after="0" w:line="125" w:lineRule="exact"/>
        <w:rPr>
          <w:sz w:val="20"/>
          <w:szCs w:val="20"/>
          <w:color w:val="auto"/>
        </w:rPr>
      </w:pPr>
    </w:p>
    <w:p>
      <w:pPr>
        <w:ind w:left="480" w:hanging="239"/>
        <w:spacing w:after="0" w:line="280" w:lineRule="auto"/>
        <w:tabs>
          <w:tab w:leader="none" w:pos="476"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avoid discussing confidential information in places where you may be overheard by people who do not have a valid need to know of such information, such as on elevators, in restaurants and on trains, buses, taxis, rideshares or airplanes;</w:t>
      </w:r>
    </w:p>
    <w:p>
      <w:pPr>
        <w:spacing w:after="0" w:line="31"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discuss confidential information with relatives or social acquaintances;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give your computer IDs and passwords to any other person;</w:t>
      </w:r>
    </w:p>
    <w:p>
      <w:pPr>
        <w:spacing w:after="0" w:line="9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password protect computers and log off when they are not in use and use privacy screens;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always put confidential documents away when not in use and, based upon the sensitivity of the material, keep such documents in a locked desk or office;</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leave documents containing confidential information where they may be seen by persons who do not have a need to know of the content of the documents;</w:t>
      </w:r>
    </w:p>
    <w:p>
      <w:pPr>
        <w:spacing w:after="0" w:line="86"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specific terms of any confidentiality agreements of which you are aware;</w:t>
      </w:r>
    </w:p>
    <w:p>
      <w:pPr>
        <w:spacing w:after="0" w:line="86" w:lineRule="exact"/>
        <w:rPr>
          <w:rFonts w:ascii="Times New Roman" w:cs="Times New Roman" w:eastAsia="Times New Roman" w:hAnsi="Times New Roman"/>
          <w:sz w:val="16"/>
          <w:szCs w:val="16"/>
          <w:color w:val="auto"/>
        </w:rPr>
      </w:pPr>
    </w:p>
    <w:p>
      <w:pPr>
        <w:ind w:left="480" w:hanging="239"/>
        <w:spacing w:after="0" w:line="293" w:lineRule="auto"/>
        <w:tabs>
          <w:tab w:leader="none" w:pos="476"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termination of your employment, engagement or assignment with the Company you must return to the Company all physical (including electronic) copies of confidential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090" w:right="319" w:bottom="1440" w:gutter="0" w:footer="0" w:header="0"/>
        </w:sectPr>
      </w:pPr>
    </w:p>
    <w:bookmarkStart w:id="246" w:name="page247"/>
    <w:bookmarkEnd w:id="246"/>
    <w:p>
      <w:pPr>
        <w:ind w:left="480"/>
        <w:spacing w:after="0"/>
        <w:rPr>
          <w:sz w:val="20"/>
          <w:szCs w:val="20"/>
          <w:color w:val="auto"/>
        </w:rPr>
      </w:pPr>
      <w:r>
        <w:rPr>
          <w:rFonts w:ascii="Times New Roman" w:cs="Times New Roman" w:eastAsia="Times New Roman" w:hAnsi="Times New Roman"/>
          <w:sz w:val="16"/>
          <w:szCs w:val="16"/>
          <w:color w:val="auto"/>
        </w:rPr>
        <w:t>information as well as all other material embodied in any physical or electronic form that is based on or derived from such information, without retaining any copies;</w:t>
      </w:r>
    </w:p>
    <w:p>
      <w:pPr>
        <w:spacing w:after="0" w:line="86" w:lineRule="exact"/>
        <w:rPr>
          <w:sz w:val="20"/>
          <w:szCs w:val="20"/>
          <w:color w:val="auto"/>
        </w:rPr>
      </w:pPr>
    </w:p>
    <w:p>
      <w:pPr>
        <w:ind w:left="480" w:hanging="239"/>
        <w:spacing w:after="0" w:line="280" w:lineRule="auto"/>
        <w:tabs>
          <w:tab w:leader="none" w:pos="476"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not bring the confidential information of any former employer or other entity for which you were a contractor, advisor, consultant or similar role to the Company; and</w:t>
      </w:r>
    </w:p>
    <w:p>
      <w:pPr>
        <w:spacing w:after="0" w:line="41"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must always respect the confidential information of third parties and never unlawfully use such information on behalf of the Company or otherwise.</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Nothing in this policy prohibits you from (i) disclosing or discussing information lawfully acquired about wages, hours or other terms and conditions of employment if used by for purposes protected by Section 7 of the National Labor Relations Act such as joining or forming a union, engaging in collective bargaining, or engaging in other concerted activity for the mutual aid or protection of employees; or (ii) communicating with government agencies about possible violations of federal, state, or local laws or regulations, or otherwise providing information to government agencies, filing a complaint with government agencies, participating in government agency investigations or proceedings, or from making any other disclosures that are protected under the whistleblower provisions of any applicable federal, state, or local laws or regulations. You recognize that, in connection with any such activity, you must inform such authority that the information you are providing is confidential. You are not required to notify the Company of any such communications, and you do not need the Company's permission to do so; provided, however, that nothing herein authorizes the disclosure of information you obtained through a communication that was subject to the attorney-client privilege. The Company does not waive any applicable privileges or the right to continue to protect its privileged attorney-client information, attorney work product, and other privileged information.</w:t>
      </w:r>
    </w:p>
    <w:p>
      <w:pPr>
        <w:spacing w:after="0" w:line="135" w:lineRule="exact"/>
        <w:rPr>
          <w:sz w:val="20"/>
          <w:szCs w:val="20"/>
          <w:color w:val="auto"/>
        </w:rPr>
      </w:pPr>
    </w:p>
    <w:p>
      <w:pPr>
        <w:ind w:left="480" w:hanging="480"/>
        <w:spacing w:after="0"/>
        <w:tabs>
          <w:tab w:leader="none" w:pos="480" w:val="left"/>
        </w:tabs>
        <w:numPr>
          <w:ilvl w:val="0"/>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RESPONDING TO REQUESTS FOR INFORMATION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You may find yourself the recipient of questions concerning various activities of the Company. Such inquiries can come from the media, securities analysts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w:t>
      </w:r>
      <w:r>
        <w:rPr>
          <w:rFonts w:ascii="Times New Roman" w:cs="Times New Roman" w:eastAsia="Times New Roman" w:hAnsi="Times New Roman"/>
          <w:sz w:val="16"/>
          <w:szCs w:val="16"/>
          <w:b w:val="1"/>
          <w:bCs w:val="1"/>
          <w:color w:val="auto"/>
        </w:rPr>
        <w:t>Only executive officers of the Company are authorized to answer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questions about or disclose information concerning the Company to the media or public.</w:t>
      </w:r>
    </w:p>
    <w:p>
      <w:pPr>
        <w:spacing w:after="0" w:line="127" w:lineRule="exact"/>
        <w:rPr>
          <w:sz w:val="20"/>
          <w:szCs w:val="20"/>
          <w:color w:val="auto"/>
        </w:rPr>
      </w:pPr>
    </w:p>
    <w:p>
      <w:pPr>
        <w:ind w:left="480" w:hanging="239"/>
        <w:spacing w:after="0" w:line="293" w:lineRule="auto"/>
        <w:tabs>
          <w:tab w:leader="none" w:pos="476"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requests for information regarding the Company from the financial community, such as securities analysts, brokers or investors, to the Chief Financial Officer or Vice President, Investor Relations &amp; Corporate Development.</w:t>
      </w:r>
    </w:p>
    <w:p>
      <w:pPr>
        <w:spacing w:after="0" w:line="21"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requests for information regarding the Company from the media or press to the Director, Marketing.</w:t>
      </w:r>
    </w:p>
    <w:p>
      <w:pPr>
        <w:spacing w:after="0" w:line="84" w:lineRule="exact"/>
        <w:rPr>
          <w:rFonts w:ascii="Times New Roman" w:cs="Times New Roman" w:eastAsia="Times New Roman" w:hAnsi="Times New Roman"/>
          <w:sz w:val="16"/>
          <w:szCs w:val="16"/>
          <w:color w:val="auto"/>
        </w:rPr>
      </w:pPr>
    </w:p>
    <w:p>
      <w:pPr>
        <w:ind w:left="480" w:hanging="239"/>
        <w:spacing w:after="0" w:line="283" w:lineRule="auto"/>
        <w:tabs>
          <w:tab w:leader="none" w:pos="476"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 requests for information from the SEC or other regulators </w:t>
      </w:r>
      <w:r>
        <w:rPr>
          <w:rFonts w:ascii="Times New Roman" w:cs="Times New Roman" w:eastAsia="Times New Roman" w:hAnsi="Times New Roman"/>
          <w:sz w:val="16"/>
          <w:szCs w:val="16"/>
          <w:b w:val="1"/>
          <w:bCs w:val="1"/>
          <w:color w:val="auto"/>
        </w:rPr>
        <w:t>that are directed to the Company or its subsidiaries or other affiliated entities</w:t>
      </w:r>
      <w:r>
        <w:rPr>
          <w:rFonts w:ascii="Times New Roman" w:cs="Times New Roman" w:eastAsia="Times New Roman" w:hAnsi="Times New Roman"/>
          <w:sz w:val="16"/>
          <w:szCs w:val="16"/>
          <w:color w:val="auto"/>
        </w:rPr>
        <w:t xml:space="preserve"> to the General Counsel.</w:t>
      </w:r>
    </w:p>
    <w:p>
      <w:pPr>
        <w:spacing w:after="0" w:line="106" w:lineRule="exact"/>
        <w:rPr>
          <w:rFonts w:ascii="Times New Roman" w:cs="Times New Roman" w:eastAsia="Times New Roman" w:hAnsi="Times New Roman"/>
          <w:sz w:val="16"/>
          <w:szCs w:val="16"/>
          <w:color w:val="auto"/>
        </w:rPr>
      </w:pPr>
    </w:p>
    <w:p>
      <w:pPr>
        <w:ind w:left="480" w:hanging="480"/>
        <w:spacing w:after="0"/>
        <w:tabs>
          <w:tab w:leader="none" w:pos="480" w:val="left"/>
        </w:tabs>
        <w:numPr>
          <w:ilvl w:val="0"/>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REPORTING VIOLATIONS/SEEKING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091" w:right="3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color w:val="auto"/>
        </w:rPr>
        <w:t>You should refer suspected violations of this Policy or any policy applicable to the Company to the General Counsel. In addition, if you:</w:t>
      </w:r>
    </w:p>
    <w:p>
      <w:pPr>
        <w:spacing w:after="0" w:line="167" w:lineRule="exact"/>
        <w:rPr>
          <w:sz w:val="20"/>
          <w:szCs w:val="20"/>
          <w:color w:val="auto"/>
        </w:rPr>
      </w:pPr>
    </w:p>
    <w:p>
      <w:pPr>
        <w:ind w:left="480" w:hanging="239"/>
        <w:spacing w:after="0" w:line="280" w:lineRule="auto"/>
        <w:tabs>
          <w:tab w:leader="none" w:pos="47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material, non-public information that you are not authorized to receive or that you do not legitimately need to know to perform your employment, engagement or assignment responsibilities; or</w:t>
      </w:r>
    </w:p>
    <w:p>
      <w:pPr>
        <w:spacing w:after="0" w:line="41" w:lineRule="exact"/>
        <w:rPr>
          <w:rFonts w:ascii="Times New Roman" w:cs="Times New Roman" w:eastAsia="Times New Roman" w:hAnsi="Times New Roman"/>
          <w:sz w:val="16"/>
          <w:szCs w:val="16"/>
          <w:color w:val="auto"/>
        </w:rPr>
      </w:pPr>
    </w:p>
    <w:p>
      <w:pPr>
        <w:ind w:left="480" w:hanging="239"/>
        <w:spacing w:after="0" w:line="280" w:lineRule="auto"/>
        <w:tabs>
          <w:tab w:leader="none" w:pos="47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confidential information and are unsure if it is within the definition of material, non-public information or whether its release might be contrary to a fiduciary or other duty or obligation.</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each case, you should not share such information with anyone or transact in any Company Securities or any other relevant securities based on such information. When in doubt, you should assume that such information is material, non-public information. To seek advice about what to do under those circumstances, you should contact the General Counsel. Consulting your colleagues can have the effect of exacerbating the problem. Containment of the information, until the legal implications of possessing it are determined, is critical.</w:t>
      </w:r>
    </w:p>
    <w:p>
      <w:pPr>
        <w:spacing w:after="0" w:line="123" w:lineRule="exact"/>
        <w:rPr>
          <w:sz w:val="20"/>
          <w:szCs w:val="20"/>
          <w:color w:val="auto"/>
        </w:rPr>
      </w:pPr>
    </w:p>
    <w:p>
      <w:pPr>
        <w:ind w:left="480" w:hanging="480"/>
        <w:spacing w:after="0"/>
        <w:tabs>
          <w:tab w:leader="none" w:pos="480" w:val="left"/>
        </w:tabs>
        <w:numPr>
          <w:ilvl w:val="0"/>
          <w:numId w:val="1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PENALTIES FOR VIOLATIONS OF THE INSIDER TRADING POLICY AND LAWS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In the United States and many other countries, the personal consequences to you of illegally trading securities using material, non-public information and/or tipping can be severe. Certain securities laws provide that an individual is subject to possible imprisonment and significant fines. Such penalties can be applied even to persons who do not personally profit from their activities. These laws apply to all employees—not just directors, officers, investment bankers and lawyers. The Company will not be responsible for the legal costs and expenses of any Covered Person who violates any insider trading laws. </w:t>
      </w:r>
      <w:r>
        <w:rPr>
          <w:rFonts w:ascii="Times New Roman" w:cs="Times New Roman" w:eastAsia="Times New Roman" w:hAnsi="Times New Roman"/>
          <w:sz w:val="16"/>
          <w:szCs w:val="16"/>
          <w:b w:val="1"/>
          <w:bCs w:val="1"/>
          <w:color w:val="auto"/>
        </w:rPr>
        <w:t>Subject to applicable law, Covered Persons who violate this Policy may also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be subject to discipline by the Company, up to and including termination of employment, engagement or assignment, even if the country or jurisdiction where the conduct took place does not regard it as illegal and such conduct by Covered Persons may be taken into account for determination of the compensation and bonuses of such Covered Person, if an Insider, or of the Insider which makes such person a Covered Person otherwise.</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If you are located or engaged in dealings outside the United States, be aware that laws regarding insider trading and similar offenses differ from country to country. Covered Persons must abide by the laws in the country where located. However, you are required to comply with this Policy even if local law is less restrictive. If a local law conflicts with this Policy, you must consult the General Counsel.</w:t>
      </w:r>
    </w:p>
    <w:p>
      <w:pPr>
        <w:spacing w:after="0" w:line="118" w:lineRule="exact"/>
        <w:rPr>
          <w:sz w:val="20"/>
          <w:szCs w:val="20"/>
          <w:color w:val="auto"/>
        </w:rPr>
      </w:pPr>
    </w:p>
    <w:p>
      <w:pPr>
        <w:ind w:left="480" w:hanging="480"/>
        <w:spacing w:after="0"/>
        <w:tabs>
          <w:tab w:leader="none" w:pos="480" w:val="left"/>
        </w:tabs>
        <w:numPr>
          <w:ilvl w:val="0"/>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COMPANY ASSISTANCE AND EDUCATION</w:t>
      </w:r>
    </w:p>
    <w:p>
      <w:pPr>
        <w:spacing w:after="0" w:line="165" w:lineRule="exact"/>
        <w:rPr>
          <w:sz w:val="20"/>
          <w:szCs w:val="20"/>
          <w:color w:val="auto"/>
        </w:rPr>
      </w:pPr>
    </w:p>
    <w:p>
      <w:pPr>
        <w:ind w:left="480" w:hanging="480"/>
        <w:spacing w:after="0"/>
        <w:tabs>
          <w:tab w:leader="none" w:pos="480" w:val="left"/>
        </w:tabs>
        <w:numPr>
          <w:ilvl w:val="0"/>
          <w:numId w:val="195"/>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091" w:right="3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color w:val="auto"/>
        </w:rPr>
        <w:t>The Company shall take reasonable steps designed to ensure that all directors, officers and employees of the Company are educated about, and periodically reminded of,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securities law restrictions and Company policies regarding insider trading.</w:t>
      </w:r>
    </w:p>
    <w:p>
      <w:pPr>
        <w:spacing w:after="0" w:line="145" w:lineRule="exact"/>
        <w:rPr>
          <w:sz w:val="20"/>
          <w:szCs w:val="20"/>
          <w:color w:val="auto"/>
        </w:rPr>
      </w:pPr>
    </w:p>
    <w:p>
      <w:pPr>
        <w:ind w:left="480" w:hanging="480"/>
        <w:spacing w:after="0"/>
        <w:tabs>
          <w:tab w:leader="none" w:pos="480" w:val="left"/>
        </w:tabs>
        <w:numPr>
          <w:ilvl w:val="0"/>
          <w:numId w:val="196"/>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Assistance</w:t>
      </w:r>
    </w:p>
    <w:p>
      <w:pPr>
        <w:spacing w:after="0" w:line="1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108" w:lineRule="exact"/>
        <w:rPr>
          <w:sz w:val="20"/>
          <w:szCs w:val="20"/>
          <w:color w:val="auto"/>
        </w:rPr>
      </w:pPr>
    </w:p>
    <w:p>
      <w:pPr>
        <w:ind w:left="480" w:hanging="480"/>
        <w:spacing w:after="0"/>
        <w:tabs>
          <w:tab w:leader="none" w:pos="480" w:val="left"/>
        </w:tabs>
        <w:numPr>
          <w:ilvl w:val="0"/>
          <w:numId w:val="197"/>
        </w:numPr>
        <w:rPr>
          <w:rFonts w:ascii="Times New Roman" w:cs="Times New Roman" w:eastAsia="Times New Roman" w:hAnsi="Times New Roman"/>
          <w:sz w:val="16"/>
          <w:szCs w:val="16"/>
          <w:b w:val="1"/>
          <w:bCs w:val="1"/>
          <w:i w:val="1"/>
          <w:iCs w:val="1"/>
          <w:color w:val="010000"/>
        </w:rPr>
      </w:pPr>
      <w:r>
        <w:rPr>
          <w:rFonts w:ascii="Times New Roman" w:cs="Times New Roman" w:eastAsia="Times New Roman" w:hAnsi="Times New Roman"/>
          <w:sz w:val="16"/>
          <w:szCs w:val="16"/>
          <w:b w:val="1"/>
          <w:bCs w:val="1"/>
          <w:i w:val="1"/>
          <w:iCs w:val="1"/>
          <w:color w:val="auto"/>
        </w:rPr>
        <w:t>Limitation on Liability</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None of the Company, the General Counsel, the Chief Financial Officer, the Company’s other employees or the Company’s directors will have any liability for any delay in reviewing or approving, or refusal of, a request for pre-clearance submitted pursuant to Section 4.A or a Rule 10b5-1(c) Trading Plan submitted pursuant to Section 6. Notwithstanding any pre-clearance of a transaction pursuant to Section 4.A or review of a Rule 10b5-1(c) Trading Plan pursuant to Section 6, none of the Company, the General Counsel, the Chief Financial Officer, the Company’s other employees or the Company’s directors assumes any liability for the legality or consequences of such transaction or Rule 10b5-1(c) Trading Plan to the person engaging in or adopting such transaction or Rule 10b5-1(c) Trading Plan. Any decision made or action undertaken by the General Counsel, the Chief Financial Officer, or the Company’s other employees in connection with implementing this Policy or maintaining or enforcing its procedures is made or undertaken in such person’s capacity as an employee of the Company and not in their individual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Symbotic Insider Trading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(Originally adopted June 7, 2022, as amended April 12, 2023 and November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091" w:right="319" w:bottom="1440" w:gutter="0" w:footer="0" w:header="0"/>
        </w:sectPr>
      </w:pPr>
    </w:p>
    <w:bookmarkStart w:id="249" w:name="page250"/>
    <w:bookmarkEnd w:id="249"/>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Acknowledgment Form</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 have received and read the Insider Trading Policy (the “Policy”) of Symbotic Inc. (the “Company”) and understand its contents. I agree to comply fully with the Policy and the Company’s related policies and procedures. I understand that I have an obligation to report any suspected violations of the Policy that I become aware of to the General Counsel of the Company. I acknowledge that the Policy does not, in any way, constitute an employment contract or an assurance of continued employment, engagement or assignment, as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-6350</wp:posOffset>
            </wp:positionV>
            <wp:extent cx="20383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203835" cy="63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-6350</wp:posOffset>
            </wp:positionV>
            <wp:extent cx="20383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03835" cy="63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-6350</wp:posOffset>
            </wp:positionV>
            <wp:extent cx="1016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101600" cy="6350"/>
                    </a:xfrm>
                    <a:prstGeom prst="rect">
                      <a:avLst/>
                    </a:prstGeom>
                    <a:noFill/>
                  </pic:spPr>
                </pic:pic>
              </a:graphicData>
            </a:graphic>
          </wp:anchor>
        </w:drawing>
      </w:r>
    </w:p>
    <w:p>
      <w:pPr>
        <w:sectPr>
          <w:pgSz w:w="11900" w:h="16838" w:orient="portrait"/>
          <w:cols w:equalWidth="0" w:num="1">
            <w:col w:w="11080"/>
          </w:cols>
          <w:pgMar w:left="300" w:top="1089" w:right="519" w:bottom="1440" w:gutter="0" w:footer="0" w:header="0"/>
        </w:sectPr>
      </w:pPr>
    </w:p>
    <w:bookmarkStart w:id="250" w:name="page251"/>
    <w:bookmarkEnd w:id="250"/>
    <w:p>
      <w:pPr>
        <w:jc w:val="right"/>
        <w:ind w:right="4059"/>
        <w:spacing w:after="0"/>
        <w:rPr>
          <w:sz w:val="20"/>
          <w:szCs w:val="20"/>
          <w:color w:val="auto"/>
        </w:rPr>
      </w:pPr>
      <w:r>
        <w:rPr>
          <w:rFonts w:ascii="Times New Roman" w:cs="Times New Roman" w:eastAsia="Times New Roman" w:hAnsi="Times New Roman"/>
          <w:sz w:val="16"/>
          <w:szCs w:val="16"/>
          <w:u w:val="single" w:color="auto"/>
          <w:color w:val="auto"/>
        </w:rPr>
        <w:t>SCHEDULE 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 Employees considered to be Pre-Clearance Persons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480" w:hanging="239"/>
        <w:spacing w:after="0"/>
        <w:tabs>
          <w:tab w:leader="none" w:pos="480"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employees that are Vice Presidents and above</w:t>
      </w:r>
    </w:p>
    <w:p>
      <w:pPr>
        <w:spacing w:after="0" w:line="24"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employees in the Finance Department</w:t>
      </w:r>
    </w:p>
    <w:p>
      <w:pPr>
        <w:spacing w:after="0" w:line="15" w:lineRule="exact"/>
        <w:rPr>
          <w:rFonts w:ascii="Times New Roman" w:cs="Times New Roman" w:eastAsia="Times New Roman" w:hAnsi="Times New Roman"/>
          <w:sz w:val="16"/>
          <w:szCs w:val="16"/>
          <w:color w:val="auto"/>
        </w:rPr>
      </w:pPr>
    </w:p>
    <w:p>
      <w:pPr>
        <w:ind w:left="480" w:hanging="239"/>
        <w:spacing w:after="0"/>
        <w:tabs>
          <w:tab w:leader="none" w:pos="480"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employees in the Legal Department</w:t>
      </w:r>
    </w:p>
    <w:p>
      <w:pPr>
        <w:spacing w:after="0" w:line="6" w:lineRule="exact"/>
        <w:rPr>
          <w:rFonts w:ascii="Times New Roman" w:cs="Times New Roman" w:eastAsia="Times New Roman" w:hAnsi="Times New Roman"/>
          <w:sz w:val="16"/>
          <w:szCs w:val="16"/>
          <w:color w:val="auto"/>
        </w:rPr>
      </w:pPr>
    </w:p>
    <w:p>
      <w:pPr>
        <w:ind w:right="6359" w:firstLine="241"/>
        <w:spacing w:after="0" w:line="445" w:lineRule="auto"/>
        <w:tabs>
          <w:tab w:leader="none" w:pos="477"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employees in Sales that are Directors and above </w:t>
      </w:r>
      <w:r>
        <w:rPr>
          <w:rFonts w:ascii="Times New Roman" w:cs="Times New Roman" w:eastAsia="Times New Roman" w:hAnsi="Times New Roman"/>
          <w:sz w:val="16"/>
          <w:szCs w:val="16"/>
          <w:u w:val="single" w:color="auto"/>
          <w:color w:val="auto"/>
        </w:rPr>
        <w:t>B. Employees subject to Black-Out Periods</w:t>
      </w:r>
      <w:r>
        <w:rPr>
          <w:rFonts w:ascii="Times New Roman" w:cs="Times New Roman" w:eastAsia="Times New Roman" w:hAnsi="Times New Roman"/>
          <w:sz w:val="16"/>
          <w:szCs w:val="16"/>
          <w:color w:val="auto"/>
        </w:rPr>
        <w:t>:</w:t>
      </w:r>
    </w:p>
    <w:p>
      <w:pPr>
        <w:ind w:left="480" w:hanging="239"/>
        <w:spacing w:after="0"/>
        <w:tabs>
          <w:tab w:leader="none" w:pos="480"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employees are subject to Black-Out Periods</w:t>
      </w:r>
    </w:p>
    <w:p>
      <w:pPr>
        <w:sectPr>
          <w:pgSz w:w="11900" w:h="16838" w:orient="portrait"/>
          <w:cols w:equalWidth="0" w:num="1">
            <w:col w:w="10159"/>
          </w:cols>
          <w:pgMar w:left="300" w:top="1090" w:right="1440"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SYMBOTIC INC.</w:t>
      </w: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LIST OF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860" w:type="dxa"/>
            <w:vAlign w:val="bottom"/>
          </w:tcPr>
          <w:p>
            <w:pPr>
              <w:spacing w:after="0"/>
              <w:rPr>
                <w:sz w:val="11"/>
                <w:szCs w:val="11"/>
                <w:color w:val="auto"/>
              </w:rPr>
            </w:pPr>
          </w:p>
        </w:tc>
        <w:tc>
          <w:tcPr>
            <w:tcW w:w="3560" w:type="dxa"/>
            <w:vAlign w:val="bottom"/>
            <w:gridSpan w:val="2"/>
          </w:tcPr>
          <w:p>
            <w:pPr>
              <w:jc w:val="center"/>
              <w:ind w:right="3020"/>
              <w:spacing w:after="0"/>
              <w:rPr>
                <w:sz w:val="20"/>
                <w:szCs w:val="20"/>
                <w:color w:val="auto"/>
              </w:rPr>
            </w:pPr>
            <w:r>
              <w:rPr>
                <w:rFonts w:ascii="Times New Roman" w:cs="Times New Roman" w:eastAsia="Times New Roman" w:hAnsi="Times New Roman"/>
                <w:sz w:val="11"/>
                <w:szCs w:val="11"/>
                <w:b w:val="1"/>
                <w:bCs w:val="1"/>
                <w:color w:val="auto"/>
                <w:w w:val="95"/>
              </w:rPr>
              <w:t>Legal Name</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b w:val="1"/>
                <w:bCs w:val="1"/>
                <w:color w:val="auto"/>
                <w:w w:val="96"/>
              </w:rPr>
              <w:t>Jurisdiction of Incorporation/Formation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Conducts Business Under</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72"/>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7"/>
              </w:rPr>
              <w:t>Symbotic Holdings LLC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Delaware</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40"/>
              <w:spacing w:after="0"/>
              <w:rPr>
                <w:sz w:val="20"/>
                <w:szCs w:val="20"/>
                <w:color w:val="auto"/>
              </w:rPr>
            </w:pPr>
            <w:r>
              <w:rPr>
                <w:rFonts w:ascii="Times New Roman" w:cs="Times New Roman" w:eastAsia="Times New Roman" w:hAnsi="Times New Roman"/>
                <w:sz w:val="11"/>
                <w:szCs w:val="11"/>
                <w:color w:val="auto"/>
                <w:w w:val="97"/>
              </w:rPr>
              <w:t>Symbotic LLC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Symbotic</w:t>
            </w:r>
          </w:p>
        </w:tc>
      </w:tr>
      <w:tr>
        <w:trPr>
          <w:trHeight w:val="270"/>
        </w:trPr>
        <w:tc>
          <w:tcPr>
            <w:tcW w:w="4420" w:type="dxa"/>
            <w:vAlign w:val="bottom"/>
            <w:gridSpan w:val="3"/>
          </w:tcPr>
          <w:p>
            <w:pPr>
              <w:jc w:val="center"/>
              <w:ind w:right="2140"/>
              <w:spacing w:after="0"/>
              <w:rPr>
                <w:sz w:val="20"/>
                <w:szCs w:val="20"/>
                <w:color w:val="auto"/>
              </w:rPr>
            </w:pPr>
            <w:r>
              <w:rPr>
                <w:rFonts w:ascii="Times New Roman" w:cs="Times New Roman" w:eastAsia="Times New Roman" w:hAnsi="Times New Roman"/>
                <w:sz w:val="11"/>
                <w:szCs w:val="11"/>
                <w:color w:val="auto"/>
                <w:w w:val="97"/>
              </w:rPr>
              <w:t>Symbotic Canada ULC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British Columbia</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Symbotic Canada</w:t>
            </w: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7"/>
              </w:rPr>
              <w:t>Symbotic Systems UK Ltd.</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8"/>
              </w:rPr>
              <w:t>England and Wales</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Symbotic UK</w:t>
            </w: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7"/>
              </w:rPr>
              <w:t>Axium Europa d.o.o.</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8"/>
              </w:rPr>
              <w:t>Croatia</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6"/>
              </w:rPr>
              <w:t>Axium International Robotic and Automation ULC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British Columbia</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6"/>
              </w:rPr>
              <w:t>Axium Technology Holdings, LLC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Delaware</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6"/>
              </w:rPr>
              <w:t>Emergik Enico SPG Vision &amp; Robotic Holding ULC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British Columbia</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7"/>
              </w:rPr>
              <w:t>Enico Enterprise Holding ULC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British Columbia</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40"/>
              <w:spacing w:after="0"/>
              <w:rPr>
                <w:sz w:val="20"/>
                <w:szCs w:val="20"/>
                <w:color w:val="auto"/>
              </w:rPr>
            </w:pPr>
            <w:r>
              <w:rPr>
                <w:rFonts w:ascii="Times New Roman" w:cs="Times New Roman" w:eastAsia="Times New Roman" w:hAnsi="Times New Roman"/>
                <w:sz w:val="11"/>
                <w:szCs w:val="11"/>
                <w:color w:val="auto"/>
                <w:w w:val="97"/>
              </w:rPr>
              <w:t>Symbotic Group Holdings, ULC</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4"/>
              </w:rPr>
              <w:t>British Columbia</w:t>
            </w:r>
          </w:p>
        </w:tc>
        <w:tc>
          <w:tcPr>
            <w:tcW w:w="1160" w:type="dxa"/>
            <w:vAlign w:val="bottom"/>
          </w:tcPr>
          <w:p>
            <w:pPr>
              <w:spacing w:after="0"/>
              <w:rPr>
                <w:sz w:val="23"/>
                <w:szCs w:val="23"/>
                <w:color w:val="auto"/>
              </w:rPr>
            </w:pPr>
          </w:p>
        </w:tc>
      </w:tr>
      <w:tr>
        <w:trPr>
          <w:trHeight w:val="270"/>
        </w:trPr>
        <w:tc>
          <w:tcPr>
            <w:tcW w:w="4420" w:type="dxa"/>
            <w:vAlign w:val="bottom"/>
            <w:gridSpan w:val="3"/>
          </w:tcPr>
          <w:p>
            <w:pPr>
              <w:jc w:val="center"/>
              <w:ind w:right="2160"/>
              <w:spacing w:after="0"/>
              <w:rPr>
                <w:sz w:val="20"/>
                <w:szCs w:val="20"/>
                <w:color w:val="auto"/>
              </w:rPr>
            </w:pPr>
            <w:r>
              <w:rPr>
                <w:rFonts w:ascii="Times New Roman" w:cs="Times New Roman" w:eastAsia="Times New Roman" w:hAnsi="Times New Roman"/>
                <w:sz w:val="11"/>
                <w:szCs w:val="11"/>
                <w:color w:val="auto"/>
                <w:w w:val="95"/>
              </w:rPr>
              <w:t>Symbotic Mexico S. de. R.L. de C.V.</w:t>
            </w:r>
          </w:p>
        </w:tc>
        <w:tc>
          <w:tcPr>
            <w:tcW w:w="3640" w:type="dxa"/>
            <w:vAlign w:val="bottom"/>
            <w:gridSpan w:val="2"/>
          </w:tcPr>
          <w:p>
            <w:pPr>
              <w:jc w:val="center"/>
              <w:ind w:right="1800"/>
              <w:spacing w:after="0"/>
              <w:rPr>
                <w:sz w:val="20"/>
                <w:szCs w:val="20"/>
                <w:color w:val="auto"/>
              </w:rPr>
            </w:pPr>
            <w:r>
              <w:rPr>
                <w:rFonts w:ascii="Times New Roman" w:cs="Times New Roman" w:eastAsia="Times New Roman" w:hAnsi="Times New Roman"/>
                <w:sz w:val="11"/>
                <w:szCs w:val="11"/>
                <w:color w:val="auto"/>
                <w:w w:val="95"/>
              </w:rPr>
              <w:t>Mexico</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Symbotic Mexico</w:t>
            </w:r>
          </w:p>
        </w:tc>
      </w:tr>
    </w:tbl>
    <w:p>
      <w:pPr>
        <w:sectPr>
          <w:pgSz w:w="11900" w:h="16838" w:orient="portrait"/>
          <w:cols w:equalWidth="0" w:num="1">
            <w:col w:w="10140"/>
          </w:cols>
          <w:pgMar w:left="1440" w:top="106"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We have issued our reports dated December 4, 2024, with respect to the consolidated financial statements and internal control over financial reporting included in the Annual Report of Symbotic Inc. on Form 10-K for the year ended September 28, 2024. We consent to the incorporation by reference of said reports in the Registration Statements of Symbotic Inc. on Form S-3 (File No. 333-273383) and on Form S-8 (File No. 333-281140 and File No. 333-266829).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GRANT THORNTON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4, 2024</w:t>
      </w:r>
    </w:p>
    <w:p>
      <w:pPr>
        <w:sectPr>
          <w:pgSz w:w="11900" w:h="16838" w:orient="portrait"/>
          <w:cols w:equalWidth="0" w:num="1">
            <w:col w:w="11280"/>
          </w:cols>
          <w:pgMar w:left="300" w:top="1074" w:right="3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B. Cohen, certify that: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 have reviewed this Annual Report on Form 10-K of Symbotic Inc.;</w:t>
      </w:r>
    </w:p>
    <w:p>
      <w:pPr>
        <w:spacing w:after="0" w:line="111"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13"/>
          <w:szCs w:val="13"/>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13"/>
          <w:szCs w:val="13"/>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3"/>
          <w:szCs w:val="13"/>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480" w:right="120" w:hanging="239"/>
        <w:spacing w:after="0" w:line="311" w:lineRule="auto"/>
        <w:tabs>
          <w:tab w:leader="none" w:pos="472"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3"/>
          <w:szCs w:val="13"/>
          <w:color w:val="auto"/>
        </w:rPr>
      </w:pPr>
    </w:p>
    <w:p>
      <w:pPr>
        <w:ind w:left="480" w:right="360" w:hanging="239"/>
        <w:spacing w:after="0" w:line="327" w:lineRule="auto"/>
        <w:tabs>
          <w:tab w:leader="none" w:pos="48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Times New Roman" w:cs="Times New Roman" w:eastAsia="Times New Roman" w:hAnsi="Times New Roman"/>
          <w:sz w:val="13"/>
          <w:szCs w:val="13"/>
          <w:color w:val="auto"/>
        </w:rPr>
      </w:pPr>
    </w:p>
    <w:p>
      <w:pPr>
        <w:ind w:left="480" w:right="140" w:hanging="239"/>
        <w:spacing w:after="0" w:line="311" w:lineRule="auto"/>
        <w:tabs>
          <w:tab w:leader="none" w:pos="472"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3"/>
          <w:szCs w:val="13"/>
          <w:color w:val="auto"/>
        </w:rPr>
      </w:pPr>
    </w:p>
    <w:p>
      <w:pPr>
        <w:ind w:left="480" w:right="160" w:hanging="239"/>
        <w:spacing w:after="0" w:line="311" w:lineRule="auto"/>
        <w:tabs>
          <w:tab w:leader="none" w:pos="48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right="420"/>
        <w:spacing w:after="0" w:line="327" w:lineRule="auto"/>
        <w:rPr>
          <w:sz w:val="20"/>
          <w:szCs w:val="20"/>
          <w:color w:val="auto"/>
        </w:rPr>
      </w:pPr>
      <w:r>
        <w:rPr>
          <w:rFonts w:ascii="Times New Roman" w:cs="Times New Roman" w:eastAsia="Times New Roman" w:hAnsi="Times New Roman"/>
          <w:sz w:val="13"/>
          <w:szCs w:val="13"/>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sz w:val="20"/>
          <w:szCs w:val="20"/>
          <w:color w:val="auto"/>
        </w:rPr>
      </w:pPr>
    </w:p>
    <w:p>
      <w:pPr>
        <w:ind w:left="480" w:right="60" w:hanging="239"/>
        <w:spacing w:after="0" w:line="311" w:lineRule="auto"/>
        <w:tabs>
          <w:tab w:leader="none" w:pos="472"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084" w:right="31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Date: December 4, 2024</w:t>
            </w:r>
          </w:p>
        </w:tc>
        <w:tc>
          <w:tcPr>
            <w:tcW w:w="7060" w:type="dxa"/>
            <w:vAlign w:val="bottom"/>
            <w:gridSpan w:val="2"/>
          </w:tcPr>
          <w:p>
            <w:pPr>
              <w:ind w:left="2900"/>
              <w:spacing w:after="0"/>
              <w:rPr>
                <w:sz w:val="20"/>
                <w:szCs w:val="20"/>
                <w:color w:val="auto"/>
              </w:rPr>
            </w:pPr>
            <w:r>
              <w:rPr>
                <w:rFonts w:ascii="Times New Roman" w:cs="Times New Roman" w:eastAsia="Times New Roman" w:hAnsi="Times New Roman"/>
                <w:sz w:val="13"/>
                <w:szCs w:val="13"/>
                <w:color w:val="auto"/>
              </w:rPr>
              <w:t>By: /s/ Richard B. Cohen</w:t>
            </w:r>
          </w:p>
        </w:tc>
      </w:tr>
      <w:tr>
        <w:trPr>
          <w:trHeight w:val="158"/>
        </w:trPr>
        <w:tc>
          <w:tcPr>
            <w:tcW w:w="42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Richard B. Cohen</w:t>
            </w:r>
          </w:p>
        </w:tc>
      </w:tr>
      <w:tr>
        <w:trPr>
          <w:trHeight w:val="170"/>
        </w:trPr>
        <w:tc>
          <w:tcPr>
            <w:tcW w:w="4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Chairman and Chief Executive Officer</w:t>
            </w:r>
          </w:p>
        </w:tc>
      </w:tr>
      <w:tr>
        <w:trPr>
          <w:trHeight w:val="173"/>
        </w:trPr>
        <w:tc>
          <w:tcPr>
            <w:tcW w:w="4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ectPr>
          <w:pgSz w:w="11900" w:h="16838" w:orient="portrait"/>
          <w:cols w:equalWidth="0" w:num="1">
            <w:col w:w="11260"/>
          </w:cols>
          <w:pgMar w:left="320" w:top="1119"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Carol Hibbard, certify that: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 have reviewed this Annual Report on Form 10-K of Symbotic Inc.;</w:t>
      </w:r>
    </w:p>
    <w:p>
      <w:pPr>
        <w:spacing w:after="0" w:line="111"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13"/>
          <w:szCs w:val="13"/>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13"/>
          <w:szCs w:val="13"/>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3"/>
          <w:szCs w:val="13"/>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480" w:right="140" w:hanging="239"/>
        <w:spacing w:after="0" w:line="311" w:lineRule="auto"/>
        <w:tabs>
          <w:tab w:leader="none" w:pos="472"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3"/>
          <w:szCs w:val="13"/>
          <w:color w:val="auto"/>
        </w:rPr>
      </w:pPr>
    </w:p>
    <w:p>
      <w:pPr>
        <w:ind w:left="480" w:right="360" w:hanging="239"/>
        <w:spacing w:after="0" w:line="327" w:lineRule="auto"/>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Times New Roman" w:cs="Times New Roman" w:eastAsia="Times New Roman" w:hAnsi="Times New Roman"/>
          <w:sz w:val="13"/>
          <w:szCs w:val="13"/>
          <w:color w:val="auto"/>
        </w:rPr>
      </w:pPr>
    </w:p>
    <w:p>
      <w:pPr>
        <w:ind w:left="480" w:right="140" w:hanging="239"/>
        <w:spacing w:after="0" w:line="311" w:lineRule="auto"/>
        <w:tabs>
          <w:tab w:leader="none" w:pos="472"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3"/>
          <w:szCs w:val="13"/>
          <w:color w:val="auto"/>
        </w:rPr>
      </w:pPr>
    </w:p>
    <w:p>
      <w:pPr>
        <w:ind w:left="480" w:right="200" w:hanging="239"/>
        <w:spacing w:after="0" w:line="311" w:lineRule="auto"/>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right="420"/>
        <w:spacing w:after="0" w:line="327" w:lineRule="auto"/>
        <w:rPr>
          <w:sz w:val="20"/>
          <w:szCs w:val="20"/>
          <w:color w:val="auto"/>
        </w:rPr>
      </w:pPr>
      <w:r>
        <w:rPr>
          <w:rFonts w:ascii="Times New Roman" w:cs="Times New Roman" w:eastAsia="Times New Roman" w:hAnsi="Times New Roman"/>
          <w:sz w:val="13"/>
          <w:szCs w:val="13"/>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sz w:val="20"/>
          <w:szCs w:val="20"/>
          <w:color w:val="auto"/>
        </w:rPr>
      </w:pPr>
    </w:p>
    <w:p>
      <w:pPr>
        <w:ind w:left="480" w:right="60" w:hanging="239"/>
        <w:spacing w:after="0" w:line="311" w:lineRule="auto"/>
        <w:tabs>
          <w:tab w:leader="none" w:pos="472"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084" w:right="31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Date: December 4, 2024</w:t>
            </w:r>
          </w:p>
        </w:tc>
        <w:tc>
          <w:tcPr>
            <w:tcW w:w="7320" w:type="dxa"/>
            <w:vAlign w:val="bottom"/>
            <w:gridSpan w:val="2"/>
          </w:tcPr>
          <w:p>
            <w:pPr>
              <w:ind w:left="2660"/>
              <w:spacing w:after="0"/>
              <w:rPr>
                <w:sz w:val="20"/>
                <w:szCs w:val="20"/>
                <w:color w:val="auto"/>
              </w:rPr>
            </w:pPr>
            <w:r>
              <w:rPr>
                <w:rFonts w:ascii="Times New Roman" w:cs="Times New Roman" w:eastAsia="Times New Roman" w:hAnsi="Times New Roman"/>
                <w:sz w:val="13"/>
                <w:szCs w:val="13"/>
                <w:color w:val="auto"/>
              </w:rPr>
              <w:t>By: /s/ Carol Hibbard</w:t>
            </w:r>
          </w:p>
        </w:tc>
      </w:tr>
      <w:tr>
        <w:trPr>
          <w:trHeight w:val="158"/>
        </w:trPr>
        <w:tc>
          <w:tcPr>
            <w:tcW w:w="39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Carol Hibbard</w:t>
            </w:r>
          </w:p>
        </w:tc>
      </w:tr>
      <w:tr>
        <w:trPr>
          <w:trHeight w:val="170"/>
        </w:trPr>
        <w:tc>
          <w:tcPr>
            <w:tcW w:w="3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 and Treasurer</w:t>
            </w:r>
          </w:p>
        </w:tc>
      </w:tr>
      <w:tr>
        <w:trPr>
          <w:trHeight w:val="173"/>
        </w:trPr>
        <w:tc>
          <w:tcPr>
            <w:tcW w:w="3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Financial Officer)</w:t>
            </w:r>
          </w:p>
        </w:tc>
      </w:tr>
    </w:tbl>
    <w:p>
      <w:pPr>
        <w:sectPr>
          <w:pgSz w:w="11900" w:h="16838" w:orient="portrait"/>
          <w:cols w:equalWidth="0" w:num="1">
            <w:col w:w="11260"/>
          </w:cols>
          <w:pgMar w:left="320" w:top="1119" w:right="3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88" w:lineRule="exact"/>
        <w:rPr>
          <w:sz w:val="20"/>
          <w:szCs w:val="20"/>
          <w:color w:val="auto"/>
        </w:rPr>
      </w:pPr>
    </w:p>
    <w:p>
      <w:pPr>
        <w:jc w:val="both"/>
        <w:ind w:right="120"/>
        <w:spacing w:after="0" w:line="300" w:lineRule="auto"/>
        <w:rPr>
          <w:sz w:val="20"/>
          <w:szCs w:val="20"/>
          <w:color w:val="auto"/>
        </w:rPr>
      </w:pPr>
      <w:r>
        <w:rPr>
          <w:rFonts w:ascii="Times New Roman" w:cs="Times New Roman" w:eastAsia="Times New Roman" w:hAnsi="Times New Roman"/>
          <w:sz w:val="13"/>
          <w:szCs w:val="13"/>
          <w:color w:val="auto"/>
        </w:rPr>
        <w:t>In connection with the Annual Report on Form 10-K of Symbotic Inc. (the “Company”) for the fiscal year ended September 28, 2024,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Report fully complies with the requirements of Section 13(a) or 15(d) of the Securities Exchange Act of 1934; 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Date: December 4, 2024</w:t>
            </w:r>
          </w:p>
        </w:tc>
        <w:tc>
          <w:tcPr>
            <w:tcW w:w="7060" w:type="dxa"/>
            <w:vAlign w:val="bottom"/>
            <w:gridSpan w:val="2"/>
          </w:tcPr>
          <w:p>
            <w:pPr>
              <w:ind w:left="2900"/>
              <w:spacing w:after="0"/>
              <w:rPr>
                <w:sz w:val="20"/>
                <w:szCs w:val="20"/>
                <w:color w:val="auto"/>
              </w:rPr>
            </w:pPr>
            <w:r>
              <w:rPr>
                <w:rFonts w:ascii="Times New Roman" w:cs="Times New Roman" w:eastAsia="Times New Roman" w:hAnsi="Times New Roman"/>
                <w:sz w:val="13"/>
                <w:szCs w:val="13"/>
                <w:color w:val="auto"/>
              </w:rPr>
              <w:t>By: /s/ Richard B. Cohen</w:t>
            </w:r>
          </w:p>
        </w:tc>
      </w:tr>
      <w:tr>
        <w:trPr>
          <w:trHeight w:val="158"/>
        </w:trPr>
        <w:tc>
          <w:tcPr>
            <w:tcW w:w="42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Richard B. Cohen</w:t>
            </w:r>
          </w:p>
        </w:tc>
      </w:tr>
      <w:tr>
        <w:trPr>
          <w:trHeight w:val="170"/>
        </w:trPr>
        <w:tc>
          <w:tcPr>
            <w:tcW w:w="4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Chairman and Chief Executive Officer</w:t>
            </w:r>
          </w:p>
        </w:tc>
      </w:tr>
      <w:tr>
        <w:trPr>
          <w:trHeight w:val="173"/>
        </w:trPr>
        <w:tc>
          <w:tcPr>
            <w:tcW w:w="4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084" w:right="3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FINANCIAL OFFICER PURSUANT TO</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spacing w:after="0" w:line="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88"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3"/>
          <w:szCs w:val="13"/>
          <w:color w:val="auto"/>
        </w:rPr>
        <w:t>In connection with the Annual Report on Form 10-K of Symbotic Inc. (the “Company”) for the fiscal year ended September 28, 2024,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Report fully complies with the requirements of Section 13(a) or 15(d) of the Securities Exchange Act of 1934; 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Date: December 4, 2024</w:t>
            </w:r>
          </w:p>
        </w:tc>
        <w:tc>
          <w:tcPr>
            <w:tcW w:w="7320" w:type="dxa"/>
            <w:vAlign w:val="bottom"/>
            <w:gridSpan w:val="2"/>
          </w:tcPr>
          <w:p>
            <w:pPr>
              <w:ind w:left="2660"/>
              <w:spacing w:after="0"/>
              <w:rPr>
                <w:sz w:val="20"/>
                <w:szCs w:val="20"/>
                <w:color w:val="auto"/>
              </w:rPr>
            </w:pPr>
            <w:r>
              <w:rPr>
                <w:rFonts w:ascii="Times New Roman" w:cs="Times New Roman" w:eastAsia="Times New Roman" w:hAnsi="Times New Roman"/>
                <w:sz w:val="13"/>
                <w:szCs w:val="13"/>
                <w:color w:val="auto"/>
              </w:rPr>
              <w:t>By: /s/ Carol Hibbard</w:t>
            </w:r>
          </w:p>
        </w:tc>
      </w:tr>
      <w:tr>
        <w:trPr>
          <w:trHeight w:val="158"/>
        </w:trPr>
        <w:tc>
          <w:tcPr>
            <w:tcW w:w="39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Carol Hibbard</w:t>
            </w:r>
          </w:p>
        </w:tc>
      </w:tr>
      <w:tr>
        <w:trPr>
          <w:trHeight w:val="170"/>
        </w:trPr>
        <w:tc>
          <w:tcPr>
            <w:tcW w:w="3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 and Treasurer</w:t>
            </w:r>
          </w:p>
        </w:tc>
      </w:tr>
      <w:tr>
        <w:trPr>
          <w:trHeight w:val="173"/>
        </w:trPr>
        <w:tc>
          <w:tcPr>
            <w:tcW w:w="3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Financial Officer)</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08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
      <w:numFmt w:val="bullet"/>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
      <w:numFmt w:val="bullet"/>
      <w:start w:val="1"/>
    </w:lvl>
  </w:abstractNum>
  <w:abstractNum w:abstractNumId="17">
    <w:nsid w:val="51088277"/>
    <w:multiLevelType w:val="hybridMultilevel"/>
    <w:lvl w:ilvl="0">
      <w:lvlJc w:val="left"/>
      <w:lvlText w:val="•"/>
      <w:numFmt w:val="bullet"/>
      <w:start w:val="1"/>
    </w:lvl>
  </w:abstractNum>
  <w:abstractNum w:abstractNumId="18">
    <w:nsid w:val="1CA0C5FA"/>
    <w:multiLevelType w:val="hybridMultilevel"/>
    <w:lvl w:ilvl="0">
      <w:lvlJc w:val="left"/>
      <w:lvlText w:val="•"/>
      <w:numFmt w:val="bullet"/>
      <w:start w:val="1"/>
    </w:lvl>
    <w:lvl w:ilvl="1">
      <w:lvlJc w:val="left"/>
      <w:lvlText w:val="•"/>
      <w:numFmt w:val="bullet"/>
      <w:start w:val="1"/>
    </w:lvl>
  </w:abstractNum>
  <w:abstractNum w:abstractNumId="19">
    <w:nsid w:val="53584BCB"/>
    <w:multiLevelType w:val="hybridMultilevel"/>
    <w:lvl w:ilvl="0">
      <w:lvlJc w:val="left"/>
      <w:lvlText w:val="•"/>
      <w:numFmt w:val="bullet"/>
      <w:start w:val="1"/>
    </w:lvl>
    <w:lvl w:ilvl="1">
      <w:lvlJc w:val="left"/>
      <w:lvlText w:val="•"/>
      <w:numFmt w:val="bullet"/>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
      <w:numFmt w:val="bullet"/>
      <w:start w:val="1"/>
    </w:lvl>
  </w:abstractNum>
  <w:abstractNum w:abstractNumId="22">
    <w:nsid w:val="23D86AAC"/>
    <w:multiLevelType w:val="hybridMultilevel"/>
    <w:lvl w:ilvl="0">
      <w:lvlJc w:val="left"/>
      <w:lvlText w:val="•"/>
      <w:numFmt w:val="bullet"/>
      <w:start w:val="1"/>
    </w:lvl>
  </w:abstractNum>
  <w:abstractNum w:abstractNumId="23">
    <w:nsid w:val="45E6D486"/>
    <w:multiLevelType w:val="hybridMultilevel"/>
    <w:lvl w:ilvl="0">
      <w:lvlJc w:val="left"/>
      <w:lvlText w:val="•"/>
      <w:numFmt w:val="bullet"/>
      <w:start w:val="1"/>
    </w:lvl>
  </w:abstractNum>
  <w:abstractNum w:abstractNumId="24">
    <w:nsid w:val="5C10FE21"/>
    <w:multiLevelType w:val="hybridMultilevel"/>
    <w:lvl w:ilvl="0">
      <w:lvlJc w:val="left"/>
      <w:lvlText w:val="•"/>
      <w:numFmt w:val="bullet"/>
      <w:start w:val="1"/>
    </w:lvl>
  </w:abstractNum>
  <w:abstractNum w:abstractNumId="25">
    <w:nsid w:val="E7FFA2B"/>
    <w:multiLevelType w:val="hybridMultilevel"/>
    <w:lvl w:ilvl="0">
      <w:lvlJc w:val="left"/>
      <w:lvlText w:val="•"/>
      <w:numFmt w:val="bullet"/>
      <w:start w:val="1"/>
    </w:lvl>
  </w:abstractNum>
  <w:abstractNum w:abstractNumId="26">
    <w:nsid w:val="3C5991AA"/>
    <w:multiLevelType w:val="hybridMultilevel"/>
    <w:lvl w:ilvl="0">
      <w:lvlJc w:val="left"/>
      <w:lvlText w:val="•"/>
      <w:numFmt w:val="bullet"/>
      <w:start w:val="1"/>
    </w:lvl>
  </w:abstractNum>
  <w:abstractNum w:abstractNumId="27">
    <w:nsid w:val="4BD8591A"/>
    <w:multiLevelType w:val="hybridMultilevel"/>
    <w:lvl w:ilvl="0">
      <w:lvlJc w:val="left"/>
      <w:lvlText w:val="•"/>
      <w:numFmt w:val="bullet"/>
      <w:start w:val="1"/>
    </w:lvl>
  </w:abstractNum>
  <w:abstractNum w:abstractNumId="28">
    <w:nsid w:val="78DF6A55"/>
    <w:multiLevelType w:val="hybridMultilevel"/>
    <w:lvl w:ilvl="0">
      <w:lvlJc w:val="left"/>
      <w:lvlText w:val="•"/>
      <w:numFmt w:val="bullet"/>
      <w:start w:val="1"/>
    </w:lvl>
  </w:abstractNum>
  <w:abstractNum w:abstractNumId="29">
    <w:nsid w:val="39B7AAA2"/>
    <w:multiLevelType w:val="hybridMultilevel"/>
    <w:lvl w:ilvl="0">
      <w:lvlJc w:val="left"/>
      <w:lvlText w:val="•"/>
      <w:numFmt w:val="bullet"/>
      <w:start w:val="1"/>
    </w:lvl>
  </w:abstractNum>
  <w:abstractNum w:abstractNumId="30">
    <w:nsid w:val="2B0D8DBE"/>
    <w:multiLevelType w:val="hybridMultilevel"/>
    <w:lvl w:ilvl="0">
      <w:lvlJc w:val="left"/>
      <w:lvlText w:val="•"/>
      <w:numFmt w:val="bullet"/>
      <w:start w:val="1"/>
    </w:lvl>
  </w:abstractNum>
  <w:abstractNum w:abstractNumId="31">
    <w:nsid w:val="6C80EC70"/>
    <w:multiLevelType w:val="hybridMultilevel"/>
    <w:lvl w:ilvl="0">
      <w:lvlJc w:val="left"/>
      <w:lvlText w:val="•"/>
      <w:numFmt w:val="bullet"/>
      <w:start w:val="1"/>
    </w:lvl>
  </w:abstractNum>
  <w:abstractNum w:abstractNumId="32">
    <w:nsid w:val="379E21B5"/>
    <w:multiLevelType w:val="hybridMultilevel"/>
    <w:lvl w:ilvl="0">
      <w:lvlJc w:val="left"/>
      <w:lvlText w:val="•"/>
      <w:numFmt w:val="bullet"/>
      <w:start w:val="1"/>
    </w:lvl>
  </w:abstractNum>
  <w:abstractNum w:abstractNumId="33">
    <w:nsid w:val="69E373"/>
    <w:multiLevelType w:val="hybridMultilevel"/>
    <w:lvl w:ilvl="0">
      <w:lvlJc w:val="left"/>
      <w:lvlText w:val="•"/>
      <w:numFmt w:val="bullet"/>
      <w:start w:val="1"/>
    </w:lvl>
  </w:abstractNum>
  <w:abstractNum w:abstractNumId="34">
    <w:nsid w:val="2C27173B"/>
    <w:multiLevelType w:val="hybridMultilevel"/>
    <w:lvl w:ilvl="0">
      <w:lvlJc w:val="left"/>
      <w:lvlText w:val="•"/>
      <w:numFmt w:val="bullet"/>
      <w:start w:val="1"/>
    </w:lvl>
  </w:abstractNum>
  <w:abstractNum w:abstractNumId="35">
    <w:nsid w:val="4C9B0904"/>
    <w:multiLevelType w:val="hybridMultilevel"/>
    <w:lvl w:ilvl="0">
      <w:lvlJc w:val="left"/>
      <w:lvlText w:val="(%1)"/>
      <w:numFmt w:val="decimal"/>
      <w:start w:val="1"/>
    </w:lvl>
  </w:abstractNum>
  <w:abstractNum w:abstractNumId="36">
    <w:nsid w:val="6AA7B75C"/>
    <w:multiLevelType w:val="hybridMultilevel"/>
    <w:lvl w:ilvl="0">
      <w:lvlJc w:val="left"/>
      <w:lvlText w:val="•"/>
      <w:numFmt w:val="bullet"/>
      <w:start w:val="1"/>
    </w:lvl>
  </w:abstractNum>
  <w:abstractNum w:abstractNumId="37">
    <w:nsid w:val="1DF029D3"/>
    <w:multiLevelType w:val="hybridMultilevel"/>
    <w:lvl w:ilvl="0">
      <w:lvlJc w:val="left"/>
      <w:lvlText w:val="(%1)"/>
      <w:numFmt w:val="decimal"/>
      <w:start w:val="1"/>
    </w:lvl>
  </w:abstractNum>
  <w:abstractNum w:abstractNumId="38">
    <w:nsid w:val="5675FF36"/>
    <w:multiLevelType w:val="hybridMultilevel"/>
    <w:lvl w:ilvl="0">
      <w:lvlJc w:val="left"/>
      <w:lvlText w:val="%1."/>
      <w:numFmt w:val="decimal"/>
      <w:start w:val="1"/>
    </w:lvl>
  </w:abstractNum>
  <w:abstractNum w:abstractNumId="39">
    <w:nsid w:val="3DD15094"/>
    <w:multiLevelType w:val="hybridMultilevel"/>
    <w:lvl w:ilvl="0">
      <w:lvlJc w:val="left"/>
      <w:lvlText w:val="•"/>
      <w:numFmt w:val="bullet"/>
      <w:start w:val="1"/>
    </w:lvl>
  </w:abstractNum>
  <w:abstractNum w:abstractNumId="40">
    <w:nsid w:val="3DB012B3"/>
    <w:multiLevelType w:val="hybridMultilevel"/>
    <w:lvl w:ilvl="0">
      <w:lvlJc w:val="left"/>
      <w:lvlText w:val="(%1)"/>
      <w:numFmt w:val="decimal"/>
      <w:start w:val="1"/>
    </w:lvl>
  </w:abstractNum>
  <w:abstractNum w:abstractNumId="41">
    <w:nsid w:val="2708C9AF"/>
    <w:multiLevelType w:val="hybridMultilevel"/>
    <w:lvl w:ilvl="0">
      <w:lvlJc w:val="left"/>
      <w:lvlText w:val="(%1)"/>
      <w:numFmt w:val="lowerLetter"/>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1)"/>
      <w:numFmt w:val="lowerLetter"/>
      <w:start w:val="1"/>
    </w:lvl>
  </w:abstractNum>
  <w:abstractNum w:abstractNumId="44">
    <w:nsid w:val="4F97E3E4"/>
    <w:multiLevelType w:val="hybridMultilevel"/>
    <w:lvl w:ilvl="0">
      <w:lvlJc w:val="left"/>
      <w:lvlText w:val="(%1)"/>
      <w:numFmt w:val="lowerLetter"/>
      <w:start w:val="1"/>
    </w:lvl>
  </w:abstractNum>
  <w:abstractNum w:abstractNumId="45">
    <w:nsid w:val="53B0A9E"/>
    <w:multiLevelType w:val="hybridMultilevel"/>
    <w:lvl w:ilvl="0">
      <w:lvlJc w:val="left"/>
      <w:lvlText w:val="(%1)"/>
      <w:numFmt w:val="lowerLetter"/>
      <w:start w:val="1"/>
    </w:lvl>
  </w:abstractNum>
  <w:abstractNum w:abstractNumId="46">
    <w:nsid w:val="34FD6B4F"/>
    <w:multiLevelType w:val="hybridMultilevel"/>
    <w:lvl w:ilvl="0">
      <w:lvlJc w:val="left"/>
      <w:lvlText w:val="•"/>
      <w:numFmt w:val="bullet"/>
      <w:start w:val="1"/>
    </w:lvl>
  </w:abstractNum>
  <w:abstractNum w:abstractNumId="47">
    <w:nsid w:val="5915FF32"/>
    <w:multiLevelType w:val="hybridMultilevel"/>
    <w:lvl w:ilvl="0">
      <w:lvlJc w:val="left"/>
      <w:lvlText w:val="•"/>
      <w:numFmt w:val="bullet"/>
      <w:start w:val="1"/>
    </w:lvl>
  </w:abstractNum>
  <w:abstractNum w:abstractNumId="48">
    <w:nsid w:val="56438D15"/>
    <w:multiLevelType w:val="hybridMultilevel"/>
    <w:lvl w:ilvl="0">
      <w:lvlJc w:val="left"/>
      <w:lvlText w:val="%1."/>
      <w:numFmt w:val="decimal"/>
      <w:start w:val="1"/>
    </w:lvl>
    <w:lvl w:ilvl="1">
      <w:lvlJc w:val="left"/>
      <w:lvlText w:val="•"/>
      <w:numFmt w:val="bullet"/>
      <w:start w:val="1"/>
    </w:lvl>
  </w:abstractNum>
  <w:abstractNum w:abstractNumId="49">
    <w:nsid w:val="519E3149"/>
    <w:multiLevelType w:val="hybridMultilevel"/>
    <w:lvl w:ilvl="0">
      <w:lvlJc w:val="left"/>
      <w:lvlText w:val="%1."/>
      <w:numFmt w:val="decimal"/>
      <w:start w:val="1"/>
    </w:lvl>
    <w:lvl w:ilvl="1">
      <w:lvlJc w:val="left"/>
      <w:lvlText w:val="•"/>
      <w:numFmt w:val="bullet"/>
      <w:start w:val="1"/>
    </w:lvl>
  </w:abstractNum>
  <w:abstractNum w:abstractNumId="50">
    <w:nsid w:val="2C6E4AFD"/>
    <w:multiLevelType w:val="hybridMultilevel"/>
    <w:lvl w:ilvl="0">
      <w:lvlJc w:val="left"/>
      <w:lvlText w:val="#"/>
      <w:numFmt w:val="bullet"/>
      <w:start w:val="1"/>
    </w:lvl>
  </w:abstractNum>
  <w:abstractNum w:abstractNumId="51">
    <w:nsid w:val="17A1B582"/>
    <w:multiLevelType w:val="hybridMultilevel"/>
    <w:lvl w:ilvl="0">
      <w:lvlJc w:val="left"/>
      <w:lvlText w:val="++"/>
      <w:numFmt w:val="bullet"/>
      <w:start w:val="1"/>
    </w:lvl>
  </w:abstractNum>
  <w:abstractNum w:abstractNumId="52">
    <w:nsid w:val="4DF72E4E"/>
    <w:multiLevelType w:val="hybridMultilevel"/>
    <w:lvl w:ilvl="0">
      <w:lvlJc w:val="left"/>
      <w:lvlText w:val="^"/>
      <w:numFmt w:val="bullet"/>
      <w:start w:val="1"/>
    </w:lvl>
  </w:abstractNum>
  <w:abstractNum w:abstractNumId="53">
    <w:nsid w:val="5046B5A9"/>
    <w:multiLevelType w:val="hybridMultilevel"/>
    <w:lvl w:ilvl="0">
      <w:lvlJc w:val="left"/>
      <w:lvlText w:val="(%1)"/>
      <w:numFmt w:val="lowerLetter"/>
      <w:start w:val="3"/>
    </w:lvl>
  </w:abstractNum>
  <w:abstractNum w:abstractNumId="54">
    <w:nsid w:val="5D888A08"/>
    <w:multiLevelType w:val="hybridMultilevel"/>
    <w:lvl w:ilvl="0">
      <w:lvlJc w:val="left"/>
      <w:lvlText w:val="(%1)"/>
      <w:numFmt w:val="lowerLetter"/>
      <w:start w:val="1"/>
    </w:lvl>
  </w:abstractNum>
  <w:abstractNum w:abstractNumId="55">
    <w:nsid w:val="2A082C70"/>
    <w:multiLevelType w:val="hybridMultilevel"/>
    <w:lvl w:ilvl="0">
      <w:lvlJc w:val="left"/>
      <w:lvlText w:val="(%1)"/>
      <w:numFmt w:val="lowerLetter"/>
      <w:start w:val="35"/>
    </w:lvl>
    <w:lvl w:ilvl="1">
      <w:lvlJc w:val="left"/>
      <w:lvlText w:val="(%2)"/>
      <w:numFmt w:val="lowerLetter"/>
      <w:start w:val="3"/>
    </w:lvl>
  </w:abstractNum>
  <w:abstractNum w:abstractNumId="56">
    <w:nsid w:val="5EC6AFD4"/>
    <w:multiLevelType w:val="hybridMultilevel"/>
    <w:lvl w:ilvl="0">
      <w:lvlJc w:val="left"/>
      <w:lvlText w:val="(%1)"/>
      <w:numFmt w:val="lowerLetter"/>
      <w:start w:val="1"/>
    </w:lvl>
  </w:abstractNum>
  <w:abstractNum w:abstractNumId="57">
    <w:nsid w:val="19E21BB2"/>
    <w:multiLevelType w:val="hybridMultilevel"/>
    <w:lvl w:ilvl="0">
      <w:lvlJc w:val="left"/>
      <w:lvlText w:val="(%1)"/>
      <w:numFmt w:val="lowerRoman"/>
      <w:start w:val="1"/>
    </w:lvl>
  </w:abstractNum>
  <w:abstractNum w:abstractNumId="58">
    <w:nsid w:val="75E0858A"/>
    <w:multiLevelType w:val="hybridMultilevel"/>
    <w:lvl w:ilvl="0">
      <w:lvlJc w:val="left"/>
      <w:lvlText w:val="%1"/>
      <w:numFmt w:val="lowerLetter"/>
      <w:start w:val="1"/>
    </w:lvl>
    <w:lvl w:ilvl="1">
      <w:lvlJc w:val="left"/>
      <w:lvlText w:val="(%2)"/>
      <w:numFmt w:val="lowerRoman"/>
      <w:start w:val="4"/>
    </w:lvl>
  </w:abstractNum>
  <w:abstractNum w:abstractNumId="59">
    <w:nsid w:val="57A61A29"/>
    <w:multiLevelType w:val="hybridMultilevel"/>
    <w:lvl w:ilvl="0">
      <w:lvlJc w:val="left"/>
      <w:lvlText w:val="(%1)"/>
      <w:numFmt w:val="lowerLetter"/>
      <w:start w:val="2"/>
    </w:lvl>
    <w:lvl w:ilvl="1">
      <w:lvlJc w:val="left"/>
      <w:lvlText w:val="(%2)"/>
      <w:numFmt w:val="lowerRoman"/>
      <w:start w:val="1"/>
    </w:lvl>
  </w:abstractNum>
  <w:abstractNum w:abstractNumId="60">
    <w:nsid w:val="5399C654"/>
    <w:multiLevelType w:val="hybridMultilevel"/>
    <w:lvl w:ilvl="0">
      <w:lvlJc w:val="left"/>
      <w:lvlText w:val="(%1)"/>
      <w:numFmt w:val="lowerLetter"/>
      <w:start w:val="3"/>
    </w:lvl>
  </w:abstractNum>
  <w:abstractNum w:abstractNumId="61">
    <w:nsid w:val="20EE1348"/>
    <w:multiLevelType w:val="hybridMultilevel"/>
    <w:lvl w:ilvl="0">
      <w:lvlJc w:val="left"/>
      <w:lvlText w:val="(%1)"/>
      <w:numFmt w:val="lowerLetter"/>
      <w:start w:val="4"/>
    </w:lvl>
    <w:lvl w:ilvl="1">
      <w:lvlJc w:val="left"/>
      <w:lvlText w:val="(%2)"/>
      <w:numFmt w:val="lowerRoman"/>
      <w:start w:val="1"/>
    </w:lvl>
  </w:abstractNum>
  <w:abstractNum w:abstractNumId="62">
    <w:nsid w:val="4427069A"/>
    <w:multiLevelType w:val="hybridMultilevel"/>
    <w:lvl w:ilvl="0">
      <w:lvlJc w:val="left"/>
      <w:lvlText w:val="(%1)"/>
      <w:numFmt w:val="lowerRoman"/>
      <w:start w:val="3"/>
    </w:lvl>
    <w:lvl w:ilvl="1">
      <w:lvlJc w:val="left"/>
      <w:lvlText w:val="(%2)"/>
      <w:numFmt w:val="upperLetter"/>
      <w:start w:val="1"/>
    </w:lvl>
  </w:abstractNum>
  <w:abstractNum w:abstractNumId="63">
    <w:nsid w:val="B37E80A"/>
    <w:multiLevelType w:val="hybridMultilevel"/>
    <w:lvl w:ilvl="0">
      <w:lvlJc w:val="left"/>
      <w:lvlText w:val="%1"/>
      <w:numFmt w:val="lowerRoman"/>
      <w:start w:val="1"/>
    </w:lvl>
    <w:lvl w:ilvl="1">
      <w:lvlJc w:val="left"/>
      <w:lvlText w:val="(%2)"/>
      <w:numFmt w:val="upperLetter"/>
      <w:start w:val="4"/>
    </w:lvl>
  </w:abstractNum>
  <w:abstractNum w:abstractNumId="64">
    <w:nsid w:val="2157F6BC"/>
    <w:multiLevelType w:val="hybridMultilevel"/>
    <w:lvl w:ilvl="0">
      <w:lvlJc w:val="left"/>
      <w:lvlText w:val="(%1)"/>
      <w:numFmt w:val="lowerRoman"/>
      <w:start w:val="4"/>
    </w:lvl>
    <w:lvl w:ilvl="1">
      <w:lvlJc w:val="left"/>
      <w:lvlText w:val="%2"/>
      <w:numFmt w:val="upperLetter"/>
      <w:start w:val="1"/>
    </w:lvl>
  </w:abstractNum>
  <w:abstractNum w:abstractNumId="65">
    <w:nsid w:val="704E1DD5"/>
    <w:multiLevelType w:val="hybridMultilevel"/>
    <w:lvl w:ilvl="0">
      <w:lvlJc w:val="left"/>
      <w:lvlText w:val="(%1)"/>
      <w:numFmt w:val="lowerLetter"/>
      <w:start w:val="1"/>
    </w:lvl>
  </w:abstractNum>
  <w:abstractNum w:abstractNumId="66">
    <w:nsid w:val="57D2F10E"/>
    <w:multiLevelType w:val="hybridMultilevel"/>
    <w:lvl w:ilvl="0">
      <w:lvlJc w:val="left"/>
      <w:lvlText w:val="(%1)"/>
      <w:numFmt w:val="lowerLetter"/>
      <w:start w:val="2"/>
    </w:lvl>
  </w:abstractNum>
  <w:abstractNum w:abstractNumId="67">
    <w:nsid w:val="BFFAE18"/>
    <w:multiLevelType w:val="hybridMultilevel"/>
    <w:lvl w:ilvl="0">
      <w:lvlJc w:val="left"/>
      <w:lvlText w:val="(%1)"/>
      <w:numFmt w:val="lowerLetter"/>
      <w:start w:val="1"/>
    </w:lvl>
  </w:abstractNum>
  <w:abstractNum w:abstractNumId="68">
    <w:nsid w:val="E3E47A8"/>
    <w:multiLevelType w:val="hybridMultilevel"/>
    <w:lvl w:ilvl="0">
      <w:lvlJc w:val="left"/>
      <w:lvlText w:val="(%1)"/>
      <w:numFmt w:val="lowerLetter"/>
      <w:start w:val="2"/>
    </w:lvl>
  </w:abstractNum>
  <w:abstractNum w:abstractNumId="69">
    <w:nsid w:val="2E48F044"/>
    <w:multiLevelType w:val="hybridMultilevel"/>
    <w:lvl w:ilvl="0">
      <w:lvlJc w:val="left"/>
      <w:lvlText w:val="(%1)"/>
      <w:numFmt w:val="lowerLetter"/>
      <w:start w:val="4"/>
    </w:lvl>
  </w:abstractNum>
  <w:abstractNum w:abstractNumId="70">
    <w:nsid w:val="49D0FEAC"/>
    <w:multiLevelType w:val="hybridMultilevel"/>
    <w:lvl w:ilvl="0">
      <w:lvlJc w:val="left"/>
      <w:lvlText w:val="(%1)"/>
      <w:numFmt w:val="lowerRoman"/>
      <w:start w:val="3"/>
    </w:lvl>
  </w:abstractNum>
  <w:abstractNum w:abstractNumId="71">
    <w:nsid w:val="4BEE5A5B"/>
    <w:multiLevelType w:val="hybridMultilevel"/>
    <w:lvl w:ilvl="0">
      <w:lvlJc w:val="left"/>
      <w:lvlText w:val="(%1)"/>
      <w:numFmt w:val="lowerRoman"/>
      <w:start w:val="3"/>
    </w:lvl>
  </w:abstractNum>
  <w:abstractNum w:abstractNumId="72">
    <w:nsid w:val="5551B9F3"/>
    <w:multiLevelType w:val="hybridMultilevel"/>
    <w:lvl w:ilvl="0">
      <w:lvlJc w:val="left"/>
      <w:lvlText w:val="(%1)"/>
      <w:numFmt w:val="lowerLetter"/>
      <w:start w:val="1"/>
    </w:lvl>
    <w:lvl w:ilvl="1">
      <w:lvlJc w:val="left"/>
      <w:lvlText w:val="(%2)"/>
      <w:numFmt w:val="lowerLetter"/>
      <w:start w:val="9"/>
    </w:lvl>
  </w:abstractNum>
  <w:abstractNum w:abstractNumId="73">
    <w:nsid w:val="24F6AB8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4">
    <w:nsid w:val="634C574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75">
    <w:nsid w:val="24E99DD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6">
    <w:nsid w:val="2A31B62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7">
    <w:nsid w:val="1849C29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78">
    <w:nsid w:val="7DFF9D09"/>
    <w:multiLevelType w:val="hybridMultilevel"/>
    <w:lvl w:ilvl="0">
      <w:lvlJc w:val="left"/>
      <w:lvlText w:val="(%1)"/>
      <w:numFmt w:val="lowerLetter"/>
      <w:start w:val="3"/>
    </w:lvl>
  </w:abstractNum>
  <w:abstractNum w:abstractNumId="79">
    <w:nsid w:val="754342"/>
    <w:multiLevelType w:val="hybridMultilevel"/>
    <w:lvl w:ilvl="0">
      <w:lvlJc w:val="left"/>
      <w:lvlText w:val="(%1)"/>
      <w:numFmt w:val="lowerLetter"/>
      <w:start w:val="1"/>
    </w:lvl>
  </w:abstractNum>
  <w:abstractNum w:abstractNumId="80">
    <w:nsid w:val="69E7F3E5"/>
    <w:multiLevelType w:val="hybridMultilevel"/>
    <w:lvl w:ilvl="0">
      <w:lvlJc w:val="left"/>
      <w:lvlText w:val="(%1)"/>
      <w:numFmt w:val="lowerLetter"/>
      <w:start w:val="1"/>
    </w:lvl>
  </w:abstractNum>
  <w:abstractNum w:abstractNumId="81">
    <w:nsid w:val="2A6DE806"/>
    <w:multiLevelType w:val="hybridMultilevel"/>
    <w:lvl w:ilvl="0">
      <w:lvlJc w:val="left"/>
      <w:lvlText w:val="(%1)"/>
      <w:numFmt w:val="lowerLetter"/>
      <w:start w:val="1"/>
    </w:lvl>
    <w:lvl w:ilvl="1">
      <w:lvlJc w:val="left"/>
      <w:lvlText w:val="(%2)"/>
      <w:numFmt w:val="lowerRoman"/>
      <w:start w:val="1"/>
    </w:lvl>
  </w:abstractNum>
  <w:abstractNum w:abstractNumId="82">
    <w:nsid w:val="1816F8C4"/>
    <w:multiLevelType w:val="hybridMultilevel"/>
    <w:lvl w:ilvl="0">
      <w:lvlJc w:val="left"/>
      <w:lvlText w:val="(%1)"/>
      <w:numFmt w:val="lowerLetter"/>
      <w:start w:val="2"/>
    </w:lvl>
    <w:lvl w:ilvl="1">
      <w:lvlJc w:val="left"/>
      <w:lvlText w:val="(%2)"/>
      <w:numFmt w:val="lowerRoman"/>
      <w:start w:val="1"/>
    </w:lvl>
  </w:abstractNum>
  <w:abstractNum w:abstractNumId="83">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84">
    <w:nsid w:val="7AB49DAF"/>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85">
    <w:nsid w:val="759F82CD"/>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86">
    <w:nsid w:val="61E74EA3"/>
    <w:multiLevelType w:val="hybridMultilevel"/>
    <w:lvl w:ilvl="0">
      <w:lvlJc w:val="left"/>
      <w:lvlText w:val="(%1)"/>
      <w:numFmt w:val="lowerLetter"/>
      <w:start w:val="8"/>
    </w:lvl>
  </w:abstractNum>
  <w:abstractNum w:abstractNumId="87">
    <w:nsid w:val="597B4D84"/>
    <w:multiLevelType w:val="hybridMultilevel"/>
    <w:lvl w:ilvl="0">
      <w:lvlJc w:val="left"/>
      <w:lvlText w:val="(%1)"/>
      <w:numFmt w:val="lowerLetter"/>
      <w:start w:val="1"/>
    </w:lvl>
  </w:abstractNum>
  <w:abstractNum w:abstractNumId="88">
    <w:nsid w:val="F819E7F"/>
    <w:multiLevelType w:val="hybridMultilevel"/>
    <w:lvl w:ilvl="0">
      <w:lvlJc w:val="left"/>
      <w:lvlText w:val="(%1)"/>
      <w:numFmt w:val="lowerLetter"/>
      <w:start w:val="2"/>
    </w:lvl>
  </w:abstractNum>
  <w:abstractNum w:abstractNumId="89">
    <w:nsid w:val="57C7D42D"/>
    <w:multiLevelType w:val="hybridMultilevel"/>
    <w:lvl w:ilvl="0">
      <w:lvlJc w:val="left"/>
      <w:lvlText w:val="(%1)"/>
      <w:numFmt w:val="lowerLetter"/>
      <w:start w:val="1"/>
    </w:lvl>
  </w:abstractNum>
  <w:abstractNum w:abstractNumId="90">
    <w:nsid w:val="312167AD"/>
    <w:multiLevelType w:val="hybridMultilevel"/>
    <w:lvl w:ilvl="0">
      <w:lvlJc w:val="left"/>
      <w:lvlText w:val="(%1)"/>
      <w:numFmt w:val="lowerLetter"/>
      <w:start w:val="4"/>
    </w:lvl>
  </w:abstractNum>
  <w:abstractNum w:abstractNumId="91">
    <w:nsid w:val="631B64D4"/>
    <w:multiLevelType w:val="hybridMultilevel"/>
    <w:lvl w:ilvl="0">
      <w:lvlJc w:val="left"/>
      <w:lvlText w:val="(%1)"/>
      <w:numFmt w:val="lowerLetter"/>
      <w:start w:val="5"/>
    </w:lvl>
  </w:abstractNum>
  <w:abstractNum w:abstractNumId="92">
    <w:nsid w:val="78B5E776"/>
    <w:multiLevelType w:val="hybridMultilevel"/>
    <w:lvl w:ilvl="0">
      <w:lvlJc w:val="left"/>
      <w:lvlText w:val="(%1)"/>
      <w:numFmt w:val="lowerLetter"/>
      <w:start w:val="1"/>
    </w:lvl>
  </w:abstractNum>
  <w:abstractNum w:abstractNumId="93">
    <w:nsid w:val="75486E47"/>
    <w:multiLevelType w:val="hybridMultilevel"/>
    <w:lvl w:ilvl="0">
      <w:lvlJc w:val="left"/>
      <w:lvlText w:val="(%1)"/>
      <w:numFmt w:val="lowerLetter"/>
      <w:start w:val="4"/>
    </w:lvl>
  </w:abstractNum>
  <w:abstractNum w:abstractNumId="94">
    <w:nsid w:val="6E534CDE"/>
    <w:multiLevelType w:val="hybridMultilevel"/>
    <w:lvl w:ilvl="0">
      <w:lvlJc w:val="left"/>
      <w:lvlText w:val="(%1)"/>
      <w:numFmt w:val="lowerLetter"/>
      <w:start w:val="1"/>
    </w:lvl>
  </w:abstractNum>
  <w:abstractNum w:abstractNumId="95">
    <w:nsid w:val="1A0DDE32"/>
    <w:multiLevelType w:val="hybridMultilevel"/>
    <w:lvl w:ilvl="0">
      <w:lvlJc w:val="left"/>
      <w:lvlText w:val="(%1)"/>
      <w:numFmt w:val="lowerLetter"/>
      <w:start w:val="2"/>
    </w:lvl>
  </w:abstractNum>
  <w:abstractNum w:abstractNumId="96">
    <w:nsid w:val="65968C1C"/>
    <w:multiLevelType w:val="hybridMultilevel"/>
    <w:lvl w:ilvl="0">
      <w:lvlJc w:val="left"/>
      <w:lvlText w:val="(%1)"/>
      <w:numFmt w:val="lowerLetter"/>
      <w:start w:val="1"/>
    </w:lvl>
  </w:abstractNum>
  <w:abstractNum w:abstractNumId="97">
    <w:nsid w:val="46263DEC"/>
    <w:multiLevelType w:val="hybridMultilevel"/>
    <w:lvl w:ilvl="0">
      <w:lvlJc w:val="left"/>
      <w:lvlText w:val="(%1)"/>
      <w:numFmt w:val="lowerLetter"/>
      <w:start w:val="2"/>
    </w:lvl>
  </w:abstractNum>
  <w:abstractNum w:abstractNumId="98">
    <w:nsid w:val="260D8C4A"/>
    <w:multiLevelType w:val="hybridMultilevel"/>
    <w:lvl w:ilvl="0">
      <w:lvlJc w:val="left"/>
      <w:lvlText w:val="(%1)"/>
      <w:numFmt w:val="lowerLetter"/>
      <w:start w:val="5"/>
    </w:lvl>
  </w:abstractNum>
  <w:abstractNum w:abstractNumId="99">
    <w:nsid w:val="73D4D3C4"/>
    <w:multiLevelType w:val="hybridMultilevel"/>
    <w:lvl w:ilvl="0">
      <w:lvlJc w:val="left"/>
      <w:lvlText w:val="(%1)"/>
      <w:numFmt w:val="lowerLetter"/>
      <w:start w:val="8"/>
    </w:lvl>
  </w:abstractNum>
  <w:abstractNum w:abstractNumId="100">
    <w:nsid w:val="746F2E30"/>
    <w:multiLevelType w:val="hybridMultilevel"/>
    <w:lvl w:ilvl="0">
      <w:lvlJc w:val="left"/>
      <w:lvlText w:val="(%1)"/>
      <w:numFmt w:val="lowerLetter"/>
      <w:start w:val="1"/>
    </w:lvl>
  </w:abstractNum>
  <w:abstractNum w:abstractNumId="101">
    <w:nsid w:val="6FDE8AF6"/>
    <w:multiLevelType w:val="hybridMultilevel"/>
    <w:lvl w:ilvl="0">
      <w:lvlJc w:val="left"/>
      <w:lvlText w:val="(%1)"/>
      <w:numFmt w:val="lowerRoman"/>
      <w:start w:val="1"/>
    </w:lvl>
  </w:abstractNum>
  <w:abstractNum w:abstractNumId="102">
    <w:nsid w:val="3FC32E20"/>
    <w:multiLevelType w:val="hybridMultilevel"/>
    <w:lvl w:ilvl="0">
      <w:lvlJc w:val="left"/>
      <w:lvlText w:val="(%1)"/>
      <w:numFmt w:val="lowerLetter"/>
      <w:start w:val="1"/>
    </w:lvl>
  </w:abstractNum>
  <w:abstractNum w:abstractNumId="103">
    <w:nsid w:val="49C0E823"/>
    <w:multiLevelType w:val="hybridMultilevel"/>
    <w:lvl w:ilvl="0">
      <w:lvlJc w:val="left"/>
      <w:lvlText w:val="(%1)"/>
      <w:numFmt w:val="lowerLetter"/>
      <w:start w:val="1"/>
    </w:lvl>
  </w:abstractNum>
  <w:abstractNum w:abstractNumId="104">
    <w:nsid w:val="14D53685"/>
    <w:multiLevelType w:val="hybridMultilevel"/>
    <w:lvl w:ilvl="0">
      <w:lvlJc w:val="left"/>
      <w:lvlText w:val="(%1)"/>
      <w:numFmt w:val="lowerLetter"/>
      <w:start w:val="3"/>
    </w:lvl>
  </w:abstractNum>
  <w:abstractNum w:abstractNumId="105">
    <w:nsid w:val="230F856C"/>
    <w:multiLevelType w:val="hybridMultilevel"/>
    <w:lvl w:ilvl="0">
      <w:lvlJc w:val="left"/>
      <w:lvlText w:val="(%1)"/>
      <w:numFmt w:val="lowerLetter"/>
      <w:start w:val="1"/>
    </w:lvl>
    <w:lvl w:ilvl="1">
      <w:lvlJc w:val="left"/>
      <w:lvlText w:val="(%2)"/>
      <w:numFmt w:val="lowerLetter"/>
      <w:start w:val="9"/>
    </w:lvl>
  </w:abstractNum>
  <w:abstractNum w:abstractNumId="106">
    <w:nsid w:val="6EAA85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07">
    <w:nsid w:val="3F06ECB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8">
    <w:nsid w:val="3B59480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09">
    <w:nsid w:val="6CAA2304"/>
    <w:multiLevelType w:val="hybridMultilevel"/>
    <w:lvl w:ilvl="0">
      <w:lvlJc w:val="left"/>
      <w:lvlText w:val="(%1)"/>
      <w:numFmt w:val="lowerRoman"/>
      <w:start w:val="4"/>
    </w:lvl>
  </w:abstractNum>
  <w:abstractNum w:abstractNumId="110">
    <w:nsid w:val="3F7C2FF4"/>
    <w:multiLevelType w:val="hybridMultilevel"/>
    <w:lvl w:ilvl="0">
      <w:lvlJc w:val="left"/>
      <w:lvlText w:val="%1"/>
      <w:numFmt w:val="lowerLetter"/>
      <w:start w:val="1"/>
    </w:lvl>
    <w:lvl w:ilvl="1">
      <w:lvlJc w:val="left"/>
      <w:lvlText w:val="(%2)"/>
      <w:numFmt w:val="lowerLetter"/>
      <w:start w:val="1"/>
    </w:lvl>
  </w:abstractNum>
  <w:abstractNum w:abstractNumId="111">
    <w:nsid w:val="25413BEC"/>
    <w:multiLevelType w:val="hybridMultilevel"/>
    <w:lvl w:ilvl="0">
      <w:lvlJc w:val="left"/>
      <w:lvlText w:val="(%1)"/>
      <w:numFmt w:val="lowerLetter"/>
      <w:start w:val="35"/>
    </w:lvl>
    <w:lvl w:ilvl="1">
      <w:lvlJc w:val="left"/>
      <w:lvlText w:val="(%2)"/>
      <w:numFmt w:val="lowerLetter"/>
      <w:start w:val="2"/>
    </w:lvl>
  </w:abstractNum>
  <w:abstractNum w:abstractNumId="112">
    <w:nsid w:val="17180B0B"/>
    <w:multiLevelType w:val="hybridMultilevel"/>
    <w:lvl w:ilvl="0">
      <w:lvlJc w:val="left"/>
      <w:lvlText w:val="(%1)"/>
      <w:numFmt w:val="lowerLetter"/>
      <w:start w:val="1"/>
    </w:lvl>
  </w:abstractNum>
  <w:abstractNum w:abstractNumId="113">
    <w:nsid w:val="579328B9"/>
    <w:multiLevelType w:val="hybridMultilevel"/>
    <w:lvl w:ilvl="0">
      <w:lvlJc w:val="left"/>
      <w:lvlText w:val="(%1)"/>
      <w:numFmt w:val="lowerLetter"/>
      <w:start w:val="3"/>
    </w:lvl>
  </w:abstractNum>
  <w:abstractNum w:abstractNumId="114">
    <w:nsid w:val="5D205E20"/>
    <w:multiLevelType w:val="hybridMultilevel"/>
    <w:lvl w:ilvl="0">
      <w:lvlJc w:val="left"/>
      <w:lvlText w:val="(%1)"/>
      <w:numFmt w:val="lowerLetter"/>
      <w:start w:val="5"/>
    </w:lvl>
    <w:lvl w:ilvl="1">
      <w:lvlJc w:val="left"/>
      <w:lvlText w:val="(%2)"/>
      <w:numFmt w:val="lowerRoman"/>
      <w:start w:val="1"/>
    </w:lvl>
  </w:abstractNum>
  <w:abstractNum w:abstractNumId="115">
    <w:nsid w:val="11CCA8BA"/>
    <w:multiLevelType w:val="hybridMultilevel"/>
    <w:lvl w:ilvl="0">
      <w:lvlJc w:val="left"/>
      <w:lvlText w:val="(%1)"/>
      <w:numFmt w:val="lowerRoman"/>
      <w:start w:val="1"/>
    </w:lvl>
  </w:abstractNum>
  <w:abstractNum w:abstractNumId="116">
    <w:nsid w:val="4D32AB86"/>
    <w:multiLevelType w:val="hybridMultilevel"/>
    <w:lvl w:ilvl="0">
      <w:lvlJc w:val="left"/>
      <w:lvlText w:val="(%1)"/>
      <w:numFmt w:val="lowerLetter"/>
      <w:start w:val="1"/>
    </w:lvl>
    <w:lvl w:ilvl="1">
      <w:lvlJc w:val="left"/>
      <w:lvlText w:val="(%2)"/>
      <w:numFmt w:val="lowerRoman"/>
      <w:start w:val="1"/>
    </w:lvl>
  </w:abstractNum>
  <w:abstractNum w:abstractNumId="117">
    <w:nsid w:val="3F07ACC3"/>
    <w:multiLevelType w:val="hybridMultilevel"/>
    <w:lvl w:ilvl="0">
      <w:lvlJc w:val="left"/>
      <w:lvlText w:val="(%1)"/>
      <w:numFmt w:val="lowerRoman"/>
      <w:start w:val="5"/>
    </w:lvl>
  </w:abstractNum>
  <w:abstractNum w:abstractNumId="118">
    <w:nsid w:val="6B47F63E"/>
    <w:multiLevelType w:val="hybridMultilevel"/>
    <w:lvl w:ilvl="0">
      <w:lvlJc w:val="left"/>
      <w:lvlText w:val="(%1)"/>
      <w:numFmt w:val="lowerLetter"/>
      <w:start w:val="2"/>
    </w:lvl>
  </w:abstractNum>
  <w:abstractNum w:abstractNumId="119">
    <w:nsid w:val="5CB44A05"/>
    <w:multiLevelType w:val="hybridMultilevel"/>
    <w:lvl w:ilvl="0">
      <w:lvlJc w:val="left"/>
      <w:lvlText w:val="(%1)"/>
      <w:numFmt w:val="lowerLetter"/>
      <w:start w:val="2"/>
    </w:lvl>
  </w:abstractNum>
  <w:abstractNum w:abstractNumId="120">
    <w:nsid w:val="16CF80F1"/>
    <w:multiLevelType w:val="hybridMultilevel"/>
    <w:lvl w:ilvl="0">
      <w:lvlJc w:val="left"/>
      <w:lvlText w:val="(%1)"/>
      <w:numFmt w:val="lowerLetter"/>
      <w:start w:val="4"/>
    </w:lvl>
  </w:abstractNum>
  <w:abstractNum w:abstractNumId="121">
    <w:nsid w:val="1C695DEC"/>
    <w:multiLevelType w:val="hybridMultilevel"/>
    <w:lvl w:ilvl="0">
      <w:lvlJc w:val="left"/>
      <w:lvlText w:val="(%1)"/>
      <w:numFmt w:val="lowerLetter"/>
      <w:start w:val="1"/>
    </w:lvl>
  </w:abstractNum>
  <w:abstractNum w:abstractNumId="122">
    <w:nsid w:val="3FCFAED9"/>
    <w:multiLevelType w:val="hybridMultilevel"/>
    <w:lvl w:ilvl="0">
      <w:lvlJc w:val="left"/>
      <w:lvlText w:val="%1"/>
      <w:numFmt w:val="lowerLetter"/>
      <w:start w:val="1"/>
    </w:lvl>
    <w:lvl w:ilvl="1">
      <w:lvlJc w:val="left"/>
      <w:lvlText w:val="(%2)"/>
      <w:numFmt w:val="lowerRoman"/>
      <w:start w:val="1"/>
    </w:lvl>
  </w:abstractNum>
  <w:abstractNum w:abstractNumId="123">
    <w:nsid w:val="F856867"/>
    <w:multiLevelType w:val="hybridMultilevel"/>
    <w:lvl w:ilvl="0">
      <w:lvlJc w:val="left"/>
      <w:lvlText w:val="(%1)"/>
      <w:numFmt w:val="lowerLetter"/>
      <w:start w:val="5"/>
    </w:lvl>
    <w:lvl w:ilvl="1">
      <w:lvlJc w:val="left"/>
      <w:lvlText w:val="(%2)"/>
      <w:numFmt w:val="lowerRoman"/>
      <w:start w:val="1"/>
    </w:lvl>
  </w:abstractNum>
  <w:abstractNum w:abstractNumId="124">
    <w:nsid w:val="11B1CC33"/>
    <w:multiLevelType w:val="hybridMultilevel"/>
    <w:lvl w:ilvl="0">
      <w:lvlJc w:val="left"/>
      <w:lvlText w:val="%1"/>
      <w:numFmt w:val="lowerLetter"/>
      <w:start w:val="1"/>
    </w:lvl>
    <w:lvl w:ilvl="1">
      <w:lvlJc w:val="left"/>
      <w:lvlText w:val="(%2)"/>
      <w:numFmt w:val="lowerRoman"/>
      <w:start w:val="4"/>
    </w:lvl>
  </w:abstractNum>
  <w:abstractNum w:abstractNumId="125">
    <w:nsid w:val="2E22FBB7"/>
    <w:multiLevelType w:val="hybridMultilevel"/>
    <w:lvl w:ilvl="0">
      <w:lvlJc w:val="left"/>
      <w:lvlText w:val="(%1)"/>
      <w:numFmt w:val="lowerLetter"/>
      <w:start w:val="6"/>
    </w:lvl>
    <w:lvl w:ilvl="1">
      <w:lvlJc w:val="left"/>
      <w:lvlText w:val="%2"/>
      <w:numFmt w:val="lowerRoman"/>
      <w:start w:val="1"/>
    </w:lvl>
  </w:abstractNum>
  <w:abstractNum w:abstractNumId="126">
    <w:nsid w:val="29934699"/>
    <w:multiLevelType w:val="hybridMultilevel"/>
    <w:lvl w:ilvl="0">
      <w:lvlJc w:val="left"/>
      <w:lvlText w:val="(%1)"/>
      <w:numFmt w:val="lowerLetter"/>
      <w:start w:val="1"/>
    </w:lvl>
  </w:abstractNum>
  <w:abstractNum w:abstractNumId="127">
    <w:nsid w:val="77485850"/>
    <w:multiLevelType w:val="hybridMultilevel"/>
    <w:lvl w:ilvl="0">
      <w:lvlJc w:val="left"/>
      <w:lvlText w:val="(%1)"/>
      <w:numFmt w:val="lowerLetter"/>
      <w:start w:val="2"/>
    </w:lvl>
  </w:abstractNum>
  <w:abstractNum w:abstractNumId="128">
    <w:nsid w:val="744939A3"/>
    <w:multiLevelType w:val="hybridMultilevel"/>
    <w:lvl w:ilvl="0">
      <w:lvlJc w:val="left"/>
      <w:lvlText w:val="(%1)"/>
      <w:numFmt w:val="lowerLetter"/>
      <w:start w:val="1"/>
    </w:lvl>
  </w:abstractNum>
  <w:abstractNum w:abstractNumId="129">
    <w:nsid w:val="4FA0D2E3"/>
    <w:multiLevelType w:val="hybridMultilevel"/>
    <w:lvl w:ilvl="0">
      <w:lvlJc w:val="left"/>
      <w:lvlText w:val="(%1)"/>
      <w:numFmt w:val="lowerLetter"/>
      <w:start w:val="2"/>
    </w:lvl>
  </w:abstractNum>
  <w:abstractNum w:abstractNumId="130">
    <w:nsid w:val="6B1D2C14"/>
    <w:multiLevelType w:val="hybridMultilevel"/>
    <w:lvl w:ilvl="0">
      <w:lvlJc w:val="left"/>
      <w:lvlText w:val="(%1)"/>
      <w:numFmt w:val="lowerLetter"/>
      <w:start w:val="1"/>
    </w:lvl>
  </w:abstractNum>
  <w:abstractNum w:abstractNumId="131">
    <w:nsid w:val="68B867D3"/>
    <w:multiLevelType w:val="hybridMultilevel"/>
    <w:lvl w:ilvl="0">
      <w:lvlJc w:val="left"/>
      <w:lvlText w:val="(%1)"/>
      <w:numFmt w:val="lowerLetter"/>
      <w:start w:val="2"/>
    </w:lvl>
  </w:abstractNum>
  <w:abstractNum w:abstractNumId="132">
    <w:nsid w:val="3F7F5DD9"/>
    <w:multiLevelType w:val="hybridMultilevel"/>
    <w:lvl w:ilvl="0">
      <w:lvlJc w:val="left"/>
      <w:lvlText w:val="(%1)"/>
      <w:numFmt w:val="lowerLetter"/>
      <w:start w:val="1"/>
    </w:lvl>
  </w:abstractNum>
  <w:abstractNum w:abstractNumId="133">
    <w:nsid w:val="2AE05A34"/>
    <w:multiLevelType w:val="hybridMultilevel"/>
    <w:lvl w:ilvl="0">
      <w:lvlJc w:val="left"/>
      <w:lvlText w:val="(%1)"/>
      <w:numFmt w:val="lowerLetter"/>
      <w:start w:val="4"/>
    </w:lvl>
  </w:abstractNum>
  <w:abstractNum w:abstractNumId="134">
    <w:nsid w:val="32794FF7"/>
    <w:multiLevelType w:val="hybridMultilevel"/>
    <w:lvl w:ilvl="0">
      <w:lvlJc w:val="left"/>
      <w:lvlText w:val="(%1)"/>
      <w:numFmt w:val="lowerLetter"/>
      <w:start w:val="1"/>
    </w:lvl>
  </w:abstractNum>
  <w:abstractNum w:abstractNumId="135">
    <w:nsid w:val="5454945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36">
    <w:nsid w:val="4DEFDFA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7">
    <w:nsid w:val="2123D5F2"/>
    <w:multiLevelType w:val="hybridMultilevel"/>
    <w:lvl w:ilvl="0">
      <w:lvlJc w:val="left"/>
      <w:lvlText w:val="(%1)"/>
      <w:numFmt w:val="lowerLetter"/>
      <w:start w:val="3"/>
    </w:lvl>
  </w:abstractNum>
  <w:abstractNum w:abstractNumId="138">
    <w:nsid w:val="135B8110"/>
    <w:multiLevelType w:val="hybridMultilevel"/>
    <w:lvl w:ilvl="0">
      <w:lvlJc w:val="left"/>
      <w:lvlText w:val="(%1)"/>
      <w:numFmt w:val="lowerLetter"/>
      <w:start w:val="1"/>
    </w:lvl>
  </w:abstractNum>
  <w:abstractNum w:abstractNumId="139">
    <w:nsid w:val="94927A8"/>
    <w:multiLevelType w:val="hybridMultilevel"/>
    <w:lvl w:ilvl="0">
      <w:lvlJc w:val="left"/>
      <w:lvlText w:val="(%1)"/>
      <w:numFmt w:val="lowerLetter"/>
      <w:start w:val="2"/>
    </w:lvl>
  </w:abstractNum>
  <w:abstractNum w:abstractNumId="140">
    <w:nsid w:val="DCDF8F6"/>
    <w:multiLevelType w:val="hybridMultilevel"/>
    <w:lvl w:ilvl="0">
      <w:lvlJc w:val="left"/>
      <w:lvlText w:val="%1"/>
      <w:numFmt w:val="lowerLetter"/>
      <w:start w:val="1"/>
    </w:lvl>
    <w:lvl w:ilvl="1">
      <w:lvlJc w:val="left"/>
      <w:lvlText w:val="(%2)"/>
      <w:numFmt w:val="lowerLetter"/>
      <w:start w:val="1"/>
    </w:lvl>
  </w:abstractNum>
  <w:abstractNum w:abstractNumId="141">
    <w:nsid w:val="52D7B105"/>
    <w:multiLevelType w:val="hybridMultilevel"/>
    <w:lvl w:ilvl="0">
      <w:lvlJc w:val="left"/>
      <w:lvlText w:val="(%1)"/>
      <w:numFmt w:val="lowerLetter"/>
      <w:start w:val="35"/>
    </w:lvl>
    <w:lvl w:ilvl="1">
      <w:lvlJc w:val="left"/>
      <w:lvlText w:val="%2"/>
      <w:numFmt w:val="lowerLetter"/>
      <w:start w:val="1"/>
    </w:lvl>
  </w:abstractNum>
  <w:abstractNum w:abstractNumId="142">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3">
    <w:nsid w:val="24E6040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4">
    <w:nsid w:val="2A6AD9B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45">
    <w:nsid w:val="BAAC1B4"/>
    <w:multiLevelType w:val="hybridMultilevel"/>
    <w:lvl w:ilvl="0">
      <w:lvlJc w:val="left"/>
      <w:lvlText w:val="(%1)"/>
      <w:numFmt w:val="lowerLetter"/>
      <w:start w:val="3"/>
    </w:lvl>
  </w:abstractNum>
  <w:abstractNum w:abstractNumId="146">
    <w:nsid w:val="36B2ACBC"/>
    <w:multiLevelType w:val="hybridMultilevel"/>
    <w:lvl w:ilvl="0">
      <w:lvlJc w:val="left"/>
      <w:lvlText w:val="(%1)"/>
      <w:numFmt w:val="lowerLetter"/>
      <w:start w:val="1"/>
    </w:lvl>
  </w:abstractNum>
  <w:abstractNum w:abstractNumId="147">
    <w:nsid w:val="779D8544"/>
    <w:multiLevelType w:val="hybridMultilevel"/>
    <w:lvl w:ilvl="0">
      <w:lvlJc w:val="left"/>
      <w:lvlText w:val="(%1)"/>
      <w:numFmt w:val="lowerLetter"/>
      <w:start w:val="1"/>
    </w:lvl>
  </w:abstractNum>
  <w:abstractNum w:abstractNumId="148">
    <w:nsid w:val="4AB26E78"/>
    <w:multiLevelType w:val="hybridMultilevel"/>
    <w:lvl w:ilvl="0">
      <w:lvlJc w:val="left"/>
      <w:lvlText w:val="%1"/>
      <w:numFmt w:val="lowerLetter"/>
      <w:start w:val="1"/>
    </w:lvl>
    <w:lvl w:ilvl="1">
      <w:lvlJc w:val="left"/>
      <w:lvlText w:val="(%2)"/>
      <w:numFmt w:val="lowerLetter"/>
      <w:start w:val="2"/>
    </w:lvl>
  </w:abstractNum>
  <w:abstractNum w:abstractNumId="149">
    <w:nsid w:val="21FAA2FA"/>
    <w:multiLevelType w:val="hybridMultilevel"/>
    <w:lvl w:ilvl="0">
      <w:lvlJc w:val="left"/>
      <w:lvlText w:val="(%1)"/>
      <w:numFmt w:val="lowerLetter"/>
      <w:start w:val="61"/>
    </w:lvl>
    <w:lvl w:ilvl="1">
      <w:lvlJc w:val="left"/>
      <w:lvlText w:val="(%2)"/>
      <w:numFmt w:val="lowerLetter"/>
      <w:start w:val="3"/>
    </w:lvl>
  </w:abstractNum>
  <w:abstractNum w:abstractNumId="150">
    <w:nsid w:val="5451CF49"/>
    <w:multiLevelType w:val="hybridMultilevel"/>
    <w:lvl w:ilvl="0">
      <w:lvlJc w:val="left"/>
      <w:lvlText w:val="(%1)"/>
      <w:numFmt w:val="lowerLetter"/>
      <w:start w:val="1"/>
    </w:lvl>
  </w:abstractNum>
  <w:abstractNum w:abstractNumId="151">
    <w:nsid w:val="6181EF69"/>
    <w:multiLevelType w:val="hybridMultilevel"/>
    <w:lvl w:ilvl="0">
      <w:lvlJc w:val="left"/>
      <w:lvlText w:val="(%1)"/>
      <w:numFmt w:val="lowerLetter"/>
      <w:start w:val="1"/>
    </w:lvl>
  </w:abstractNum>
  <w:abstractNum w:abstractNumId="152">
    <w:nsid w:val="3E6400E6"/>
    <w:multiLevelType w:val="hybridMultilevel"/>
    <w:lvl w:ilvl="0">
      <w:lvlJc w:val="left"/>
      <w:lvlText w:val="(%1)"/>
      <w:numFmt w:val="lowerLetter"/>
      <w:start w:val="1"/>
    </w:lvl>
  </w:abstractNum>
  <w:abstractNum w:abstractNumId="153">
    <w:nsid w:val="14217E23"/>
    <w:multiLevelType w:val="hybridMultilevel"/>
    <w:lvl w:ilvl="0">
      <w:lvlJc w:val="left"/>
      <w:lvlText w:val="(%1)"/>
      <w:numFmt w:val="lowerLetter"/>
      <w:start w:val="6"/>
    </w:lvl>
  </w:abstractNum>
  <w:abstractNum w:abstractNumId="154">
    <w:nsid w:val="710757D0"/>
    <w:multiLevelType w:val="hybridMultilevel"/>
    <w:lvl w:ilvl="0">
      <w:lvlJc w:val="left"/>
      <w:lvlText w:val="(%1)"/>
      <w:numFmt w:val="lowerRoman"/>
      <w:start w:val="1"/>
    </w:lvl>
  </w:abstractNum>
  <w:abstractNum w:abstractNumId="155">
    <w:nsid w:val="5015CD1A"/>
    <w:multiLevelType w:val="hybridMultilevel"/>
    <w:lvl w:ilvl="0">
      <w:lvlJc w:val="left"/>
      <w:lvlText w:val="(%1)"/>
      <w:numFmt w:val="lowerRoman"/>
      <w:start w:val="5"/>
    </w:lvl>
  </w:abstractNum>
  <w:abstractNum w:abstractNumId="156">
    <w:nsid w:val="424479DA"/>
    <w:multiLevelType w:val="hybridMultilevel"/>
    <w:lvl w:ilvl="0">
      <w:lvlJc w:val="left"/>
      <w:lvlText w:val="(%1)"/>
      <w:numFmt w:val="lowerRoman"/>
      <w:start w:val="2"/>
    </w:lvl>
  </w:abstractNum>
  <w:abstractNum w:abstractNumId="157">
    <w:nsid w:val="1A9A9E69"/>
    <w:multiLevelType w:val="hybridMultilevel"/>
    <w:lvl w:ilvl="0">
      <w:lvlJc w:val="left"/>
      <w:lvlText w:val="(%1)"/>
      <w:numFmt w:val="lowerRoman"/>
      <w:start w:val="1"/>
    </w:lvl>
  </w:abstractNum>
  <w:abstractNum w:abstractNumId="158">
    <w:nsid w:val="475E256A"/>
    <w:multiLevelType w:val="hybridMultilevel"/>
    <w:lvl w:ilvl="0">
      <w:lvlJc w:val="left"/>
      <w:lvlText w:val="(%1)"/>
      <w:numFmt w:val="lowerRoman"/>
      <w:start w:val="2"/>
    </w:lvl>
  </w:abstractNum>
  <w:abstractNum w:abstractNumId="159">
    <w:nsid w:val="368DB37E"/>
    <w:multiLevelType w:val="hybridMultilevel"/>
    <w:lvl w:ilvl="0">
      <w:lvlJc w:val="left"/>
      <w:lvlText w:val="(%1)"/>
      <w:numFmt w:val="lowerRoman"/>
      <w:start w:val="2"/>
    </w:lvl>
  </w:abstractNum>
  <w:abstractNum w:abstractNumId="160">
    <w:nsid w:val="6A3B714C"/>
    <w:multiLevelType w:val="hybridMultilevel"/>
    <w:lvl w:ilvl="0">
      <w:lvlJc w:val="left"/>
      <w:lvlText w:val="%1."/>
      <w:numFmt w:val="decimal"/>
      <w:start w:val="1"/>
    </w:lvl>
  </w:abstractNum>
  <w:abstractNum w:abstractNumId="161">
    <w:nsid w:val="327B517E"/>
    <w:multiLevelType w:val="hybridMultilevel"/>
    <w:lvl w:ilvl="0">
      <w:lvlJc w:val="left"/>
      <w:lvlText w:val="%1."/>
      <w:numFmt w:val="decimal"/>
      <w:start w:val="1"/>
    </w:lvl>
  </w:abstractNum>
  <w:abstractNum w:abstractNumId="162">
    <w:nsid w:val="1F461B51"/>
    <w:multiLevelType w:val="hybridMultilevel"/>
    <w:lvl w:ilvl="0">
      <w:lvlJc w:val="left"/>
      <w:lvlText w:val="%1."/>
      <w:numFmt w:val="decimal"/>
      <w:start w:val="2"/>
    </w:lvl>
  </w:abstractNum>
  <w:abstractNum w:abstractNumId="163">
    <w:nsid w:val="29BACF25"/>
    <w:multiLevelType w:val="hybridMultilevel"/>
    <w:lvl w:ilvl="0">
      <w:lvlJc w:val="left"/>
      <w:lvlText w:val="%1."/>
      <w:numFmt w:val="upperLetter"/>
      <w:start w:val="1"/>
    </w:lvl>
  </w:abstractNum>
  <w:abstractNum w:abstractNumId="164">
    <w:nsid w:val="5D5BABB3"/>
    <w:multiLevelType w:val="hybridMultilevel"/>
    <w:lvl w:ilvl="0">
      <w:lvlJc w:val="left"/>
      <w:lvlText w:val="%1."/>
      <w:numFmt w:val="upperLetter"/>
      <w:start w:val="2"/>
    </w:lvl>
  </w:abstractNum>
  <w:abstractNum w:abstractNumId="165">
    <w:nsid w:val="51BF6B48"/>
    <w:multiLevelType w:val="hybridMultilevel"/>
    <w:lvl w:ilvl="0">
      <w:lvlJc w:val="left"/>
      <w:lvlText w:val="%1."/>
      <w:numFmt w:val="lowerRoman"/>
      <w:start w:val="1"/>
    </w:lvl>
  </w:abstractNum>
  <w:abstractNum w:abstractNumId="166">
    <w:nsid w:val="7E0F6384"/>
    <w:multiLevelType w:val="hybridMultilevel"/>
    <w:lvl w:ilvl="0">
      <w:lvlJc w:val="left"/>
      <w:lvlText w:val="•"/>
      <w:numFmt w:val="bullet"/>
      <w:start w:val="1"/>
    </w:lvl>
  </w:abstractNum>
  <w:abstractNum w:abstractNumId="167">
    <w:nsid w:val="2B4B8B53"/>
    <w:multiLevelType w:val="hybridMultilevel"/>
    <w:lvl w:ilvl="0">
      <w:lvlJc w:val="left"/>
      <w:lvlText w:val="•"/>
      <w:numFmt w:val="bullet"/>
      <w:start w:val="1"/>
    </w:lvl>
  </w:abstractNum>
  <w:abstractNum w:abstractNumId="168">
    <w:nsid w:val="72E3413A"/>
    <w:multiLevelType w:val="hybridMultilevel"/>
    <w:lvl w:ilvl="0">
      <w:lvlJc w:val="left"/>
      <w:lvlText w:val="%1."/>
      <w:numFmt w:val="lowerRoman"/>
      <w:start w:val="2"/>
    </w:lvl>
  </w:abstractNum>
  <w:abstractNum w:abstractNumId="169">
    <w:nsid w:val="116AE494"/>
    <w:multiLevelType w:val="hybridMultilevel"/>
    <w:lvl w:ilvl="0">
      <w:lvlJc w:val="left"/>
      <w:lvlText w:val="%1."/>
      <w:numFmt w:val="upperLetter"/>
      <w:start w:val="3"/>
    </w:lvl>
  </w:abstractNum>
  <w:abstractNum w:abstractNumId="170">
    <w:nsid w:val="3494B2FB"/>
    <w:multiLevelType w:val="hybridMultilevel"/>
    <w:lvl w:ilvl="0">
      <w:lvlJc w:val="left"/>
      <w:lvlText w:val="•"/>
      <w:numFmt w:val="bullet"/>
      <w:start w:val="1"/>
    </w:lvl>
  </w:abstractNum>
  <w:abstractNum w:abstractNumId="171">
    <w:nsid w:val="B13A31"/>
    <w:multiLevelType w:val="hybridMultilevel"/>
    <w:lvl w:ilvl="0">
      <w:lvlJc w:val="left"/>
      <w:lvlText w:val="•"/>
      <w:numFmt w:val="bullet"/>
      <w:start w:val="1"/>
    </w:lvl>
  </w:abstractNum>
  <w:abstractNum w:abstractNumId="172">
    <w:nsid w:val="64429599"/>
    <w:multiLevelType w:val="hybridMultilevel"/>
    <w:lvl w:ilvl="0">
      <w:lvlJc w:val="left"/>
      <w:lvlText w:val="%1."/>
      <w:numFmt w:val="decimal"/>
      <w:start w:val="3"/>
    </w:lvl>
  </w:abstractNum>
  <w:abstractNum w:abstractNumId="173">
    <w:nsid w:val="631F1690"/>
    <w:multiLevelType w:val="hybridMultilevel"/>
    <w:lvl w:ilvl="0">
      <w:lvlJc w:val="left"/>
      <w:lvlText w:val="%1."/>
      <w:numFmt w:val="decimal"/>
      <w:start w:val="4"/>
    </w:lvl>
  </w:abstractNum>
  <w:abstractNum w:abstractNumId="174">
    <w:nsid w:val="25973E32"/>
    <w:multiLevelType w:val="hybridMultilevel"/>
    <w:lvl w:ilvl="0">
      <w:lvlJc w:val="left"/>
      <w:lvlText w:val="%1."/>
      <w:numFmt w:val="upperLetter"/>
      <w:start w:val="1"/>
    </w:lvl>
  </w:abstractNum>
  <w:abstractNum w:abstractNumId="175">
    <w:nsid w:val="EAD6F57"/>
    <w:multiLevelType w:val="hybridMultilevel"/>
    <w:lvl w:ilvl="0">
      <w:lvlJc w:val="left"/>
      <w:lvlText w:val="%1."/>
      <w:numFmt w:val="upperLetter"/>
      <w:start w:val="2"/>
    </w:lvl>
  </w:abstractNum>
  <w:abstractNum w:abstractNumId="176">
    <w:nsid w:val="6EC9D844"/>
    <w:multiLevelType w:val="hybridMultilevel"/>
    <w:lvl w:ilvl="0">
      <w:lvlJc w:val="left"/>
      <w:lvlText w:val="%1."/>
      <w:numFmt w:val="upperLetter"/>
      <w:start w:val="3"/>
    </w:lvl>
  </w:abstractNum>
  <w:abstractNum w:abstractNumId="177">
    <w:nsid w:val="5C49EAEE"/>
    <w:multiLevelType w:val="hybridMultilevel"/>
    <w:lvl w:ilvl="0">
      <w:lvlJc w:val="left"/>
      <w:lvlText w:val="%1."/>
      <w:numFmt w:val="upperLetter"/>
      <w:start w:val="4"/>
    </w:lvl>
  </w:abstractNum>
  <w:abstractNum w:abstractNumId="178">
    <w:nsid w:val="64AF49B"/>
    <w:multiLevelType w:val="hybridMultilevel"/>
    <w:lvl w:ilvl="0">
      <w:lvlJc w:val="left"/>
      <w:lvlText w:val="%1."/>
      <w:numFmt w:val="decimal"/>
      <w:start w:val="5"/>
    </w:lvl>
  </w:abstractNum>
  <w:abstractNum w:abstractNumId="179">
    <w:nsid w:val="397C46BC"/>
    <w:multiLevelType w:val="hybridMultilevel"/>
    <w:lvl w:ilvl="0">
      <w:lvlJc w:val="left"/>
      <w:lvlText w:val="%1."/>
      <w:numFmt w:val="upperLetter"/>
      <w:start w:val="1"/>
    </w:lvl>
  </w:abstractNum>
  <w:abstractNum w:abstractNumId="180">
    <w:nsid w:val="7E448DE9"/>
    <w:multiLevelType w:val="hybridMultilevel"/>
    <w:lvl w:ilvl="0">
      <w:lvlJc w:val="left"/>
      <w:lvlText w:val="%1."/>
      <w:numFmt w:val="upperLetter"/>
      <w:start w:val="2"/>
    </w:lvl>
  </w:abstractNum>
  <w:abstractNum w:abstractNumId="181">
    <w:nsid w:val="5A9CC3E5"/>
    <w:multiLevelType w:val="hybridMultilevel"/>
    <w:lvl w:ilvl="0">
      <w:lvlJc w:val="left"/>
      <w:lvlText w:val="%1."/>
      <w:numFmt w:val="upperLetter"/>
      <w:start w:val="3"/>
    </w:lvl>
  </w:abstractNum>
  <w:abstractNum w:abstractNumId="182">
    <w:nsid w:val="1AFE3625"/>
    <w:multiLevelType w:val="hybridMultilevel"/>
    <w:lvl w:ilvl="0">
      <w:lvlJc w:val="left"/>
      <w:lvlText w:val="%1."/>
      <w:numFmt w:val="upperLetter"/>
      <w:start w:val="4"/>
    </w:lvl>
  </w:abstractNum>
  <w:abstractNum w:abstractNumId="183">
    <w:nsid w:val="3CA88ECF"/>
    <w:multiLevelType w:val="hybridMultilevel"/>
    <w:lvl w:ilvl="0">
      <w:lvlJc w:val="left"/>
      <w:lvlText w:val="%1."/>
      <w:numFmt w:val="upperLetter"/>
      <w:start w:val="5"/>
    </w:lvl>
  </w:abstractNum>
  <w:abstractNum w:abstractNumId="184">
    <w:nsid w:val="6EBE4208"/>
    <w:multiLevelType w:val="hybridMultilevel"/>
    <w:lvl w:ilvl="0">
      <w:lvlJc w:val="left"/>
      <w:lvlText w:val="%1."/>
      <w:numFmt w:val="upperLetter"/>
      <w:start w:val="6"/>
    </w:lvl>
  </w:abstractNum>
  <w:abstractNum w:abstractNumId="185">
    <w:nsid w:val="C058DF5"/>
    <w:multiLevelType w:val="hybridMultilevel"/>
    <w:lvl w:ilvl="0">
      <w:lvlJc w:val="left"/>
      <w:lvlText w:val="%1."/>
      <w:numFmt w:val="decimal"/>
      <w:start w:val="6"/>
    </w:lvl>
  </w:abstractNum>
  <w:abstractNum w:abstractNumId="186">
    <w:nsid w:val="CBE5BE9"/>
    <w:multiLevelType w:val="hybridMultilevel"/>
    <w:lvl w:ilvl="0">
      <w:lvlJc w:val="left"/>
      <w:lvlText w:val="%1."/>
      <w:numFmt w:val="decimal"/>
      <w:start w:val="7"/>
    </w:lvl>
  </w:abstractNum>
  <w:abstractNum w:abstractNumId="187">
    <w:nsid w:val="3102BBE2"/>
    <w:multiLevelType w:val="hybridMultilevel"/>
    <w:lvl w:ilvl="0">
      <w:lvlJc w:val="left"/>
      <w:lvlText w:val="•"/>
      <w:numFmt w:val="bullet"/>
      <w:start w:val="1"/>
    </w:lvl>
  </w:abstractNum>
  <w:abstractNum w:abstractNumId="188">
    <w:nsid w:val="26A02C5E"/>
    <w:multiLevelType w:val="hybridMultilevel"/>
    <w:lvl w:ilvl="0">
      <w:lvlJc w:val="left"/>
      <w:lvlText w:val="•"/>
      <w:numFmt w:val="bullet"/>
      <w:start w:val="1"/>
    </w:lvl>
  </w:abstractNum>
  <w:abstractNum w:abstractNumId="189">
    <w:nsid w:val="541C8153"/>
    <w:multiLevelType w:val="hybridMultilevel"/>
    <w:lvl w:ilvl="0">
      <w:lvlJc w:val="left"/>
      <w:lvlText w:val="%1."/>
      <w:numFmt w:val="decimal"/>
      <w:start w:val="8"/>
    </w:lvl>
  </w:abstractNum>
  <w:abstractNum w:abstractNumId="190">
    <w:nsid w:val="67906F60"/>
    <w:multiLevelType w:val="hybridMultilevel"/>
    <w:lvl w:ilvl="0">
      <w:lvlJc w:val="left"/>
      <w:lvlText w:val="%1."/>
      <w:numFmt w:val="decimal"/>
      <w:start w:val="8"/>
    </w:lvl>
    <w:lvl w:ilvl="1">
      <w:lvlJc w:val="left"/>
      <w:lvlText w:val="•"/>
      <w:numFmt w:val="bullet"/>
      <w:start w:val="1"/>
    </w:lvl>
  </w:abstractNum>
  <w:abstractNum w:abstractNumId="191">
    <w:nsid w:val="10DB9DAA"/>
    <w:multiLevelType w:val="hybridMultilevel"/>
    <w:lvl w:ilvl="0">
      <w:lvlJc w:val="left"/>
      <w:lvlText w:val="•"/>
      <w:numFmt w:val="bullet"/>
      <w:start w:val="1"/>
    </w:lvl>
  </w:abstractNum>
  <w:abstractNum w:abstractNumId="192">
    <w:nsid w:val="697D2D2"/>
    <w:multiLevelType w:val="hybridMultilevel"/>
    <w:lvl w:ilvl="0">
      <w:lvlJc w:val="left"/>
      <w:lvlText w:val="%1."/>
      <w:numFmt w:val="decimal"/>
      <w:start w:val="10"/>
    </w:lvl>
  </w:abstractNum>
  <w:abstractNum w:abstractNumId="193">
    <w:nsid w:val="6D68AB2"/>
    <w:multiLevelType w:val="hybridMultilevel"/>
    <w:lvl w:ilvl="0">
      <w:lvlJc w:val="left"/>
      <w:lvlText w:val="%1."/>
      <w:numFmt w:val="decimal"/>
      <w:start w:val="11"/>
    </w:lvl>
  </w:abstractNum>
  <w:abstractNum w:abstractNumId="194">
    <w:nsid w:val="3A966CD0"/>
    <w:multiLevelType w:val="hybridMultilevel"/>
    <w:lvl w:ilvl="0">
      <w:lvlJc w:val="left"/>
      <w:lvlText w:val="%1."/>
      <w:numFmt w:val="upperLetter"/>
      <w:start w:val="1"/>
    </w:lvl>
  </w:abstractNum>
  <w:abstractNum w:abstractNumId="195">
    <w:nsid w:val="63F37E85"/>
    <w:multiLevelType w:val="hybridMultilevel"/>
    <w:lvl w:ilvl="0">
      <w:lvlJc w:val="left"/>
      <w:lvlText w:val="%1."/>
      <w:numFmt w:val="upperLetter"/>
      <w:start w:val="2"/>
    </w:lvl>
  </w:abstractNum>
  <w:abstractNum w:abstractNumId="196">
    <w:nsid w:val="5895F5FA"/>
    <w:multiLevelType w:val="hybridMultilevel"/>
    <w:lvl w:ilvl="0">
      <w:lvlJc w:val="left"/>
      <w:lvlText w:val="%1."/>
      <w:numFmt w:val="upperLetter"/>
      <w:start w:val="3"/>
    </w:lvl>
  </w:abstractNum>
  <w:abstractNum w:abstractNumId="197">
    <w:nsid w:val="38A5D054"/>
    <w:multiLevelType w:val="hybridMultilevel"/>
    <w:lvl w:ilvl="0">
      <w:lvlJc w:val="left"/>
      <w:lvlText w:val="%1"/>
      <w:numFmt w:val="upperLetter"/>
      <w:start w:val="1"/>
    </w:lvl>
    <w:lvl w:ilvl="1">
      <w:lvlJc w:val="left"/>
      <w:lvlText w:val="•"/>
      <w:numFmt w:val="bullet"/>
      <w:start w:val="1"/>
    </w:lvl>
  </w:abstractNum>
  <w:abstractNum w:abstractNumId="198">
    <w:nsid w:val="F3F09D8"/>
    <w:multiLevelType w:val="hybridMultilevel"/>
    <w:lvl w:ilvl="0">
      <w:lvlJc w:val="left"/>
      <w:lvlText w:val="%1."/>
      <w:numFmt w:val="lowerLetter"/>
      <w:start w:val="1"/>
    </w:lvl>
  </w:abstractNum>
  <w:abstractNum w:abstractNumId="199">
    <w:nsid w:val="4B793735"/>
    <w:multiLevelType w:val="hybridMultilevel"/>
    <w:lvl w:ilvl="0">
      <w:lvlJc w:val="left"/>
      <w:lvlText w:val="%1."/>
      <w:numFmt w:val="lowerLetter"/>
      <w:start w:val="1"/>
    </w:lvl>
  </w:abstractNum>
  <w:abstractNum w:abstractNumId="200">
    <w:nsid w:val="4A10B4E8"/>
    <w:multiLevelType w:val="hybridMultilevel"/>
    <w:lvl w:ilvl="0">
      <w:lvlJc w:val="left"/>
      <w:lvlText w:val="%1."/>
      <w:numFmt w:val="lowerLetter"/>
      <w:start w:val="1"/>
    </w:lvl>
  </w:abstractNum>
  <w:abstractNum w:abstractNumId="201">
    <w:nsid w:val="43D3BC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9"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40" Type="http://schemas.openxmlformats.org/officeDocument/2006/relationships/hyperlink" Target="https://www.sec.gov/Archives/edgar/data/1837240/000119312521354540/d254195dex21.htm" TargetMode="External"/><Relationship Id="rId141" Type="http://schemas.openxmlformats.org/officeDocument/2006/relationships/hyperlink" Target="https://www.sec.gov/Archives/edgar/data/1837240/000119312522172211/d369444dex31.htm" TargetMode="External"/><Relationship Id="rId142" Type="http://schemas.openxmlformats.org/officeDocument/2006/relationships/hyperlink" Target="https://www.sec.gov/Archives/edgar/data/1837240/000119312522172211/d369444dex32.htm" TargetMode="External"/><Relationship Id="rId143" Type="http://schemas.openxmlformats.org/officeDocument/2006/relationships/hyperlink" Target="https://www.sec.gov/Archives/edgar/data/1837240/000119312522172211/d369444dex41.htm" TargetMode="External"/><Relationship Id="rId144" Type="http://schemas.openxmlformats.org/officeDocument/2006/relationships/hyperlink" Target="https://www.sec.gov/Archives/edgar/data/1837240/000119312523191837/d518855dex41.htm" TargetMode="External"/><Relationship Id="rId145" Type="http://schemas.openxmlformats.org/officeDocument/2006/relationships/hyperlink" Target="https://www.sec.gov/Archives/edgar/data/1837240/000183724022000049/exhibit42-descriptionofsec.htm" TargetMode="External"/><Relationship Id="rId146" Type="http://schemas.openxmlformats.org/officeDocument/2006/relationships/hyperlink" Target="https://www.sec.gov/Archives/edgar/data/1837240/000119312523191872/d538793dex41.htm" TargetMode="External"/><Relationship Id="rId147" Type="http://schemas.openxmlformats.org/officeDocument/2006/relationships/hyperlink" Target="https://www.sec.gov/Archives/edgar/data/1837240/000119312522172211/d369444dex101.htm" TargetMode="External"/><Relationship Id="rId148" Type="http://schemas.openxmlformats.org/officeDocument/2006/relationships/hyperlink" Target="https://www.sec.gov/Archives/edgar/data/1837240/000119312522172211/d369444dex102.htm" TargetMode="External"/><Relationship Id="rId149" Type="http://schemas.openxmlformats.org/officeDocument/2006/relationships/hyperlink" Target="https://www.sec.gov/Archives/edgar/data/1837240/000119312522172211/d369444dex103.htm" TargetMode="External"/><Relationship Id="rId150" Type="http://schemas.openxmlformats.org/officeDocument/2006/relationships/hyperlink" Target="https://www.sec.gov/Archives/edgar/data/1837240/000119312522172211/d369444dex104.htm" TargetMode="External"/><Relationship Id="rId151" Type="http://schemas.openxmlformats.org/officeDocument/2006/relationships/hyperlink" Target="https://www.sec.gov/Archives/edgar/data/1837240/000119312522172211/d369444dex105.htm" TargetMode="External"/><Relationship Id="rId152" Type="http://schemas.openxmlformats.org/officeDocument/2006/relationships/hyperlink" Target="https://www.sec.gov/Archives/edgar/data/1837240/000119312522172211/d369444dex106.htm" TargetMode="External"/><Relationship Id="rId153" Type="http://schemas.openxmlformats.org/officeDocument/2006/relationships/hyperlink" Target="https://www.sec.gov/Archives/edgar/data/1837240/000119312522172211/d369444dex107.htm" TargetMode="External"/><Relationship Id="rId154" Type="http://schemas.openxmlformats.org/officeDocument/2006/relationships/hyperlink" Target="https://www.sec.gov/Archives/edgar/data/1837240/000119312522172211/d369444dex108.htm" TargetMode="External"/><Relationship Id="rId155" Type="http://schemas.openxmlformats.org/officeDocument/2006/relationships/hyperlink" Target="https://www.sec.gov/Archives/edgar/data/1837240/000119312522082790/d248993dex1026.htm" TargetMode="External"/><Relationship Id="rId156" Type="http://schemas.openxmlformats.org/officeDocument/2006/relationships/hyperlink" Target="https://www.sec.gov/Archives/edgar/data/1837240/000119312522082790/d248993dex1027.htm" TargetMode="External"/><Relationship Id="rId157" Type="http://schemas.openxmlformats.org/officeDocument/2006/relationships/hyperlink" Target="https://www.sec.gov/Archives/edgar/data/1837240/000119312522115252/d248993dex1028.htm" TargetMode="External"/><Relationship Id="rId158" Type="http://schemas.openxmlformats.org/officeDocument/2006/relationships/hyperlink" Target="https://www.sec.gov/Archives/edgar/data/1837240/000119312521078851/d331926dex106.htm" TargetMode="External"/><Relationship Id="rId160" Type="http://schemas.openxmlformats.org/officeDocument/2006/relationships/hyperlink" Target="https://www.sec.gov/Archives/edgar/data/1837240/000119312521354540/d254195dex105.htm" TargetMode="External"/><Relationship Id="rId161" Type="http://schemas.openxmlformats.org/officeDocument/2006/relationships/hyperlink" Target="https://www.sec.gov/Archives/edgar/data/1837240/000119312522156876/d535018dex1032.htm" TargetMode="External"/><Relationship Id="rId162" Type="http://schemas.openxmlformats.org/officeDocument/2006/relationships/hyperlink" Target="https://www.sec.gov/Archives/edgar/data/1837240/000119312522172211/d369444dex1017.htm" TargetMode="External"/><Relationship Id="rId163" Type="http://schemas.openxmlformats.org/officeDocument/2006/relationships/hyperlink" Target="https://www.sec.gov/Archives/edgar/data/1837240/000119312522172211/d369444dex1018.htm" TargetMode="External"/><Relationship Id="rId164" Type="http://schemas.openxmlformats.org/officeDocument/2006/relationships/hyperlink" Target="https://www.sec.gov/Archives/edgar/data/1837240/000183724024000039/exhibit101-walterodishooff.htm" TargetMode="External"/><Relationship Id="rId165" Type="http://schemas.openxmlformats.org/officeDocument/2006/relationships/hyperlink" Target="https://www.sec.gov/Archives/edgar/data/1837240/000119312522156876/d535018dex1033.htm" TargetMode="External"/><Relationship Id="rId166" Type="http://schemas.openxmlformats.org/officeDocument/2006/relationships/hyperlink" Target="https://www.sec.gov/Archives/edgar/data/1837240/000119312523191837/d518855dex101.htm" TargetMode="External"/><Relationship Id="rId167" Type="http://schemas.openxmlformats.org/officeDocument/2006/relationships/hyperlink" Target="https://www.sec.gov/Archives/edgar/data/1837240/000119312523191837/d518855dex103.htm" TargetMode="External"/><Relationship Id="rId168" Type="http://schemas.openxmlformats.org/officeDocument/2006/relationships/hyperlink" Target="https://www.sec.gov/Archives/edgar/data/1837240/000119312522289944/d417748dex101.htm" TargetMode="External"/><Relationship Id="rId169" Type="http://schemas.openxmlformats.org/officeDocument/2006/relationships/hyperlink" Target="https://www.sec.gov/Archives/edgar/data/1837240/000119312523249095/d867865dex101.htm" TargetMode="External"/><Relationship Id="rId170" Type="http://schemas.openxmlformats.org/officeDocument/2006/relationships/hyperlink" Target="https://www.sec.gov/Archives/edgar/data/1837240/000119312523249095/d867865dex102.htm" TargetMode="External"/><Relationship Id="rId171" Type="http://schemas.openxmlformats.org/officeDocument/2006/relationships/hyperlink" Target="https://www.sec.gov/Archives/edgar/data/1837240/000183724023000189/exb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2024-12-04T15:43:00Z</dcterms:created>
  <dcterms:modified xsi:type="dcterms:W3CDTF">2024-12-04T15:43:00Z</dcterms:modified>
</cp:coreProperties>
</file>