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60" w:after="283"/>
        <w:ind w:left="0" w:right="0" w:firstLine="36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60" w:after="60"/>
        <w:jc w:val="center"/>
        <w:rPr/>
      </w:pPr>
      <w:r>
        <w:rPr/>
      </w:r>
    </w:p>
    <w:tbl>
      <w:tblPr>
        <w:tblW w:w="2130" w:type="dxa"/>
        <w:jc w:val="center"/>
        <w:tblInd w:w="0" w:type="dxa"/>
        <w:tblCellMar>
          <w:top w:w="28" w:type="dxa"/>
          <w:left w:w="28" w:type="dxa"/>
          <w:bottom w:w="28" w:type="dxa"/>
          <w:right w:w="28" w:type="dxa"/>
        </w:tblCellMar>
      </w:tblPr>
      <w:tblGrid>
        <w:gridCol w:w="681"/>
        <w:gridCol w:w="599"/>
        <w:gridCol w:w="850"/>
      </w:tblGrid>
      <w:tr>
        <w:trPr/>
        <w:tc>
          <w:tcPr>
            <w:tcW w:w="68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300" w:before="0" w:after="2"/>
              <w:jc w:val="center"/>
              <w:rPr>
                <w:rFonts w:ascii="Times New Roman;sans-serif" w:hAnsi="Times New Roman;sans-serif"/>
                <w:b/>
                <w:color w:val="000000"/>
                <w:sz w:val="36"/>
              </w:rPr>
            </w:pPr>
            <w:r>
              <w:rPr>
                <w:rFonts w:ascii="Times New Roman;sans-serif" w:hAnsi="Times New Roman;sans-serif"/>
                <w:b/>
                <w:color w:val="000000"/>
                <w:sz w:val="36"/>
              </w:rPr>
              <w:t>FORM 10-Q</w:t>
            </w:r>
          </w:p>
        </w:tc>
      </w:tr>
    </w:tbl>
    <w:p>
      <w:pPr>
        <w:pStyle w:val="TextBody"/>
        <w:spacing w:before="60" w:after="283"/>
        <w:jc w:val="center"/>
        <w:rPr/>
      </w:pPr>
      <w:r>
        <w:rPr/>
      </w:r>
    </w:p>
    <w:p>
      <w:pPr>
        <w:pStyle w:val="TextBody"/>
        <w:spacing w:lineRule="auto" w:line="400" w:before="60" w:after="10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307"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25, 2023 </w:t>
      </w:r>
    </w:p>
    <w:p>
      <w:pPr>
        <w:pStyle w:val="TextBody"/>
        <w:spacing w:lineRule="auto" w:line="400"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307"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 to </w:t>
      </w:r>
    </w:p>
    <w:p>
      <w:pPr>
        <w:pStyle w:val="TextBody"/>
        <w:spacing w:before="60" w:after="283"/>
        <w:rPr/>
      </w:pPr>
      <w:r>
        <w:rPr/>
      </w:r>
    </w:p>
    <w:p>
      <w:pPr>
        <w:pStyle w:val="TextBody"/>
        <w:spacing w:lineRule="auto" w:line="400"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001-40175 </w:t>
      </w:r>
    </w:p>
    <w:p>
      <w:pPr>
        <w:pStyle w:val="TextBody"/>
        <w:spacing w:before="60" w:after="283"/>
        <w:jc w:val="center"/>
        <w:rPr/>
      </w:pPr>
      <w:r>
        <w:rPr/>
      </w:r>
    </w:p>
    <w:p>
      <w:pPr>
        <w:pStyle w:val="TextBody"/>
        <w:spacing w:lineRule="auto" w:line="400"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SYMBOTIC INC.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205" w:type="dxa"/>
        <w:jc w:val="left"/>
        <w:tblInd w:w="0" w:type="dxa"/>
        <w:tblCellMar>
          <w:top w:w="28" w:type="dxa"/>
          <w:left w:w="28" w:type="dxa"/>
          <w:bottom w:w="28" w:type="dxa"/>
          <w:right w:w="28" w:type="dxa"/>
        </w:tblCellMar>
      </w:tblPr>
      <w:tblGrid>
        <w:gridCol w:w="1027"/>
        <w:gridCol w:w="903"/>
        <w:gridCol w:w="912"/>
        <w:gridCol w:w="832"/>
        <w:gridCol w:w="832"/>
        <w:gridCol w:w="832"/>
        <w:gridCol w:w="832"/>
        <w:gridCol w:w="832"/>
        <w:gridCol w:w="848"/>
        <w:gridCol w:w="666"/>
        <w:gridCol w:w="666"/>
        <w:gridCol w:w="645"/>
        <w:gridCol w:w="109"/>
        <w:gridCol w:w="109"/>
        <w:gridCol w:w="160"/>
      </w:tblGrid>
      <w:tr>
        <w:trPr/>
        <w:tc>
          <w:tcPr>
            <w:tcW w:w="1027"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84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500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98-1572401</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500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7"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8" w:type="dxa"/>
            <w:gridSpan w:val="6"/>
            <w:vMerge w:val="restart"/>
            <w:tcBorders/>
            <w:shd w:fill="auto" w:val="clear"/>
            <w:tcMar>
              <w:top w:w="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200 Research Drive</w:t>
            </w:r>
          </w:p>
          <w:p>
            <w:pPr>
              <w:pStyle w:val="TableContents"/>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 xml:space="preserve">Wilmington, MA 01887 </w:t>
            </w:r>
          </w:p>
          <w:p>
            <w:pPr>
              <w:pStyle w:val="TableContents"/>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(978) 284-2800</w:t>
            </w:r>
          </w:p>
        </w:tc>
        <w:tc>
          <w:tcPr>
            <w:tcW w:w="1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8" w:type="dxa"/>
            <w:gridSpan w:val="6"/>
            <w:vMerge w:val="continue"/>
            <w:tcBorders/>
            <w:shd w:fill="auto" w:val="clear"/>
            <w:tcMar>
              <w:top w:w="0" w:type="dxa"/>
              <w:left w:w="0" w:type="dxa"/>
              <w:bottom w:w="0" w:type="dxa"/>
              <w:right w:w="0" w:type="dxa"/>
            </w:tcMar>
            <w:vAlign w:val="center"/>
          </w:tcPr>
          <w:p>
            <w:pPr>
              <w:pStyle w:val="Normal"/>
              <w:rPr/>
            </w:pPr>
            <w:r>
              <w:rPr/>
            </w:r>
          </w:p>
        </w:tc>
        <w:tc>
          <w:tcPr>
            <w:tcW w:w="1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8"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Including Zip Code, and Telephone Number, Including Area Code, of Registrant’s Principal Executive Offices)</w:t>
            </w:r>
          </w:p>
        </w:tc>
        <w:tc>
          <w:tcPr>
            <w:tcW w:w="1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spacing w:before="60" w:after="283"/>
        <w:ind w:left="0" w:right="0" w:firstLine="360"/>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ind w:left="0" w:right="0" w:firstLine="360"/>
                        <w:jc w:val="center"/>
                        <w:rPr/>
                      </w:pPr>
                      <w:r>
                        <w:rPr/>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CellMar>
          <w:top w:w="28" w:type="dxa"/>
          <w:left w:w="28" w:type="dxa"/>
          <w:bottom w:w="28" w:type="dxa"/>
          <w:right w:w="28" w:type="dxa"/>
        </w:tblCellMar>
      </w:tblPr>
      <w:tblGrid>
        <w:gridCol w:w="1543"/>
        <w:gridCol w:w="1349"/>
        <w:gridCol w:w="1365"/>
        <w:gridCol w:w="109"/>
        <w:gridCol w:w="109"/>
        <w:gridCol w:w="109"/>
        <w:gridCol w:w="536"/>
        <w:gridCol w:w="536"/>
        <w:gridCol w:w="538"/>
        <w:gridCol w:w="109"/>
        <w:gridCol w:w="109"/>
        <w:gridCol w:w="109"/>
        <w:gridCol w:w="1077"/>
        <w:gridCol w:w="1077"/>
        <w:gridCol w:w="1530"/>
      </w:tblGrid>
      <w:tr>
        <w:trPr/>
        <w:tc>
          <w:tcPr>
            <w:tcW w:w="1543"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r>
      <w:tr>
        <w:trPr/>
        <w:tc>
          <w:tcPr>
            <w:tcW w:w="425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SYM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60" w:after="283"/>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w:t>
      </w:r>
    </w:p>
    <w:p>
      <w:pPr>
        <w:pStyle w:val="TextBody"/>
        <w:spacing w:before="60" w:after="283"/>
        <w:rPr/>
      </w:pPr>
      <w:r>
        <w:rPr/>
      </w:r>
    </w:p>
    <w:p>
      <w:pPr>
        <w:pStyle w:val="TextBody"/>
        <w:spacing w:lineRule="auto" w:line="288" w:before="60" w:after="283"/>
        <w:jc w:val="both"/>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w:t>
      </w:r>
    </w:p>
    <w:p>
      <w:pPr>
        <w:pStyle w:val="TextBody"/>
        <w:spacing w:before="60" w:after="283"/>
        <w:jc w:val="both"/>
        <w:rPr/>
      </w:pPr>
      <w:r>
        <w:rPr/>
      </w:r>
    </w:p>
    <w:p>
      <w:pPr>
        <w:pStyle w:val="TextBody"/>
        <w:spacing w:lineRule="auto" w:line="288" w:before="6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626" w:type="dxa"/>
        <w:jc w:val="left"/>
        <w:tblInd w:w="0" w:type="dxa"/>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53" w:after="30"/>
              <w:ind w:left="0" w:right="0" w:firstLine="360"/>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53" w:after="30"/>
              <w:ind w:left="0" w:right="0" w:firstLine="360"/>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53" w:after="30"/>
              <w:ind w:left="0" w:right="0" w:firstLine="360"/>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53" w:after="30"/>
              <w:ind w:left="0" w:right="0" w:firstLine="360"/>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53" w:after="30"/>
              <w:ind w:left="0" w:right="0" w:firstLine="360"/>
              <w:jc w:val="center"/>
              <w:rPr>
                <w:color w:val="000000"/>
              </w:rPr>
            </w:pPr>
            <w:r>
              <w:rPr>
                <w:color w:val="000000"/>
              </w:rPr>
              <w:t>☒</w:t>
            </w:r>
          </w:p>
        </w:tc>
      </w:tr>
    </w:tbl>
    <w:p>
      <w:pPr>
        <w:pStyle w:val="TextBody"/>
        <w:spacing w:lineRule="auto" w:line="400" w:before="60" w:after="283"/>
        <w:jc w:val="center"/>
        <w:rPr>
          <w:color w:val="000000"/>
        </w:rPr>
      </w:pPr>
      <w:r>
        <w:rPr>
          <w:color w:val="000000"/>
        </w:rPr>
        <w:t>                </w:t>
      </w:r>
    </w:p>
    <w:p>
      <w:pPr>
        <w:pStyle w:val="TextBody"/>
        <w:spacing w:lineRule="auto" w:line="288" w:before="6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before="60" w:after="283"/>
        <w:rPr/>
      </w:pPr>
      <w:r>
        <w:rPr/>
      </w:r>
    </w:p>
    <w:p>
      <w:pPr>
        <w:pStyle w:val="TextBody"/>
        <w:spacing w:lineRule="auto" w:line="307" w:before="60" w:after="283"/>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color w:val="000000"/>
        </w:rPr>
        <w:t>☒</w:t>
      </w:r>
    </w:p>
    <w:p>
      <w:pPr>
        <w:pStyle w:val="TextBody"/>
        <w:spacing w:before="60" w:after="283"/>
        <w:rPr/>
      </w:pPr>
      <w:r>
        <w:rPr/>
      </w:r>
    </w:p>
    <w:p>
      <w:pPr>
        <w:pStyle w:val="TextBody"/>
        <w:spacing w:lineRule="auto" w:line="400" w:before="60" w:after="283"/>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May 3, 2023, the following shares of common stock were outstanding:</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61,446,512 shares of Class A common stock, par value $0.0001 per share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77,080,090 shares of Class V-1 common stock, par value $0.0001 per share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416,933,025 shares of Class V-3 common stock, par value $0.0001 per share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ind w:left="0" w:right="0" w:firstLine="360"/>
                        <w:jc w:val="center"/>
                        <w:rPr/>
                      </w:pPr>
                      <w:r>
                        <w:rPr/>
                      </w:r>
                    </w:p>
                  </w:txbxContent>
                </v:textbox>
              </v:rect>
            </w:pict>
          </mc:Fallback>
        </mc:AlternateContent>
      </w:r>
    </w:p>
    <w:p>
      <w:pPr>
        <w:pStyle w:val="TextBody"/>
        <w:spacing w:before="60" w:after="283"/>
        <w:ind w:left="0" w:right="0" w:firstLine="360"/>
        <w:rPr/>
      </w:pPr>
      <w:r>
        <w:rPr/>
      </w:r>
    </w:p>
    <w:tbl>
      <w:tblPr>
        <w:tblW w:w="10205" w:type="dxa"/>
        <w:jc w:val="center"/>
        <w:tblInd w:w="0" w:type="dxa"/>
        <w:tblCellMar>
          <w:top w:w="28" w:type="dxa"/>
          <w:left w:w="28" w:type="dxa"/>
          <w:bottom w:w="28" w:type="dxa"/>
          <w:right w:w="28" w:type="dxa"/>
        </w:tblCellMar>
      </w:tblPr>
      <w:tblGrid>
        <w:gridCol w:w="235"/>
        <w:gridCol w:w="207"/>
        <w:gridCol w:w="208"/>
        <w:gridCol w:w="3002"/>
        <w:gridCol w:w="2987"/>
        <w:gridCol w:w="2992"/>
        <w:gridCol w:w="167"/>
        <w:gridCol w:w="167"/>
        <w:gridCol w:w="240"/>
      </w:tblGrid>
      <w:tr>
        <w:trPr/>
        <w:tc>
          <w:tcPr>
            <w:tcW w:w="23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002"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299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jc w:val="center"/>
              <w:rPr/>
            </w:pPr>
            <w:hyperlink w:anchor="i1c2133f8d4f64e8c92de66ac5662d81f_10">
              <w:r>
                <w:rPr>
                  <w:rStyle w:val="InternetLink"/>
                  <w:rFonts w:ascii="Times New Roman;sans-serif" w:hAnsi="Times New Roman;sans-serif"/>
                  <w:b/>
                  <w:color w:val="0E32E1"/>
                  <w:sz w:val="20"/>
                  <w:u w:val="single"/>
                </w:rPr>
                <w:t>Part I - Financial Information</w:t>
              </w:r>
            </w:hyperlink>
          </w:p>
        </w:tc>
        <w:tc>
          <w:tcPr>
            <w:tcW w:w="5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13">
              <w:r>
                <w:rPr>
                  <w:rStyle w:val="InternetLink"/>
                  <w:rFonts w:ascii="Times New Roman;sans-serif" w:hAnsi="Times New Roman;sans-serif"/>
                  <w:b w:val="false"/>
                  <w:color w:val="0000FF"/>
                  <w:sz w:val="20"/>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13">
              <w:r>
                <w:rPr>
                  <w:rStyle w:val="InternetLink"/>
                  <w:rFonts w:ascii="Times New Roman;sans-serif" w:hAnsi="Times New Roman;sans-serif"/>
                  <w:b w:val="false"/>
                  <w:strike w:val="false"/>
                  <w:dstrike w:val="false"/>
                  <w:color w:val="000000"/>
                  <w:sz w:val="20"/>
                  <w:u w:val="none"/>
                  <w:effect w:val="none"/>
                </w:rPr>
                <w:t>1</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13">
              <w:r>
                <w:rPr>
                  <w:rStyle w:val="InternetLink"/>
                  <w:rFonts w:ascii="Times New Roman;sans-serif" w:hAnsi="Times New Roman;sans-serif"/>
                  <w:b w:val="false"/>
                  <w:color w:val="0000FF"/>
                  <w:sz w:val="20"/>
                  <w:u w:val="single"/>
                </w:rPr>
                <w:t>Unaudited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13">
              <w:r>
                <w:rPr>
                  <w:rStyle w:val="InternetLink"/>
                  <w:rFonts w:ascii="Times New Roman;sans-serif" w:hAnsi="Times New Roman;sans-serif"/>
                  <w:b w:val="false"/>
                  <w:strike w:val="false"/>
                  <w:dstrike w:val="false"/>
                  <w:color w:val="000000"/>
                  <w:sz w:val="20"/>
                  <w:u w:val="none"/>
                  <w:effect w:val="none"/>
                </w:rPr>
                <w:t>1</w:t>
              </w:r>
            </w:hyperlink>
          </w:p>
        </w:tc>
      </w:tr>
      <w:tr>
        <w:trPr/>
        <w:tc>
          <w:tcPr>
            <w:tcW w:w="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16">
              <w:r>
                <w:rPr>
                  <w:rStyle w:val="InternetLink"/>
                </w:rPr>
                <w:t>Unaudited Condensed Consolidated Balance Sheets as of</w:t>
              </w:r>
            </w:hyperlink>
            <w:hyperlink w:anchor="i1c2133f8d4f64e8c92de66ac5662d81f_16">
              <w:r>
                <w:rPr>
                  <w:rStyle w:val="InternetLink"/>
                </w:rPr>
                <w:t xml:space="preserve"> March 25, 2023</w:t>
              </w:r>
            </w:hyperlink>
            <w:hyperlink w:anchor="i1c2133f8d4f64e8c92de66ac5662d81f_16">
              <w:r>
                <w:rPr>
                  <w:rStyle w:val="InternetLink"/>
                </w:rPr>
                <w:t xml:space="preserve"> and September 24, 2022</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16">
              <w:r>
                <w:rPr>
                  <w:rStyle w:val="InternetLink"/>
                  <w:rFonts w:ascii="Times New Roman;sans-serif" w:hAnsi="Times New Roman;sans-serif"/>
                  <w:b w:val="false"/>
                  <w:strike w:val="false"/>
                  <w:dstrike w:val="false"/>
                  <w:color w:val="000000"/>
                  <w:sz w:val="20"/>
                  <w:u w:val="none"/>
                  <w:effect w:val="none"/>
                </w:rPr>
                <w:t>1</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pPr>
            <w:hyperlink w:anchor="i1c2133f8d4f64e8c92de66ac5662d81f_19">
              <w:r>
                <w:rPr>
                  <w:rStyle w:val="InternetLink"/>
                </w:rPr>
                <w:t xml:space="preserve">Unaudited Condensed Consolidated Statements of Operations for the </w:t>
              </w:r>
            </w:hyperlink>
            <w:hyperlink w:anchor="i1c2133f8d4f64e8c92de66ac5662d81f_19">
              <w:r>
                <w:rPr>
                  <w:rStyle w:val="InternetLink"/>
                </w:rPr>
                <w:t>T</w:t>
              </w:r>
            </w:hyperlink>
            <w:hyperlink w:anchor="i1c2133f8d4f64e8c92de66ac5662d81f_19">
              <w:r>
                <w:rPr>
                  <w:rStyle w:val="InternetLink"/>
                </w:rPr>
                <w:t xml:space="preserve">hree and </w:t>
              </w:r>
            </w:hyperlink>
            <w:hyperlink w:anchor="i1c2133f8d4f64e8c92de66ac5662d81f_19">
              <w:r>
                <w:rPr>
                  <w:rStyle w:val="InternetLink"/>
                </w:rPr>
                <w:t>S</w:t>
              </w:r>
            </w:hyperlink>
            <w:hyperlink w:anchor="i1c2133f8d4f64e8c92de66ac5662d81f_19">
              <w:r>
                <w:rPr>
                  <w:rStyle w:val="InternetLink"/>
                </w:rPr>
                <w:t>ix</w:t>
              </w:r>
            </w:hyperlink>
            <w:hyperlink w:anchor="i1c2133f8d4f64e8c92de66ac5662d81f_19">
              <w:r>
                <w:rPr>
                  <w:rStyle w:val="InternetLink"/>
                </w:rPr>
                <w:t xml:space="preserve"> Months Ended </w:t>
              </w:r>
            </w:hyperlink>
            <w:hyperlink w:anchor="i1c2133f8d4f64e8c92de66ac5662d81f_19">
              <w:r>
                <w:rPr>
                  <w:rStyle w:val="InternetLink"/>
                </w:rPr>
                <w:t>March 25, 2023</w:t>
              </w:r>
            </w:hyperlink>
            <w:hyperlink w:anchor="i1c2133f8d4f64e8c92de66ac5662d81f_19">
              <w:r>
                <w:rPr>
                  <w:rStyle w:val="InternetLink"/>
                </w:rPr>
                <w:t xml:space="preserve"> and </w:t>
              </w:r>
            </w:hyperlink>
            <w:hyperlink w:anchor="i1c2133f8d4f64e8c92de66ac5662d81f_19">
              <w:r>
                <w:rPr>
                  <w:rStyle w:val="InternetLink"/>
                </w:rPr>
                <w:t>March 26, 2022</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19">
              <w:r>
                <w:rPr>
                  <w:rStyle w:val="InternetLink"/>
                  <w:rFonts w:ascii="Times New Roman;sans-serif" w:hAnsi="Times New Roman;sans-serif"/>
                  <w:b w:val="false"/>
                  <w:strike w:val="false"/>
                  <w:dstrike w:val="false"/>
                  <w:color w:val="000000"/>
                  <w:sz w:val="20"/>
                  <w:u w:val="none"/>
                  <w:effect w:val="none"/>
                </w:rPr>
                <w:t>3</w:t>
              </w:r>
            </w:hyperlink>
          </w:p>
        </w:tc>
      </w:tr>
      <w:tr>
        <w:trPr/>
        <w:tc>
          <w:tcPr>
            <w:tcW w:w="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22">
              <w:r>
                <w:rPr>
                  <w:rStyle w:val="InternetLink"/>
                </w:rPr>
                <w:t>Unaudited Condensed Consolidated Statements of Comprehensive Loss for the Three</w:t>
              </w:r>
            </w:hyperlink>
            <w:hyperlink w:anchor="i1c2133f8d4f64e8c92de66ac5662d81f_22">
              <w:r>
                <w:rPr>
                  <w:rStyle w:val="InternetLink"/>
                </w:rPr>
                <w:t xml:space="preserve"> and Six</w:t>
              </w:r>
            </w:hyperlink>
            <w:hyperlink w:anchor="i1c2133f8d4f64e8c92de66ac5662d81f_22">
              <w:r>
                <w:rPr>
                  <w:rStyle w:val="InternetLink"/>
                </w:rPr>
                <w:t xml:space="preserve"> Months Ended </w:t>
              </w:r>
            </w:hyperlink>
            <w:hyperlink w:anchor="i1c2133f8d4f64e8c92de66ac5662d81f_22">
              <w:r>
                <w:rPr>
                  <w:rStyle w:val="InternetLink"/>
                </w:rPr>
                <w:t>March 25, 2023</w:t>
              </w:r>
            </w:hyperlink>
            <w:hyperlink w:anchor="i1c2133f8d4f64e8c92de66ac5662d81f_22">
              <w:r>
                <w:rPr>
                  <w:rStyle w:val="InternetLink"/>
                </w:rPr>
                <w:t xml:space="preserve"> and </w:t>
              </w:r>
            </w:hyperlink>
            <w:hyperlink w:anchor="i1c2133f8d4f64e8c92de66ac5662d81f_22">
              <w:r>
                <w:rPr>
                  <w:rStyle w:val="InternetLink"/>
                </w:rPr>
                <w:t>March 26, 2022</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22">
              <w:r>
                <w:rPr>
                  <w:rStyle w:val="InternetLink"/>
                  <w:rFonts w:ascii="Times New Roman;sans-serif" w:hAnsi="Times New Roman;sans-serif"/>
                  <w:b w:val="false"/>
                  <w:strike w:val="false"/>
                  <w:dstrike w:val="false"/>
                  <w:color w:val="000000"/>
                  <w:sz w:val="20"/>
                  <w:u w:val="none"/>
                  <w:effect w:val="none"/>
                </w:rPr>
                <w:t>4</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25">
              <w:r>
                <w:rPr>
                  <w:rStyle w:val="InternetLink"/>
                </w:rPr>
                <w:t>Unaudited Condensed Consolidated Statements of Changes in Redeemable Preferred and Common Units and Equity (Deficit) for the Three</w:t>
              </w:r>
            </w:hyperlink>
            <w:hyperlink w:anchor="i1c2133f8d4f64e8c92de66ac5662d81f_25">
              <w:r>
                <w:rPr>
                  <w:rStyle w:val="InternetLink"/>
                </w:rPr>
                <w:t xml:space="preserve"> and Six</w:t>
              </w:r>
            </w:hyperlink>
            <w:hyperlink w:anchor="i1c2133f8d4f64e8c92de66ac5662d81f_25">
              <w:r>
                <w:rPr>
                  <w:rStyle w:val="InternetLink"/>
                </w:rPr>
                <w:t xml:space="preserve"> Months Ended </w:t>
              </w:r>
            </w:hyperlink>
            <w:hyperlink w:anchor="i1c2133f8d4f64e8c92de66ac5662d81f_25">
              <w:r>
                <w:rPr>
                  <w:rStyle w:val="InternetLink"/>
                </w:rPr>
                <w:t>March 25, 2023</w:t>
              </w:r>
            </w:hyperlink>
            <w:hyperlink w:anchor="i1c2133f8d4f64e8c92de66ac5662d81f_25">
              <w:r>
                <w:rPr>
                  <w:rStyle w:val="InternetLink"/>
                </w:rPr>
                <w:t xml:space="preserve"> and </w:t>
              </w:r>
            </w:hyperlink>
            <w:hyperlink w:anchor="i1c2133f8d4f64e8c92de66ac5662d81f_25">
              <w:r>
                <w:rPr>
                  <w:rStyle w:val="InternetLink"/>
                </w:rPr>
                <w:t>March 26, 2022</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25">
              <w:r>
                <w:rPr>
                  <w:rStyle w:val="InternetLink"/>
                  <w:rFonts w:ascii="Times New Roman;sans-serif" w:hAnsi="Times New Roman;sans-serif"/>
                  <w:b w:val="false"/>
                  <w:strike w:val="false"/>
                  <w:dstrike w:val="false"/>
                  <w:color w:val="000000"/>
                  <w:sz w:val="20"/>
                  <w:u w:val="none"/>
                  <w:effect w:val="none"/>
                </w:rPr>
                <w:t>5</w:t>
              </w:r>
            </w:hyperlink>
          </w:p>
        </w:tc>
      </w:tr>
      <w:tr>
        <w:trPr/>
        <w:tc>
          <w:tcPr>
            <w:tcW w:w="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28">
              <w:r>
                <w:rPr>
                  <w:rStyle w:val="InternetLink"/>
                </w:rPr>
                <w:t xml:space="preserve">Unaudited Condensed Consolidated Statements of Cash Flows for the </w:t>
              </w:r>
            </w:hyperlink>
            <w:hyperlink w:anchor="i1c2133f8d4f64e8c92de66ac5662d81f_28">
              <w:r>
                <w:rPr>
                  <w:rStyle w:val="InternetLink"/>
                </w:rPr>
                <w:t>Six</w:t>
              </w:r>
            </w:hyperlink>
            <w:hyperlink w:anchor="i1c2133f8d4f64e8c92de66ac5662d81f_28">
              <w:r>
                <w:rPr>
                  <w:rStyle w:val="InternetLink"/>
                </w:rPr>
                <w:t xml:space="preserve"> Months Ended </w:t>
              </w:r>
            </w:hyperlink>
            <w:hyperlink w:anchor="i1c2133f8d4f64e8c92de66ac5662d81f_28">
              <w:r>
                <w:rPr>
                  <w:rStyle w:val="InternetLink"/>
                </w:rPr>
                <w:t>March 25, 2</w:t>
              </w:r>
            </w:hyperlink>
            <w:hyperlink w:anchor="i1c2133f8d4f64e8c92de66ac5662d81f_28">
              <w:r>
                <w:rPr>
                  <w:rStyle w:val="InternetLink"/>
                </w:rPr>
                <w:t>023</w:t>
              </w:r>
            </w:hyperlink>
            <w:hyperlink w:anchor="i1c2133f8d4f64e8c92de66ac5662d81f_28">
              <w:r>
                <w:rPr>
                  <w:rStyle w:val="InternetLink"/>
                </w:rPr>
                <w:t xml:space="preserve"> and </w:t>
              </w:r>
            </w:hyperlink>
            <w:hyperlink w:anchor="i1c2133f8d4f64e8c92de66ac5662d81f_28">
              <w:r>
                <w:rPr>
                  <w:rStyle w:val="InternetLink"/>
                </w:rPr>
                <w:t>March 26, 2022</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28">
              <w:r>
                <w:rPr>
                  <w:rStyle w:val="InternetLink"/>
                  <w:rFonts w:ascii="Times New Roman;sans-serif" w:hAnsi="Times New Roman;sans-serif"/>
                  <w:b w:val="false"/>
                  <w:strike w:val="false"/>
                  <w:dstrike w:val="false"/>
                  <w:color w:val="000000"/>
                  <w:sz w:val="20"/>
                  <w:u w:val="none"/>
                  <w:effect w:val="none"/>
                </w:rPr>
                <w:t>8</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31">
              <w:r>
                <w:rPr>
                  <w:rStyle w:val="InternetLink"/>
                  <w:rFonts w:ascii="Times New Roman;sans-serif" w:hAnsi="Times New Roman;sans-serif"/>
                  <w:b w:val="false"/>
                  <w:color w:val="0000FF"/>
                  <w:sz w:val="20"/>
                  <w:u w:val="single"/>
                </w:rPr>
                <w:t>Notes to Unaudited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31">
              <w:r>
                <w:rPr>
                  <w:rStyle w:val="InternetLink"/>
                  <w:rFonts w:ascii="Times New Roman;sans-serif" w:hAnsi="Times New Roman;sans-serif"/>
                  <w:b w:val="false"/>
                  <w:strike w:val="false"/>
                  <w:dstrike w:val="false"/>
                  <w:color w:val="000000"/>
                  <w:sz w:val="20"/>
                  <w:u w:val="none"/>
                  <w:effect w:val="none"/>
                </w:rPr>
                <w:t>9</w:t>
              </w:r>
            </w:hyperlink>
          </w:p>
        </w:tc>
      </w:tr>
      <w:tr>
        <w:trPr/>
        <w:tc>
          <w:tcPr>
            <w:tcW w:w="6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79">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79">
              <w:r>
                <w:rPr>
                  <w:rStyle w:val="InternetLink"/>
                  <w:rFonts w:ascii="Times New Roman;sans-serif" w:hAnsi="Times New Roman;sans-serif"/>
                  <w:b w:val="false"/>
                  <w:strike w:val="false"/>
                  <w:dstrike w:val="false"/>
                  <w:color w:val="000000"/>
                  <w:sz w:val="20"/>
                  <w:u w:val="none"/>
                  <w:effect w:val="none"/>
                </w:rPr>
                <w:t>23</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82">
              <w:r>
                <w:rPr>
                  <w:rStyle w:val="InternetLink"/>
                  <w:rFonts w:ascii="Times New Roman;sans-serif" w:hAnsi="Times New Roman;sans-serif"/>
                  <w:b w:val="false"/>
                  <w:color w:val="0E32E1"/>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82">
              <w:r>
                <w:rPr>
                  <w:rStyle w:val="InternetLink"/>
                  <w:rFonts w:ascii="Times New Roman;sans-serif" w:hAnsi="Times New Roman;sans-serif"/>
                  <w:b w:val="false"/>
                  <w:strike w:val="false"/>
                  <w:dstrike w:val="false"/>
                  <w:color w:val="000000"/>
                  <w:sz w:val="20"/>
                  <w:u w:val="none"/>
                  <w:effect w:val="none"/>
                </w:rPr>
                <w:t>34</w:t>
              </w:r>
            </w:hyperlink>
          </w:p>
        </w:tc>
      </w:tr>
      <w:tr>
        <w:trPr/>
        <w:tc>
          <w:tcPr>
            <w:tcW w:w="6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85">
              <w:r>
                <w:rPr>
                  <w:rStyle w:val="InternetLink"/>
                  <w:rFonts w:ascii="Times New Roman;sans-serif" w:hAnsi="Times New Roman;sans-serif"/>
                  <w:b w:val="false"/>
                  <w:color w:val="0E32E1"/>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85">
              <w:r>
                <w:rPr>
                  <w:rStyle w:val="InternetLink"/>
                  <w:rFonts w:ascii="Times New Roman;sans-serif" w:hAnsi="Times New Roman;sans-serif"/>
                  <w:b w:val="false"/>
                  <w:strike w:val="false"/>
                  <w:dstrike w:val="false"/>
                  <w:color w:val="000000"/>
                  <w:sz w:val="20"/>
                  <w:u w:val="none"/>
                  <w:effect w:val="none"/>
                </w:rPr>
                <w:t>34</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jc w:val="center"/>
              <w:rPr/>
            </w:pPr>
            <w:hyperlink w:anchor="i1c2133f8d4f64e8c92de66ac5662d81f_88">
              <w:r>
                <w:rPr>
                  <w:rStyle w:val="InternetLink"/>
                  <w:rFonts w:ascii="Times New Roman;sans-serif" w:hAnsi="Times New Roman;sans-serif"/>
                  <w:b/>
                  <w:color w:val="0E32E1"/>
                  <w:sz w:val="20"/>
                  <w:u w:val="single"/>
                </w:rPr>
                <w:t>Part II - Other Information</w:t>
              </w:r>
            </w:hyperlink>
          </w:p>
        </w:tc>
        <w:tc>
          <w:tcPr>
            <w:tcW w:w="574"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91">
              <w:r>
                <w:rPr>
                  <w:rStyle w:val="InternetLink"/>
                  <w:rFonts w:ascii="Times New Roman;sans-serif" w:hAnsi="Times New Roman;sans-serif"/>
                  <w:b w:val="false"/>
                  <w:color w:val="0E32E1"/>
                  <w:sz w:val="20"/>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91">
              <w:r>
                <w:rPr>
                  <w:rStyle w:val="InternetLink"/>
                  <w:rFonts w:ascii="Times New Roman;sans-serif" w:hAnsi="Times New Roman;sans-serif"/>
                  <w:b w:val="false"/>
                  <w:strike w:val="false"/>
                  <w:dstrike w:val="false"/>
                  <w:color w:val="000000"/>
                  <w:sz w:val="20"/>
                  <w:u w:val="none"/>
                  <w:effect w:val="none"/>
                </w:rPr>
                <w:t>35</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94">
              <w:r>
                <w:rPr>
                  <w:rStyle w:val="InternetLink"/>
                  <w:rFonts w:ascii="Times New Roman;sans-serif" w:hAnsi="Times New Roman;sans-serif"/>
                  <w:b w:val="false"/>
                  <w:color w:val="0E32E1"/>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94">
              <w:r>
                <w:rPr>
                  <w:rStyle w:val="InternetLink"/>
                  <w:rFonts w:ascii="Times New Roman;sans-serif" w:hAnsi="Times New Roman;sans-serif"/>
                  <w:b w:val="false"/>
                  <w:strike w:val="false"/>
                  <w:dstrike w:val="false"/>
                  <w:color w:val="000000"/>
                  <w:sz w:val="20"/>
                  <w:u w:val="none"/>
                  <w:effect w:val="none"/>
                </w:rPr>
                <w:t>35</w:t>
              </w:r>
            </w:hyperlink>
          </w:p>
        </w:tc>
      </w:tr>
      <w:tr>
        <w:trPr/>
        <w:tc>
          <w:tcPr>
            <w:tcW w:w="6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97">
              <w:r>
                <w:rPr>
                  <w:rStyle w:val="InternetLink"/>
                  <w:rFonts w:ascii="Times New Roman;sans-serif" w:hAnsi="Times New Roman;sans-serif"/>
                  <w:b w:val="false"/>
                  <w:color w:val="0E32E1"/>
                  <w:sz w:val="20"/>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97">
              <w:r>
                <w:rPr>
                  <w:rStyle w:val="InternetLink"/>
                  <w:rFonts w:ascii="Times New Roman;sans-serif" w:hAnsi="Times New Roman;sans-serif"/>
                  <w:b w:val="false"/>
                  <w:strike w:val="false"/>
                  <w:dstrike w:val="false"/>
                  <w:color w:val="000000"/>
                  <w:sz w:val="20"/>
                  <w:u w:val="none"/>
                  <w:effect w:val="none"/>
                </w:rPr>
                <w:t>35</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100">
              <w:r>
                <w:rPr>
                  <w:rStyle w:val="InternetLink"/>
                  <w:rFonts w:ascii="Times New Roman;sans-serif" w:hAnsi="Times New Roman;sans-serif"/>
                  <w:b w:val="false"/>
                  <w:color w:val="0E32E1"/>
                  <w:sz w:val="20"/>
                  <w:u w:val="single"/>
                </w:rPr>
                <w:t>Defaults Upon Senior Securities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100">
              <w:r>
                <w:rPr>
                  <w:rStyle w:val="InternetLink"/>
                  <w:rFonts w:ascii="Times New Roman;sans-serif" w:hAnsi="Times New Roman;sans-serif"/>
                  <w:b w:val="false"/>
                  <w:strike w:val="false"/>
                  <w:dstrike w:val="false"/>
                  <w:color w:val="000000"/>
                  <w:sz w:val="20"/>
                  <w:u w:val="none"/>
                  <w:effect w:val="none"/>
                </w:rPr>
                <w:t>35</w:t>
              </w:r>
            </w:hyperlink>
          </w:p>
        </w:tc>
      </w:tr>
      <w:tr>
        <w:trPr/>
        <w:tc>
          <w:tcPr>
            <w:tcW w:w="6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103">
              <w:r>
                <w:rPr>
                  <w:rStyle w:val="InternetLink"/>
                  <w:rFonts w:ascii="Times New Roman;sans-serif" w:hAnsi="Times New Roman;sans-serif"/>
                  <w:b w:val="false"/>
                  <w:color w:val="0E32E1"/>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103">
              <w:r>
                <w:rPr>
                  <w:rStyle w:val="InternetLink"/>
                  <w:rFonts w:ascii="Times New Roman;sans-serif" w:hAnsi="Times New Roman;sans-serif"/>
                  <w:b w:val="false"/>
                  <w:strike w:val="false"/>
                  <w:dstrike w:val="false"/>
                  <w:color w:val="000000"/>
                  <w:sz w:val="20"/>
                  <w:u w:val="none"/>
                  <w:effect w:val="none"/>
                </w:rPr>
                <w:t>35</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106">
              <w:r>
                <w:rPr>
                  <w:rStyle w:val="InternetLink"/>
                  <w:rFonts w:ascii="Times New Roman;sans-serif" w:hAnsi="Times New Roman;sans-serif"/>
                  <w:b w:val="false"/>
                  <w:color w:val="0E32E1"/>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right"/>
              <w:rPr/>
            </w:pPr>
            <w:hyperlink w:anchor="i1c2133f8d4f64e8c92de66ac5662d81f_106">
              <w:r>
                <w:rPr>
                  <w:rStyle w:val="InternetLink"/>
                  <w:rFonts w:ascii="Times New Roman;sans-serif" w:hAnsi="Times New Roman;sans-serif"/>
                  <w:b w:val="false"/>
                  <w:strike w:val="false"/>
                  <w:dstrike w:val="false"/>
                  <w:color w:val="000000"/>
                  <w:sz w:val="20"/>
                  <w:u w:val="none"/>
                  <w:effect w:val="none"/>
                </w:rPr>
                <w:t>35</w:t>
              </w:r>
            </w:hyperlink>
          </w:p>
        </w:tc>
      </w:tr>
      <w:tr>
        <w:trPr/>
        <w:tc>
          <w:tcPr>
            <w:tcW w:w="6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81" w:type="dxa"/>
            <w:gridSpan w:val="3"/>
            <w:tcBorders/>
            <w:shd w:fill="FFFFFF" w:val="clear"/>
            <w:tcMar>
              <w:top w:w="0" w:type="dxa"/>
              <w:left w:w="0" w:type="dxa"/>
              <w:bottom w:w="0" w:type="dxa"/>
              <w:right w:w="0" w:type="dxa"/>
            </w:tcMar>
            <w:vAlign w:val="center"/>
          </w:tcPr>
          <w:p>
            <w:pPr>
              <w:pStyle w:val="TableContents"/>
              <w:spacing w:lineRule="auto" w:line="300" w:before="0" w:after="2"/>
              <w:ind w:left="0" w:right="0" w:hanging="180"/>
              <w:jc w:val="left"/>
              <w:rPr/>
            </w:pPr>
            <w:hyperlink w:anchor="i1c2133f8d4f64e8c92de66ac5662d81f_109">
              <w:r>
                <w:rPr>
                  <w:rStyle w:val="InternetLink"/>
                  <w:rFonts w:ascii="Times New Roman;sans-serif" w:hAnsi="Times New Roman;sans-serif"/>
                  <w:b w:val="false"/>
                  <w:color w:val="0E32E1"/>
                  <w:sz w:val="20"/>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109">
              <w:r>
                <w:rPr>
                  <w:rStyle w:val="InternetLink"/>
                  <w:rFonts w:ascii="Times New Roman;sans-serif" w:hAnsi="Times New Roman;sans-serif"/>
                  <w:b w:val="false"/>
                  <w:strike w:val="false"/>
                  <w:dstrike w:val="false"/>
                  <w:color w:val="000000"/>
                  <w:sz w:val="20"/>
                  <w:u w:val="none"/>
                  <w:effect w:val="none"/>
                </w:rPr>
                <w:t>36</w:t>
              </w:r>
            </w:hyperlink>
          </w:p>
        </w:tc>
      </w:tr>
      <w:tr>
        <w:trPr/>
        <w:tc>
          <w:tcPr>
            <w:tcW w:w="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1"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pPr>
            <w:hyperlink w:anchor="i1c2133f8d4f64e8c92de66ac5662d81f_112">
              <w:r>
                <w:rPr>
                  <w:rStyle w:val="InternetLink"/>
                  <w:rFonts w:ascii="Times New Roman;sans-serif" w:hAnsi="Times New Roman;sans-serif"/>
                  <w:b w:val="false"/>
                  <w:color w:val="0E32E1"/>
                  <w:sz w:val="20"/>
                  <w:u w:val="single"/>
                </w:rPr>
                <w:t>Signatures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300" w:before="0" w:after="2"/>
              <w:jc w:val="right"/>
              <w:rPr/>
            </w:pPr>
            <w:hyperlink w:anchor="i1c2133f8d4f64e8c92de66ac5662d81f_112">
              <w:r>
                <w:rPr>
                  <w:rStyle w:val="InternetLink"/>
                  <w:rFonts w:ascii="Times New Roman;sans-serif" w:hAnsi="Times New Roman;sans-serif"/>
                  <w:b w:val="false"/>
                  <w:strike w:val="false"/>
                  <w:dstrike w:val="false"/>
                  <w:color w:val="000000"/>
                  <w:sz w:val="20"/>
                  <w:u w:val="none"/>
                  <w:effect w:val="none"/>
                </w:rPr>
                <w:t>37</w:t>
              </w:r>
            </w:hyperlink>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60" w:after="283"/>
        <w:ind w:left="0" w:right="0" w:firstLine="360"/>
        <w:rPr/>
      </w:pPr>
      <w:r>
        <w:rPr/>
      </w:r>
    </w:p>
    <w:p>
      <w:pPr>
        <w:pStyle w:val="TextBody"/>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CAUTIONARY NOTE ON FORWARD-LOOKING STATEMENTS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backlog, or results of operations, are forward-looking statements. These statements may be preceded by, followed by or include the words “believes,” “estimates,” “expects,” “projects,” “forecasts,” “may,” “will,” “should,” “seeks,” “plans,” “scheduled,” “anticipates,” or “intends” or similar expressions.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contained in this Quarterly Report on Form 10-Q include, but are not limited to, statements about our ability to, or expectations that we will: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meet the technical requirements of existing or future supply agreements with our customers, including with respect to existing backlog;</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expand our target customer base and maintain our existing customer base;</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anticipate industry trends;</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maintain and enhance our platform;</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maintain the listing of the Symbotic Class A Common Stock on NASDAQ;</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develop, design, and sell systems that are differentiated from those of competitors;</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execute our research and development strategy;</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acquire, maintain, protect, and enforce intellectual property;</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attract, train, and retain effective officers, key employees, or directors;</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comply with laws and regulations applicable to our business;</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stay abreast of modified or new laws and regulations applicable to our business;</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execute its growth strategy;</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successfully defend litigation;</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issue equity securities in connection with future transactions;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meet future liquidity requirements and, if applicable, comply with restrictive covenants related to long-term indebtedness;</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timely and effectively remediate any material weaknesses in our internal control over financial reporting;</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anticipate rapid technological changes; and</w:t>
      </w:r>
    </w:p>
    <w:p>
      <w:pPr>
        <w:pStyle w:val="TextBody"/>
        <w:spacing w:lineRule="auto" w:line="288" w:before="60" w:after="283"/>
        <w:ind w:left="0" w:right="0" w:firstLine="360"/>
        <w:rPr/>
      </w:pPr>
      <w:r>
        <w:rPr>
          <w:color w:val="000000"/>
        </w:rPr>
        <w:t>•</w:t>
      </w:r>
      <w:r>
        <w:rPr>
          <w:rFonts w:ascii="Times New Roman;sans-serif" w:hAnsi="Times New Roman;sans-serif"/>
          <w:b w:val="false"/>
          <w:color w:val="000000"/>
          <w:sz w:val="20"/>
        </w:rPr>
        <w:t>effectively respond to general economic and business conditions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made in this Quarterly Report on Form 10-Q also include, but are not limited to, statements with respect to:</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future performance of our business and operations;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backlog;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expectations regarding revenues, expenses, adjusted EBITDA loss and anticipated cash needs;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expectations regarding cash flow, liquidity and sources of funding;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expectations regarding capital expenditures;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effects of pending and future legislation;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business disruption;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risks related to the impact of the COVID-19 pandemic on the financial condition and results of operations of Symbotic;</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disruption to the business due to our dependency on certain customers;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increasing competition in the warehouse automation industry;</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delays in the design, production or launch of our systems and products;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failure to meet customers’ requirements under existing or future contracts or customers’ expectations as to price or pricing structure;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defects in new products or enhancements to existing products;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fluctuation of operating results from period to period due to a number of factors, including the pace of customer adoption of our new products and services and any changes in our product mix that shift too far into lower gross margin products.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Such forward-looking statements involve risks and uncertainties that may cause actual events, results or performance to differ materially from those indicated by such statements. Certain of these risks are identified and discussed in our Annual Report on Form 10-K filed with the U.S. Securities and Exchange Commission (“SEC”) on December 9, 2022.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made in this Quarterly Report on Form 10-Q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Quarterly Report on Form 10-Q, whether as a result of new information, future events or otherwise, except as required by law.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factors previously disclosed in our Annual Report on Form 10-K filed with the SEC on December 9, 2022,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the effects of pending and future legislation; and risks related to the impact of the COVID-19 pandemic on the financial condition and results of operations of Symbotic.</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Annualized, pro forma, projected and estimated numbers are not forecasts and may not reflect actual results.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Quarterly Report on Form 10-Q, the terms “Symbotic,” “we,” “us,” and “our” refer to Symbotic Inc. and its subsidiaries, unless the context indicates otherwise. </w:t>
      </w:r>
    </w:p>
    <w:p>
      <w:pPr>
        <w:pStyle w:val="TextBody"/>
        <w:spacing w:before="60" w:after="283"/>
        <w:ind w:left="0" w:right="0" w:firstLine="360"/>
        <w:rPr/>
      </w:pPr>
      <w:r>
        <w:rPr/>
      </w:r>
    </w:p>
    <w:p>
      <w:pPr>
        <w:pStyle w:val="TextBody"/>
        <w:spacing w:before="6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before="6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6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pStyle w:val="TextBody"/>
        <w:spacing w:before="60" w:after="283"/>
        <w:ind w:left="0" w:right="0" w:firstLine="360"/>
        <w:rPr/>
      </w:pPr>
      <w:r>
        <w:rPr/>
      </w:r>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Symbotic Inc. </w:t>
      </w:r>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Balance Sheets </w:t>
      </w:r>
    </w:p>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left"/>
        <w:tblInd w:w="0" w:type="dxa"/>
        <w:tblCellMar>
          <w:top w:w="28" w:type="dxa"/>
          <w:left w:w="28" w:type="dxa"/>
          <w:bottom w:w="28" w:type="dxa"/>
          <w:right w:w="28" w:type="dxa"/>
        </w:tblCellMar>
      </w:tblPr>
      <w:tblGrid>
        <w:gridCol w:w="2741"/>
        <w:gridCol w:w="2285"/>
        <w:gridCol w:w="2234"/>
        <w:gridCol w:w="223"/>
        <w:gridCol w:w="874"/>
        <w:gridCol w:w="115"/>
        <w:gridCol w:w="109"/>
        <w:gridCol w:w="109"/>
        <w:gridCol w:w="109"/>
        <w:gridCol w:w="248"/>
        <w:gridCol w:w="974"/>
        <w:gridCol w:w="184"/>
      </w:tblGrid>
      <w:tr>
        <w:trPr/>
        <w:tc>
          <w:tcPr>
            <w:tcW w:w="2741"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256,954 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353,457 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101,816 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expenses</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605,398 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909,529 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631,263 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665,440 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394,244 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522,957 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long-term</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562,323 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3,000,000,000 shares authorized, 61,283,689 and 57,718,836 shares issued and outstanding at March 25, 2023 and September 24, 2022, respectively</w:t>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822"/>
        <w:gridCol w:w="2349"/>
        <w:gridCol w:w="2356"/>
        <w:gridCol w:w="211"/>
        <w:gridCol w:w="831"/>
        <w:gridCol w:w="109"/>
        <w:gridCol w:w="109"/>
        <w:gridCol w:w="109"/>
        <w:gridCol w:w="109"/>
        <w:gridCol w:w="211"/>
        <w:gridCol w:w="831"/>
        <w:gridCol w:w="158"/>
      </w:tblGrid>
      <w:tr>
        <w:trPr/>
        <w:tc>
          <w:tcPr>
            <w:tcW w:w="2822"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23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Class V-1 Common Stock, 1,000,000,000 shares authorized, 77,080,090 and 79,237,388 shares issued and outstanding at March 25, 2023 and September 24, 2022, respectively</w:t>
            </w:r>
          </w:p>
        </w:tc>
        <w:tc>
          <w:tcPr>
            <w:tcW w:w="10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Class V-3 Common Stock, 450,000,000 shares authorized, 416,933,025 shares issued and outstanding at March 25, 2023 and September 24, 2022</w:t>
            </w:r>
          </w:p>
        </w:tc>
        <w:tc>
          <w:tcPr>
            <w:tcW w:w="10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 - warrants</w:t>
            </w:r>
          </w:p>
        </w:tc>
        <w:tc>
          <w:tcPr>
            <w:tcW w:w="10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1,237,865 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(1,286,569)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631,263 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ind w:left="0" w:right="0" w:firstLine="360"/>
        <w:jc w:val="center"/>
        <w:rPr/>
      </w:pPr>
      <w:r>
        <w:rPr/>
      </w:r>
    </w:p>
    <w:p>
      <w:pPr>
        <w:pStyle w:val="TextBody"/>
        <w:spacing w:lineRule="auto" w:line="268" w:before="60" w:after="283"/>
        <w:ind w:left="0" w:right="0" w:firstLine="36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Operations </w:t>
      </w:r>
    </w:p>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information)</w:t>
      </w:r>
    </w:p>
    <w:p>
      <w:pPr>
        <w:pStyle w:val="TextBody"/>
        <w:spacing w:before="60" w:after="283"/>
        <w:ind w:left="0" w:right="0" w:firstLine="360"/>
        <w:jc w:val="center"/>
        <w:rPr/>
      </w:pPr>
      <w:r>
        <w:rPr/>
      </w:r>
    </w:p>
    <w:p>
      <w:pPr>
        <w:pStyle w:val="TextBody"/>
        <w:spacing w:before="60" w:after="283"/>
        <w:ind w:left="0" w:right="0" w:firstLine="360"/>
        <w:rPr/>
      </w:pPr>
      <w:r>
        <w:rPr/>
      </w:r>
    </w:p>
    <w:tbl>
      <w:tblPr>
        <w:tblW w:w="10205" w:type="dxa"/>
        <w:jc w:val="left"/>
        <w:tblInd w:w="0" w:type="dxa"/>
        <w:tblCellMar>
          <w:top w:w="28" w:type="dxa"/>
          <w:left w:w="28" w:type="dxa"/>
          <w:bottom w:w="28" w:type="dxa"/>
          <w:right w:w="28" w:type="dxa"/>
        </w:tblCellMar>
      </w:tblPr>
      <w:tblGrid>
        <w:gridCol w:w="1721"/>
        <w:gridCol w:w="1300"/>
        <w:gridCol w:w="1310"/>
        <w:gridCol w:w="237"/>
        <w:gridCol w:w="884"/>
        <w:gridCol w:w="115"/>
        <w:gridCol w:w="109"/>
        <w:gridCol w:w="109"/>
        <w:gridCol w:w="109"/>
        <w:gridCol w:w="234"/>
        <w:gridCol w:w="802"/>
        <w:gridCol w:w="121"/>
        <w:gridCol w:w="109"/>
        <w:gridCol w:w="109"/>
        <w:gridCol w:w="109"/>
        <w:gridCol w:w="237"/>
        <w:gridCol w:w="884"/>
        <w:gridCol w:w="115"/>
        <w:gridCol w:w="109"/>
        <w:gridCol w:w="109"/>
        <w:gridCol w:w="109"/>
        <w:gridCol w:w="222"/>
        <w:gridCol w:w="873"/>
        <w:gridCol w:w="169"/>
      </w:tblGrid>
      <w:tr>
        <w:trPr/>
        <w:tc>
          <w:tcPr>
            <w:tcW w:w="1721"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0"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r>
      <w:tr>
        <w:trPr/>
        <w:tc>
          <w:tcPr>
            <w:tcW w:w="4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160,794 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213,060 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373,991 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141,974 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Legacy Warehouse unitholders prior to the Business Combination</w:t>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Loss per share of Class A Common Stock: </w:t>
            </w:r>
            <w:r>
              <w:rPr>
                <w:rFonts w:ascii="Times New Roman;sans-serif" w:hAnsi="Times New Roman;sans-serif"/>
                <w:b w:val="false"/>
                <w:color w:val="000000"/>
                <w:sz w:val="13"/>
              </w:rPr>
              <w:t>(1)</w:t>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3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w:t>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60,503,119 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59,352,634 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40" w:before="0" w:after="2"/>
        <w:jc w:val="both"/>
        <w:rPr/>
      </w:pPr>
      <w:r>
        <w:rPr>
          <w:rFonts w:ascii="Times New Roman;sans-serif" w:hAnsi="Times New Roman;sans-serif"/>
          <w:b w:val="false"/>
          <w:color w:val="000000"/>
          <w:sz w:val="16"/>
        </w:rPr>
        <w:t xml:space="preserve">(1) Loss per share information has not been presented for periods prior to the Business Combination (as defined in Note 1, </w:t>
      </w:r>
      <w:r>
        <w:rPr>
          <w:rFonts w:ascii="Times New Roman;sans-serif" w:hAnsi="Times New Roman;sans-serif"/>
          <w:b w:val="false"/>
          <w:i/>
          <w:color w:val="000000"/>
          <w:sz w:val="16"/>
        </w:rPr>
        <w:t>Organization and Operations</w:t>
      </w:r>
      <w:r>
        <w:rPr>
          <w:rFonts w:ascii="Times New Roman;sans-serif" w:hAnsi="Times New Roman;sans-serif"/>
          <w:b w:val="false"/>
          <w:color w:val="000000"/>
          <w:sz w:val="16"/>
        </w:rPr>
        <w:t>), as it resulted in values that would not be meaningful to the users of these unaudited condensed consolidated financial statements. This has been indicated on these statements of operations as “N/M”.</w:t>
      </w:r>
    </w:p>
    <w:p>
      <w:pPr>
        <w:pStyle w:val="TextBody"/>
        <w:spacing w:before="60" w:after="283"/>
        <w:ind w:left="0" w:right="0" w:firstLine="360"/>
        <w:jc w:val="center"/>
        <w:rPr/>
      </w:pPr>
      <w:r>
        <w:rPr/>
      </w:r>
    </w:p>
    <w:p>
      <w:pPr>
        <w:pStyle w:val="TextBody"/>
        <w:spacing w:lineRule="auto" w:line="268" w:before="60" w:after="283"/>
        <w:ind w:left="0" w:right="0" w:firstLine="36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Comprehensive Loss </w:t>
      </w:r>
    </w:p>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before="60" w:after="283"/>
        <w:ind w:left="0" w:right="0" w:firstLine="360"/>
        <w:rPr/>
      </w:pPr>
      <w:r>
        <w:rPr/>
      </w:r>
    </w:p>
    <w:tbl>
      <w:tblPr>
        <w:tblW w:w="10205" w:type="dxa"/>
        <w:jc w:val="left"/>
        <w:tblInd w:w="0" w:type="dxa"/>
        <w:tblCellMar>
          <w:top w:w="28" w:type="dxa"/>
          <w:left w:w="28" w:type="dxa"/>
          <w:bottom w:w="28" w:type="dxa"/>
          <w:right w:w="28" w:type="dxa"/>
        </w:tblCellMar>
      </w:tblPr>
      <w:tblGrid>
        <w:gridCol w:w="1724"/>
        <w:gridCol w:w="1398"/>
        <w:gridCol w:w="1420"/>
        <w:gridCol w:w="223"/>
        <w:gridCol w:w="803"/>
        <w:gridCol w:w="115"/>
        <w:gridCol w:w="109"/>
        <w:gridCol w:w="109"/>
        <w:gridCol w:w="109"/>
        <w:gridCol w:w="223"/>
        <w:gridCol w:w="803"/>
        <w:gridCol w:w="115"/>
        <w:gridCol w:w="109"/>
        <w:gridCol w:w="109"/>
        <w:gridCol w:w="109"/>
        <w:gridCol w:w="215"/>
        <w:gridCol w:w="882"/>
        <w:gridCol w:w="111"/>
        <w:gridCol w:w="109"/>
        <w:gridCol w:w="109"/>
        <w:gridCol w:w="109"/>
        <w:gridCol w:w="222"/>
        <w:gridCol w:w="802"/>
        <w:gridCol w:w="168"/>
      </w:tblGrid>
      <w:tr>
        <w:trPr/>
        <w:tc>
          <w:tcPr>
            <w:tcW w:w="1724"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r>
      <w:tr>
        <w:trPr/>
        <w:tc>
          <w:tcPr>
            <w:tcW w:w="45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454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Legacy Warehouse unitholders prior to the Business Combination</w:t>
            </w:r>
          </w:p>
        </w:tc>
        <w:tc>
          <w:tcPr>
            <w:tcW w:w="10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(110,091)</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unrealized gain on investments, net of income taxes of $0 for the three and six months ended March 26, 2022</w:t>
            </w:r>
          </w:p>
        </w:tc>
        <w:tc>
          <w:tcPr>
            <w:tcW w:w="10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attributable to Legacy Warehouse unitholders prior to the Business Combination</w:t>
            </w:r>
          </w:p>
        </w:tc>
        <w:tc>
          <w:tcPr>
            <w:tcW w:w="10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attributable to noncontrolling interests</w:t>
            </w:r>
          </w:p>
        </w:tc>
        <w:tc>
          <w:tcPr>
            <w:tcW w:w="10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common stockholders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Legacy Warehouse unitholders prior to the Business Combination</w:t>
            </w:r>
          </w:p>
        </w:tc>
        <w:tc>
          <w:tcPr>
            <w:tcW w:w="10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(29,558)</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(52,905)</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w:t>
            </w:r>
          </w:p>
        </w:tc>
        <w:tc>
          <w:tcPr>
            <w:tcW w:w="10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(47,464)</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(108,429)</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common stockholders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(13,103)</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ind w:left="0" w:right="0" w:firstLine="360"/>
        <w:jc w:val="center"/>
        <w:rPr/>
      </w:pPr>
      <w:r>
        <w:rPr/>
      </w:r>
    </w:p>
    <w:p>
      <w:pPr>
        <w:pStyle w:val="TextBody"/>
        <w:spacing w:lineRule="auto" w:line="268" w:before="60" w:after="283"/>
        <w:ind w:left="0" w:right="0" w:firstLine="36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Changes in Redeemable Preferred and Common Units and Equity (Deficit)</w:t>
      </w:r>
    </w:p>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unit and share information)</w:t>
      </w:r>
    </w:p>
    <w:p>
      <w:pPr>
        <w:pStyle w:val="TextBody"/>
        <w:spacing w:before="60" w:after="283"/>
        <w:ind w:left="0" w:right="0" w:firstLine="360"/>
        <w:jc w:val="center"/>
        <w:rPr/>
      </w:pPr>
      <w:r>
        <w:rPr/>
      </w:r>
    </w:p>
    <w:p>
      <w:pPr>
        <w:pStyle w:val="TextBody"/>
        <w:spacing w:before="60" w:after="283"/>
        <w:ind w:left="0" w:right="0" w:firstLine="360"/>
        <w:jc w:val="center"/>
        <w:rPr/>
      </w:pPr>
      <w:r>
        <w:rPr/>
      </w:r>
    </w:p>
    <w:tbl>
      <w:tblPr>
        <w:tblW w:w="16765" w:type="dxa"/>
        <w:jc w:val="left"/>
        <w:tblInd w:w="0" w:type="dxa"/>
        <w:tblCellMar>
          <w:top w:w="28" w:type="dxa"/>
          <w:left w:w="28" w:type="dxa"/>
          <w:bottom w:w="28" w:type="dxa"/>
          <w:right w:w="28" w:type="dxa"/>
        </w:tblCellMar>
      </w:tblPr>
      <w:tblGrid>
        <w:gridCol w:w="649"/>
        <w:gridCol w:w="268"/>
        <w:gridCol w:w="269"/>
        <w:gridCol w:w="304"/>
        <w:gridCol w:w="304"/>
        <w:gridCol w:w="308"/>
        <w:gridCol w:w="109"/>
        <w:gridCol w:w="109"/>
        <w:gridCol w:w="109"/>
        <w:gridCol w:w="318"/>
        <w:gridCol w:w="324"/>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8"/>
        <w:gridCol w:w="652"/>
        <w:gridCol w:w="111"/>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59"/>
        <w:gridCol w:w="856"/>
        <w:gridCol w:w="146"/>
        <w:gridCol w:w="327"/>
        <w:gridCol w:w="196"/>
        <w:gridCol w:w="646"/>
        <w:gridCol w:w="154"/>
      </w:tblGrid>
      <w:tr>
        <w:trPr/>
        <w:tc>
          <w:tcPr>
            <w:tcW w:w="64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9" w:type="dxa"/>
            <w:gridSpan w:val="6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25, 2023</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 - Warrants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24,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58,584,690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78,389,034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416,933,025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(49,298)</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stock plans, net of shares withheld for employee taxes</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1,659,578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 net of shares withheld for employee taxes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Class V-1 common stock</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of Class V-1 common stock</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25,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61,283,689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77,080,090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416,933,025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(1,299,880)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1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tbl>
      <w:tblPr>
        <w:tblW w:w="16765" w:type="dxa"/>
        <w:jc w:val="left"/>
        <w:tblInd w:w="0" w:type="dxa"/>
        <w:tblCellMar>
          <w:top w:w="28" w:type="dxa"/>
          <w:left w:w="28" w:type="dxa"/>
          <w:bottom w:w="28" w:type="dxa"/>
          <w:right w:w="28" w:type="dxa"/>
        </w:tblCellMar>
      </w:tblPr>
      <w:tblGrid>
        <w:gridCol w:w="630"/>
        <w:gridCol w:w="277"/>
        <w:gridCol w:w="279"/>
        <w:gridCol w:w="304"/>
        <w:gridCol w:w="304"/>
        <w:gridCol w:w="308"/>
        <w:gridCol w:w="109"/>
        <w:gridCol w:w="109"/>
        <w:gridCol w:w="109"/>
        <w:gridCol w:w="318"/>
        <w:gridCol w:w="324"/>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8"/>
        <w:gridCol w:w="652"/>
        <w:gridCol w:w="111"/>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59"/>
        <w:gridCol w:w="856"/>
        <w:gridCol w:w="146"/>
        <w:gridCol w:w="327"/>
        <w:gridCol w:w="196"/>
        <w:gridCol w:w="646"/>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9" w:type="dxa"/>
            <w:gridSpan w:val="6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25, 2023</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 - Warrants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24,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57,718,836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79,237,388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416,933,025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61,756 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(110,091)</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stock plans, net of shares withheld for employee taxes</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1,677,078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 net of shares withheld for employee taxes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Class V-1 common stock</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1,789,604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(1,789,604)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of Class V-1 common stock</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75,632 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25,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61,283,689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77,080,090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416,933,025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(1,299,880)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rPr/>
      </w:pPr>
      <w:r>
        <w:rPr/>
      </w:r>
    </w:p>
    <w:p>
      <w:pPr>
        <w:pStyle w:val="TextBody"/>
        <w:spacing w:before="60" w:after="283"/>
        <w:rPr/>
      </w:pPr>
      <w:r>
        <w:rPr/>
      </w:r>
    </w:p>
    <w:p>
      <w:pPr>
        <w:pStyle w:val="TextBody"/>
        <w:spacing w:before="60" w:after="283"/>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tbl>
      <w:tblPr>
        <w:tblW w:w="16107" w:type="dxa"/>
        <w:jc w:val="left"/>
        <w:tblInd w:w="0" w:type="dxa"/>
        <w:tblCellMar>
          <w:top w:w="28" w:type="dxa"/>
          <w:left w:w="28" w:type="dxa"/>
          <w:bottom w:w="28" w:type="dxa"/>
          <w:right w:w="28" w:type="dxa"/>
        </w:tblCellMar>
      </w:tblPr>
      <w:tblGrid>
        <w:gridCol w:w="649"/>
        <w:gridCol w:w="268"/>
        <w:gridCol w:w="269"/>
        <w:gridCol w:w="303"/>
        <w:gridCol w:w="303"/>
        <w:gridCol w:w="310"/>
        <w:gridCol w:w="109"/>
        <w:gridCol w:w="109"/>
        <w:gridCol w:w="109"/>
        <w:gridCol w:w="196"/>
        <w:gridCol w:w="736"/>
        <w:gridCol w:w="109"/>
        <w:gridCol w:w="109"/>
        <w:gridCol w:w="109"/>
        <w:gridCol w:w="109"/>
        <w:gridCol w:w="304"/>
        <w:gridCol w:w="304"/>
        <w:gridCol w:w="308"/>
        <w:gridCol w:w="109"/>
        <w:gridCol w:w="109"/>
        <w:gridCol w:w="109"/>
        <w:gridCol w:w="196"/>
        <w:gridCol w:w="736"/>
        <w:gridCol w:w="109"/>
        <w:gridCol w:w="109"/>
        <w:gridCol w:w="109"/>
        <w:gridCol w:w="109"/>
        <w:gridCol w:w="304"/>
        <w:gridCol w:w="304"/>
        <w:gridCol w:w="308"/>
        <w:gridCol w:w="109"/>
        <w:gridCol w:w="109"/>
        <w:gridCol w:w="109"/>
        <w:gridCol w:w="196"/>
        <w:gridCol w:w="736"/>
        <w:gridCol w:w="109"/>
        <w:gridCol w:w="109"/>
        <w:gridCol w:w="109"/>
        <w:gridCol w:w="109"/>
        <w:gridCol w:w="333"/>
        <w:gridCol w:w="333"/>
        <w:gridCol w:w="340"/>
        <w:gridCol w:w="109"/>
        <w:gridCol w:w="109"/>
        <w:gridCol w:w="109"/>
        <w:gridCol w:w="196"/>
        <w:gridCol w:w="736"/>
        <w:gridCol w:w="109"/>
        <w:gridCol w:w="109"/>
        <w:gridCol w:w="109"/>
        <w:gridCol w:w="109"/>
        <w:gridCol w:w="292"/>
        <w:gridCol w:w="851"/>
        <w:gridCol w:w="163"/>
        <w:gridCol w:w="109"/>
        <w:gridCol w:w="109"/>
        <w:gridCol w:w="109"/>
        <w:gridCol w:w="196"/>
        <w:gridCol w:w="886"/>
        <w:gridCol w:w="109"/>
        <w:gridCol w:w="109"/>
        <w:gridCol w:w="109"/>
        <w:gridCol w:w="109"/>
        <w:gridCol w:w="196"/>
        <w:gridCol w:w="886"/>
        <w:gridCol w:w="154"/>
      </w:tblGrid>
      <w:tr>
        <w:trPr/>
        <w:tc>
          <w:tcPr>
            <w:tcW w:w="64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1" w:type="dxa"/>
            <w:gridSpan w:val="6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26, 2022</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Preferred and Common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Common Units, Class 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Units, Class B-1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Units, Class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Common Voting Units, Class 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25, 2021</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428,571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6,444,373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18"/>
              </w:rPr>
              <w:t>Retroactive application of recapitalization ratio</w:t>
            </w:r>
            <w:r>
              <w:rPr>
                <w:color w:val="000000"/>
              </w:rPr>
              <w:t xml:space="preserve"> </w:t>
            </w:r>
            <w:r>
              <w:rPr>
                <w:rFonts w:ascii="Times New Roman;sans-serif" w:hAnsi="Times New Roman;sans-serif"/>
                <w:b w:val="false"/>
                <w:color w:val="000000"/>
                <w:sz w:val="12"/>
              </w:rPr>
              <w:t>(1)</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24,493,538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24,041,299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47,508,299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388,481,909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balance, beginning of period</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24,922,109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47,508,300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394,926,282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Class C Units to redemption value</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Return</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26, 2022</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24,922,109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47,508,300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394,926,282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(1,248,771)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(1,033,208)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(1) As part of the Business Combination, all per share information has been retroactively adjusted using the Exchange Ratio as stipulated by the Merger Agreement</w:t>
      </w:r>
    </w:p>
    <w:tbl>
      <w:tblPr>
        <w:tblW w:w="17395" w:type="dxa"/>
        <w:jc w:val="left"/>
        <w:tblInd w:w="0" w:type="dxa"/>
        <w:tblCellMar>
          <w:top w:w="28" w:type="dxa"/>
          <w:left w:w="28" w:type="dxa"/>
          <w:bottom w:w="28" w:type="dxa"/>
          <w:right w:w="28" w:type="dxa"/>
        </w:tblCellMar>
      </w:tblPr>
      <w:tblGrid>
        <w:gridCol w:w="630"/>
        <w:gridCol w:w="277"/>
        <w:gridCol w:w="279"/>
        <w:gridCol w:w="303"/>
        <w:gridCol w:w="303"/>
        <w:gridCol w:w="310"/>
        <w:gridCol w:w="109"/>
        <w:gridCol w:w="109"/>
        <w:gridCol w:w="109"/>
        <w:gridCol w:w="196"/>
        <w:gridCol w:w="736"/>
        <w:gridCol w:w="109"/>
        <w:gridCol w:w="109"/>
        <w:gridCol w:w="109"/>
        <w:gridCol w:w="109"/>
        <w:gridCol w:w="304"/>
        <w:gridCol w:w="304"/>
        <w:gridCol w:w="308"/>
        <w:gridCol w:w="109"/>
        <w:gridCol w:w="109"/>
        <w:gridCol w:w="109"/>
        <w:gridCol w:w="196"/>
        <w:gridCol w:w="736"/>
        <w:gridCol w:w="109"/>
        <w:gridCol w:w="109"/>
        <w:gridCol w:w="109"/>
        <w:gridCol w:w="109"/>
        <w:gridCol w:w="304"/>
        <w:gridCol w:w="304"/>
        <w:gridCol w:w="308"/>
        <w:gridCol w:w="109"/>
        <w:gridCol w:w="109"/>
        <w:gridCol w:w="109"/>
        <w:gridCol w:w="196"/>
        <w:gridCol w:w="736"/>
        <w:gridCol w:w="109"/>
        <w:gridCol w:w="109"/>
        <w:gridCol w:w="109"/>
        <w:gridCol w:w="109"/>
        <w:gridCol w:w="333"/>
        <w:gridCol w:w="333"/>
        <w:gridCol w:w="340"/>
        <w:gridCol w:w="109"/>
        <w:gridCol w:w="109"/>
        <w:gridCol w:w="109"/>
        <w:gridCol w:w="196"/>
        <w:gridCol w:w="736"/>
        <w:gridCol w:w="109"/>
        <w:gridCol w:w="109"/>
        <w:gridCol w:w="109"/>
        <w:gridCol w:w="109"/>
        <w:gridCol w:w="198"/>
        <w:gridCol w:w="652"/>
        <w:gridCol w:w="111"/>
        <w:gridCol w:w="109"/>
        <w:gridCol w:w="109"/>
        <w:gridCol w:w="109"/>
        <w:gridCol w:w="292"/>
        <w:gridCol w:w="851"/>
        <w:gridCol w:w="163"/>
        <w:gridCol w:w="109"/>
        <w:gridCol w:w="109"/>
        <w:gridCol w:w="109"/>
        <w:gridCol w:w="196"/>
        <w:gridCol w:w="886"/>
        <w:gridCol w:w="109"/>
        <w:gridCol w:w="327"/>
        <w:gridCol w:w="196"/>
        <w:gridCol w:w="886"/>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9" w:type="dxa"/>
            <w:gridSpan w:val="6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26, 2022</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Preferred and Common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 - Warrants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Common Units, Class 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Units, Class B-1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Units, Class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Common Voting Units, Class 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25, 2021</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428,571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5,997,632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18"/>
              </w:rPr>
              <w:t>Retroactive application of recapitalization ratio</w:t>
            </w:r>
            <w:r>
              <w:rPr>
                <w:color w:val="000000"/>
              </w:rPr>
              <w:t xml:space="preserve"> </w:t>
            </w:r>
            <w:r>
              <w:rPr>
                <w:rFonts w:ascii="Times New Roman;sans-serif" w:hAnsi="Times New Roman;sans-serif"/>
                <w:b w:val="false"/>
                <w:color w:val="000000"/>
                <w:sz w:val="12"/>
              </w:rPr>
              <w:t>(1)</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24,493,538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24,041,299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47,508,299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361,551,314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balance, beginning of period</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24,922,109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47,508,300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367,548,946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Class C Units to redemption value</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warrants</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27,377,336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(26,999)</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Return</w:t>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26, 2022</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24,922,109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47,508,300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394,926,282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(1,248,771)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(1,033,208)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60" w:after="283"/>
        <w:rPr>
          <w:rFonts w:ascii="Times New Roman;sans-serif" w:hAnsi="Times New Roman;sans-serif"/>
          <w:b w:val="false"/>
          <w:color w:val="000000"/>
          <w:sz w:val="16"/>
        </w:rPr>
      </w:pPr>
      <w:r>
        <w:rPr>
          <w:rFonts w:ascii="Times New Roman;sans-serif" w:hAnsi="Times New Roman;sans-serif"/>
          <w:b w:val="false"/>
          <w:color w:val="000000"/>
          <w:sz w:val="16"/>
        </w:rPr>
        <w:t>(1) As part of the Business Combination, all per share information has been retroactively adjusted using the Exchange Ratio as stipulated by the Merger Agreement</w:t>
      </w:r>
    </w:p>
    <w:p>
      <w:pPr>
        <w:pStyle w:val="TextBody"/>
        <w:spacing w:lineRule="auto" w:line="26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before="60" w:after="283"/>
        <w:ind w:left="0" w:right="0" w:firstLine="360"/>
        <w:rPr/>
      </w:pPr>
      <w:r>
        <w:rPr/>
      </w:r>
    </w:p>
    <w:tbl>
      <w:tblPr>
        <w:tblW w:w="10135" w:type="dxa"/>
        <w:jc w:val="center"/>
        <w:tblInd w:w="0" w:type="dxa"/>
        <w:tblCellMar>
          <w:top w:w="28" w:type="dxa"/>
          <w:left w:w="28" w:type="dxa"/>
          <w:bottom w:w="28" w:type="dxa"/>
          <w:right w:w="28" w:type="dxa"/>
        </w:tblCellMar>
      </w:tblPr>
      <w:tblGrid>
        <w:gridCol w:w="2599"/>
        <w:gridCol w:w="2289"/>
        <w:gridCol w:w="2296"/>
        <w:gridCol w:w="223"/>
        <w:gridCol w:w="952"/>
        <w:gridCol w:w="115"/>
        <w:gridCol w:w="109"/>
        <w:gridCol w:w="109"/>
        <w:gridCol w:w="109"/>
        <w:gridCol w:w="236"/>
        <w:gridCol w:w="926"/>
        <w:gridCol w:w="172"/>
      </w:tblGrid>
      <w:tr>
        <w:trPr/>
        <w:tc>
          <w:tcPr>
            <w:tcW w:w="2599" w:type="dxa"/>
            <w:tcBorders/>
            <w:shd w:fill="auto" w:val="clear"/>
            <w:vAlign w:val="center"/>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7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r>
      <w:tr>
        <w:trPr/>
        <w:tc>
          <w:tcPr>
            <w:tcW w:w="7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(123,402)</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(gains) / losses</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abandonment of assets</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assets</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(121,137)</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(25,606)</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(38,544)</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expenses</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263,464 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49,354 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(203,140)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(216,147)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Class A Common Units</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taxes related to net share settlement of stock-based compensation awards</w:t>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common stock under employee stock purchase plan</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beginning of period</w:t>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156,634 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end of period</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259,086 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259,044 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pStyle w:val="TextBody"/>
        <w:spacing w:lineRule="auto" w:line="288" w:before="60" w:after="283"/>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40" w:before="240" w:after="2"/>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spacing w:lineRule="auto" w:line="240" w:before="2" w:after="2"/>
        <w:jc w:val="center"/>
        <w:rPr>
          <w:rFonts w:ascii="Times New Roman;sans-serif" w:hAnsi="Times New Roman;sans-serif"/>
          <w:b/>
          <w:color w:val="000000"/>
          <w:sz w:val="18"/>
        </w:rPr>
      </w:pPr>
      <w:r>
        <w:rPr>
          <w:rFonts w:ascii="Times New Roman;sans-serif" w:hAnsi="Times New Roman;sans-serif"/>
          <w:b/>
          <w:color w:val="000000"/>
          <w:sz w:val="18"/>
        </w:rPr>
        <w:t xml:space="preserve">Notes to Unaudited Condensed Consolidated Financial Statements </w:t>
      </w:r>
    </w:p>
    <w:p>
      <w:pPr>
        <w:pStyle w:val="TextBody"/>
        <w:spacing w:before="60" w:after="283"/>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(“Symbotic US”), a technology company that develops and commercializes innovative technologies for use within warehouse operations and Symbotic Group Holdings, ULC (“Symbotic Canada”) were wholly 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SVF 3, Symbotic Holdings, and Merger Sub merged with and into Interim Symbotic (the “Merger” and, together with the Company Reorganization, the “Business Combination”), with Interim Symbotic surviving the merger as a subsidiary of Symbotic (“New Symbotic Holdings”).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Symbotic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headquarters are located in Wilmington, Massachusetts, and its Canadian headquarters are located in Montreal, Quebec.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Consolidation</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24, 2022, which are included within the Company’s Annual Report on Form 10-K, filed with the SEC on December 9, 2022. The September 24, 2022 consolidated balance sheet included herein is derived from the Company’s audited consolidated financial statements.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the Company and its wholly-owned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reports using a 52-53 week fiscal year ending on the last Saturday of September of each calendar year. Each of the Company’s fiscal quarters end on the last Saturday of the third month of each quarter.</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Accounting Policies</w:t>
      </w:r>
    </w:p>
    <w:p>
      <w:pPr>
        <w:pStyle w:val="TextBody"/>
        <w:spacing w:lineRule="auto" w:line="288" w:before="60" w:after="283"/>
        <w:ind w:left="0" w:right="0" w:firstLine="360"/>
        <w:rPr/>
      </w:pPr>
      <w:r>
        <w:rPr>
          <w:rFonts w:ascii="Times New Roman;sans-serif" w:hAnsi="Times New Roman;sans-serif"/>
          <w:b w:val="false"/>
          <w:color w:val="000000"/>
          <w:sz w:val="20"/>
        </w:rPr>
        <w:t xml:space="preserve">The Company’s significant accounting policies are described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to the audited consolidated financial statements and related notes thereto as of and for the year ended September 24, 2022. Except as noted below, there have been no material changes to the significant accounting policies during the six month period ended March 25, 2023.</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its inception. When the arrangements include lease and non-lease components, the Company separates them and does not account for them as a single lease component. Leases with an initial term of less than 12 months are not reported on the balance sheet, but rather recognized as lease expense on a straight-line basis over the lease term. Arrangements may include options to extend or terminate the lease arrangement. These options are included in the lease term used to establish right-of-use (“ROU”) assets and lease liabilities when it is reasonably certain they will be exercised. The Company will reassess expected lease terms based on changes in circumstances that indicate options may be more or less likely to be exercised.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 arrangements that include variable rental payments. The future variability of these payments and adjustments are unknown and therefore are not included in minimum rental payments used to determine the ROU assets and lease liabilities. The Company has lease arrangements where it makes separate payments to the lessor based on the lessor’s common area maintenance expenses, property and casualty insurance costs, property taxes assessed on the property, and other variable expenses. Variable rental payments are recognized in the period in which their associated obligation is incurred.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most of the Company’s lease arrangements do not provide an implicit interest rate, an incremental borrowing rate is applied in determining the present value of future payments. The Company’s incremental borrowing rate is selected based upon information available at the lease commencement date, and represents the Company’s estimate of an interest rate that it would be able to obtain from a lender to borrow, on a collateralized basis, over a similar term to obtain an asset of similar value in a similar economic environment.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ROU assets are reported as “Other long-term assets” and lease liabilities are reported as “Other current liabilities” and “Other long-term liabilities” on the consolidated balance sheets. Operating lease expense is recognized on a straight-line basis over the lease term and is included in “Selling, general, and administrative expenses” in the consolidated statements of operations. Variable lease expense is included in “Selling, general, and administrative expenses” in the consolidated statements of operations.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Presentation of Restricted Cash</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consists of collateral required for a credit card processing program. The short-term or long-term classification is determined in accordance with the required amount of time the cash is to be held as collateral, which is short-term for less than 12 months, and long-term for greater than 12 months from the balance sheet date. As the cash is required to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be held as collateral for a period which is greater than 12 months from March 25, 2023, it is presented in other long-term assets. The following table summarizes the end-of-period cash and cash equivalents from the Company’s Consolidated Balance Sheets and the total cash, cash equivalents, and restricted cash as presented on the accompanying Consolidated Statements of Cash Flows (in thousands):</w:t>
      </w:r>
    </w:p>
    <w:tbl>
      <w:tblPr>
        <w:tblW w:w="9504" w:type="dxa"/>
        <w:jc w:val="left"/>
        <w:tblInd w:w="0" w:type="dxa"/>
        <w:tblCellMar>
          <w:top w:w="28" w:type="dxa"/>
          <w:left w:w="28" w:type="dxa"/>
          <w:bottom w:w="28" w:type="dxa"/>
          <w:right w:w="28" w:type="dxa"/>
        </w:tblCellMar>
      </w:tblPr>
      <w:tblGrid>
        <w:gridCol w:w="2374"/>
        <w:gridCol w:w="2082"/>
        <w:gridCol w:w="2098"/>
        <w:gridCol w:w="237"/>
        <w:gridCol w:w="930"/>
        <w:gridCol w:w="122"/>
        <w:gridCol w:w="109"/>
        <w:gridCol w:w="109"/>
        <w:gridCol w:w="109"/>
        <w:gridCol w:w="236"/>
        <w:gridCol w:w="926"/>
        <w:gridCol w:w="172"/>
      </w:tblGrid>
      <w:tr>
        <w:trPr/>
        <w:tc>
          <w:tcPr>
            <w:tcW w:w="2374" w:type="dxa"/>
            <w:tcBorders/>
            <w:shd w:fill="auto" w:val="clear"/>
            <w:vAlign w:val="center"/>
          </w:tcPr>
          <w:p>
            <w:pPr>
              <w:pStyle w:val="TableContents"/>
              <w:spacing w:before="0" w:after="283"/>
              <w:rPr>
                <w:sz w:val="4"/>
                <w:szCs w:val="4"/>
              </w:rPr>
            </w:pPr>
            <w:r>
              <w:rPr>
                <w:sz w:val="4"/>
                <w:szCs w:val="4"/>
              </w:rPr>
            </w:r>
          </w:p>
        </w:tc>
        <w:tc>
          <w:tcPr>
            <w:tcW w:w="2082"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6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classified in:</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shown in the statement of cash flows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259,086 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259,044 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Business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concentration in the volume of purchases it conducts with its suppliers. For the three and six months ended March 25, 2023, there was one supplier that accounted for greater than 10% of total purchases, and the aggregate purchases amounted to $35.8 million and $64.1 million, respectively. For the three and six months ended March 26, 2022, there was one supplier that accounted for greater than 10% of total purchases, and the aggregate purchases amounted to $13.9 million and $24.7 million, respectively.</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Emerging Growth Company</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EGC can elect to opt out of the extended transition period and comply with the requirements that apply to non-EGCs but any such an election to opt out is irrevocable. The Company has not elected to opt out of such extended transition period which means that when a financial accounting standard is issued or revised and it has different application dates for public or private companies, the Company, as an EGC, can adopt the new or revised standard at the time private companies adopt the new or revised standard. The Company will be eligible to use this extended transition period under the JOBS Act until the earlier of the date it (i) is no longer an EGC or (ii) affirmatively and irrevocably opts out of the extended transition period provided in the JOBS Act. As a result, the Company’s financial statements may not be comparable to the financial statements of issuers who are required to comply with the effective dates for new or revised accounting standards that are applicable to public companies, which may make comparison of the Company’s financials to those of other public companies more difficult.</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will cease to be an EGC on the date that is the earliest of (i) the end of the fiscal year in which total annual gross revenue exceeds $1.235 billion, (ii) the last day of the Company’s fiscal year following March 11, 2026 (the fifth anniversary of the date on which SVF 3 consummated the initial public offering of SVF 3); (iii) the date on which the Company has issued more than $1.0 billion in non-convertible debt during the preceding three-year period; or (iv) the end of the fiscal year in which the market value of the Company’s common stock held by non-affiliates exceeds $700 million as of the last business day of the most recently completed second fiscal quarter. As of the last business day of the most recently completed second fiscal quarter ended March 25, 2023, the market value of the Company’s common stock held by non-affiliates was approximately $517.3 million (based on the closing sales price of the Class A common stock on March 24, 2023 of $21.68), and therefore, the Company expects to continue to be an EGC as of the end of the current fiscal year ended September 30, 2023.</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spacing w:lineRule="auto" w:line="288" w:before="60" w:after="283"/>
        <w:ind w:left="0" w:right="0" w:firstLine="360"/>
        <w:rPr/>
      </w:pPr>
      <w:r>
        <w:rPr>
          <w:rFonts w:ascii="Times New Roman;sans-serif" w:hAnsi="Times New Roman;sans-serif"/>
          <w:b w:val="false"/>
          <w:color w:val="000000"/>
          <w:sz w:val="20"/>
        </w:rPr>
        <w:t xml:space="preserve">In February 2016, the Financial Accounting Standards Board (“FASB”) issued Accounting Standards Update (“ASU”) No. 2016-02,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(“ASU 2016-02”). The ASU requires lessees to recognize the assets and liabilities on their balance sheet for the rights and obligations created by most leases and continue to recognize expenses on their income statements over the lease term. In July 2018, the FASB issued ASU 2018-11, </w:t>
      </w:r>
      <w:r>
        <w:rPr>
          <w:rFonts w:ascii="Times New Roman;sans-serif" w:hAnsi="Times New Roman;sans-serif"/>
          <w:b w:val="false"/>
          <w:i/>
          <w:color w:val="000000"/>
          <w:sz w:val="20"/>
        </w:rPr>
        <w:t>Leases (Topic 842): Targeted Improvements</w:t>
      </w:r>
      <w:r>
        <w:rPr>
          <w:rFonts w:ascii="Times New Roman;sans-serif" w:hAnsi="Times New Roman;sans-serif"/>
          <w:b w:val="false"/>
          <w:color w:val="000000"/>
          <w:sz w:val="20"/>
        </w:rPr>
        <w:t xml:space="preserve">, which provides entities with a new transition method where comparative periods presented in the financial statements in the period of adoption will not need to be restated. Under this new transition method, an entity initially applies the provisions of the standard at the adoption date, versus at the beginning of the earliest period presented, and recognizes a cumulative-effect adjustment to the opening balance of retained earnings in the period of adoption. The Company adopted ASU 2016-02 and ASU 2018-11 on September 25, 2022, as required by the ASUs, and utilized the cumulative effect adjustment approach, which did not result in an adjustment to the Company’s opening balance of retained earnings. At adoption, the Company recognized ROU assets and lease liabilities of $5.5 million and $6.4 million, respectively, on the balance sheet at September 25, 2022. The new standard did not materially impact the statements of operations, cash flows, or stockholders’ equity (deficit). In addition, the Company provides expanded disclosures related to its leasing arrangements in accordance with these ASUs. Refer to Note 5,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60" w:after="283"/>
        <w:ind w:left="0" w:right="0" w:firstLine="360"/>
        <w:rPr/>
      </w:pPr>
      <w:r>
        <w:rPr>
          <w:rFonts w:ascii="Times New Roman;sans-serif" w:hAnsi="Times New Roman;sans-serif"/>
          <w:b w:val="false"/>
          <w:color w:val="000000"/>
          <w:sz w:val="20"/>
        </w:rPr>
        <w:t xml:space="preserve">In December 2019, the FASB issued ASU No. 2019-12, </w:t>
      </w:r>
      <w:r>
        <w:rPr>
          <w:rFonts w:ascii="Times New Roman;sans-serif" w:hAnsi="Times New Roman;sans-serif"/>
          <w:b w:val="false"/>
          <w:i/>
          <w:color w:val="000000"/>
          <w:sz w:val="20"/>
        </w:rPr>
        <w:t xml:space="preserve">Income Taxes—Simplifying the Accounting for Income Taxes </w:t>
      </w:r>
      <w:r>
        <w:rPr>
          <w:rFonts w:ascii="Times New Roman;sans-serif" w:hAnsi="Times New Roman;sans-serif"/>
          <w:b w:val="false"/>
          <w:color w:val="000000"/>
          <w:sz w:val="20"/>
        </w:rPr>
        <w:t xml:space="preserve">(“ASU 2019-12”). ASU 2019-12 simplifies the accounting for income taxes by removing certain exceptions to the general principles as well as clarifying and amending existing guidance to improve consistent application. The guidance is effective to the Company for fiscal years beginning after December 15, 2021, and for interim periods within fiscal years beginning after December 15, 2022, with early adoption permitted. The Company adopted ASU 2019-12 on September 25, 2022 and there was not a material impact of the adoption to the Company’s financial statements.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spacing w:lineRule="auto" w:line="288" w:before="60" w:after="283"/>
        <w:ind w:left="0" w:right="0" w:firstLine="360"/>
        <w:rPr/>
      </w:pPr>
      <w:r>
        <w:rPr>
          <w:rFonts w:ascii="Times New Roman;sans-serif" w:hAnsi="Times New Roman;sans-serif"/>
          <w:b w:val="false"/>
          <w:color w:val="000000"/>
          <w:sz w:val="20"/>
        </w:rPr>
        <w:t xml:space="preserve">In June 2016, the FASB issued ASU No. 2016-13, </w:t>
      </w:r>
      <w:r>
        <w:rPr>
          <w:rFonts w:ascii="Times New Roman;sans-serif" w:hAnsi="Times New Roman;sans-serif"/>
          <w:b w:val="false"/>
          <w:i/>
          <w:color w:val="000000"/>
          <w:sz w:val="20"/>
        </w:rPr>
        <w:t>Measurement of Credit Losses on Financial Instruments</w:t>
      </w:r>
      <w:r>
        <w:rPr>
          <w:rFonts w:ascii="Times New Roman;sans-serif" w:hAnsi="Times New Roman;sans-serif"/>
          <w:b w:val="false"/>
          <w:color w:val="000000"/>
          <w:sz w:val="20"/>
        </w:rPr>
        <w:t>, which amends the impairment model by requiring entities to use a forward-looking approach based on expected losses rather than incurred losses to estimate credit losses on certain types of financial instruments. This may result in the earlier recognition of allowances for losses. The guidance is effective to the Company for fiscal years beginning after December 15, 2022, including interim periods within those fiscal years, with early adoption permitted. The Company does not expect the new standard to have a material impact on its consolidated financial statements.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recent accounting pronouncements that are or will be applicable to the Company did not, or are not expected to, have a material impact on the Company’s present or future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3. Noncontrolling Interests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represent the portion of net assets in consolidated entities that are not owned by the Company. Following the Business Combination, Legacy Warehouse unitholders hold their economic interests directly in New Symbotic Holdings. Upon completion of the Business Combination, Symbotic Inc. issued to Legacy Warehouse unitholders an aggregate of 60,844,573 shares of Symbotic Class V-1 Common Stock and 416,933,025 shares of Symbotic Class V-3 Common Stock, each of which is exchangeable, together with a New Symbotic Holdings Common Unit, into an equal number of Class A Common Stock. Class V-1 and Class V-3 Common Stock are non-economic voting shares in Symbotic Inc. where Class V-1 Common Stock have one vote per share and Class V-3 Common Stock have three votes per share. Class V-3 Common Stock can convert into Class V-1 Common Stock in certain situations, including automatically, seven years following the Business Combination. Pursuant to the Merger Agreement, the Company issued an additional 20,000,000 New Symbotic Common Units and an equal number of shares of Symbotic Class V-1 Common Stock to Legacy Warehouse unitholders as earnout shares in July and August 2022 upon the achievement of triggering events specified in the Merger Agreement tied to the volume weighted average price of Class A Common Stock.</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ownership of Symbotic Inc. stock for the three months ended March 25, 2023.</w:t>
      </w:r>
    </w:p>
    <w:tbl>
      <w:tblPr>
        <w:tblW w:w="10205" w:type="dxa"/>
        <w:jc w:val="left"/>
        <w:tblInd w:w="0" w:type="dxa"/>
        <w:tblCellMar>
          <w:top w:w="28" w:type="dxa"/>
          <w:left w:w="28" w:type="dxa"/>
          <w:bottom w:w="28" w:type="dxa"/>
          <w:right w:w="28" w:type="dxa"/>
        </w:tblCellMar>
      </w:tblPr>
      <w:tblGrid>
        <w:gridCol w:w="615"/>
        <w:gridCol w:w="331"/>
        <w:gridCol w:w="333"/>
        <w:gridCol w:w="649"/>
        <w:gridCol w:w="446"/>
        <w:gridCol w:w="301"/>
        <w:gridCol w:w="109"/>
        <w:gridCol w:w="109"/>
        <w:gridCol w:w="109"/>
        <w:gridCol w:w="922"/>
        <w:gridCol w:w="329"/>
        <w:gridCol w:w="330"/>
        <w:gridCol w:w="109"/>
        <w:gridCol w:w="109"/>
        <w:gridCol w:w="109"/>
        <w:gridCol w:w="593"/>
        <w:gridCol w:w="593"/>
        <w:gridCol w:w="171"/>
        <w:gridCol w:w="109"/>
        <w:gridCol w:w="109"/>
        <w:gridCol w:w="109"/>
        <w:gridCol w:w="334"/>
        <w:gridCol w:w="200"/>
        <w:gridCol w:w="499"/>
        <w:gridCol w:w="109"/>
        <w:gridCol w:w="109"/>
        <w:gridCol w:w="109"/>
        <w:gridCol w:w="353"/>
        <w:gridCol w:w="220"/>
        <w:gridCol w:w="548"/>
        <w:gridCol w:w="109"/>
        <w:gridCol w:w="109"/>
        <w:gridCol w:w="109"/>
        <w:gridCol w:w="233"/>
        <w:gridCol w:w="233"/>
        <w:gridCol w:w="337"/>
      </w:tblGrid>
      <w:tr>
        <w:trPr/>
        <w:tc>
          <w:tcPr>
            <w:tcW w:w="61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and Class V-3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and Class V-3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58,584,690 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495,322,059 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553,906,749 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10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1,757,749 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1,757,749 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w:t>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941,250 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(941,250)</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10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(367,694)</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(367,694)</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61,283,689 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494,013,115 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555,296,804 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ownership of Symbotic Inc. stock for the six months ended March 25, 2023.</w:t>
      </w:r>
    </w:p>
    <w:tbl>
      <w:tblPr>
        <w:tblW w:w="10205" w:type="dxa"/>
        <w:jc w:val="left"/>
        <w:tblInd w:w="0" w:type="dxa"/>
        <w:tblCellMar>
          <w:top w:w="28" w:type="dxa"/>
          <w:left w:w="28" w:type="dxa"/>
          <w:bottom w:w="28" w:type="dxa"/>
          <w:right w:w="28" w:type="dxa"/>
        </w:tblCellMar>
      </w:tblPr>
      <w:tblGrid>
        <w:gridCol w:w="615"/>
        <w:gridCol w:w="331"/>
        <w:gridCol w:w="333"/>
        <w:gridCol w:w="649"/>
        <w:gridCol w:w="446"/>
        <w:gridCol w:w="301"/>
        <w:gridCol w:w="109"/>
        <w:gridCol w:w="109"/>
        <w:gridCol w:w="109"/>
        <w:gridCol w:w="922"/>
        <w:gridCol w:w="329"/>
        <w:gridCol w:w="330"/>
        <w:gridCol w:w="109"/>
        <w:gridCol w:w="109"/>
        <w:gridCol w:w="109"/>
        <w:gridCol w:w="593"/>
        <w:gridCol w:w="593"/>
        <w:gridCol w:w="171"/>
        <w:gridCol w:w="109"/>
        <w:gridCol w:w="109"/>
        <w:gridCol w:w="109"/>
        <w:gridCol w:w="334"/>
        <w:gridCol w:w="200"/>
        <w:gridCol w:w="499"/>
        <w:gridCol w:w="109"/>
        <w:gridCol w:w="109"/>
        <w:gridCol w:w="109"/>
        <w:gridCol w:w="353"/>
        <w:gridCol w:w="220"/>
        <w:gridCol w:w="548"/>
        <w:gridCol w:w="109"/>
        <w:gridCol w:w="109"/>
        <w:gridCol w:w="109"/>
        <w:gridCol w:w="233"/>
        <w:gridCol w:w="233"/>
        <w:gridCol w:w="337"/>
      </w:tblGrid>
      <w:tr>
        <w:trPr/>
        <w:tc>
          <w:tcPr>
            <w:tcW w:w="61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and Class V-3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and Class V-3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57,718,836 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496,170,413 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553,889,249 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10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1,775,249 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1,775,249 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w:t>
            </w:r>
          </w:p>
        </w:tc>
        <w:tc>
          <w:tcPr>
            <w:tcW w:w="109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1,789,604 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(1,789,604)</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10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(367,694)</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(367,694)</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61,283,689 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494,013,115 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555,296,804 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disaggregation of revenue based on product and service type on the consolidated statements of operations as it believes these categories best depict how the nature, amount, timing, and uncertainty of revenue and cash flows are affected by economic factors.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unbilled accounts receivable, and contract liabilities from contracts with customers (in thousands):</w:t>
      </w:r>
    </w:p>
    <w:tbl>
      <w:tblPr>
        <w:tblW w:w="5755" w:type="dxa"/>
        <w:jc w:val="left"/>
        <w:tblInd w:w="0" w:type="dxa"/>
        <w:tblCellMar>
          <w:top w:w="28" w:type="dxa"/>
          <w:left w:w="28" w:type="dxa"/>
          <w:bottom w:w="28" w:type="dxa"/>
          <w:right w:w="28" w:type="dxa"/>
        </w:tblCellMar>
      </w:tblPr>
      <w:tblGrid>
        <w:gridCol w:w="902"/>
        <w:gridCol w:w="792"/>
        <w:gridCol w:w="795"/>
        <w:gridCol w:w="237"/>
        <w:gridCol w:w="930"/>
        <w:gridCol w:w="122"/>
        <w:gridCol w:w="109"/>
        <w:gridCol w:w="109"/>
        <w:gridCol w:w="109"/>
        <w:gridCol w:w="292"/>
        <w:gridCol w:w="1145"/>
        <w:gridCol w:w="213"/>
      </w:tblGrid>
      <w:tr>
        <w:trPr/>
        <w:tc>
          <w:tcPr>
            <w:tcW w:w="90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2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3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689,174 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425,709 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six months ended March 25, 2023 and March 26, 2022, the Company recognized $229.0 million and $140.6 million, respectively, of the contract liability balance as revenue upon transfer of the products or services to customers. </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March 25, 2023 was $12.0 billion, which is primarily comprised of undelivered or partially undelivered Systems under contract, and which a substantial majority relates to undelivered or partially undelivered Systems in connection with the Master Automation Agreement with Walmart Inc. (“Walmart”) to implement Systems in all of Walmart’s 42 regional distribution centers. The definition of remaining performance obligations excludes: (i) any variable consideration, including future adjustments for inflation or deflation, and (ii) those contracts that provide the customer with the right to cancel or terminate the contract without incurring a substantial penalty. The Company expects to recognize approximately 11% of its remaining performance obligations as revenue in the next 12 months, approximately 80% of its remaining performance obligations as revenue within 5 years, and the remaining thereafter, which is dependent on the timing of System installation timelines. The Company does not disclose the value of remaining performance obligations for contracts with an original expected duration of one year or less.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Customers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March 25, 2023, there was one customer that individually accounted for 10% or more of total revenue. For the three and six months ended March 26, 2022, there was one customer that accounted for 10% or more of total revenue. The following table represents this customer’s aggregate percent of total revenue for each of the three and six month periods.</w:t>
      </w:r>
    </w:p>
    <w:tbl>
      <w:tblPr>
        <w:tblW w:w="7433" w:type="dxa"/>
        <w:jc w:val="left"/>
        <w:tblInd w:w="0" w:type="dxa"/>
        <w:tblCellMar>
          <w:top w:w="28" w:type="dxa"/>
          <w:left w:w="28" w:type="dxa"/>
          <w:bottom w:w="28" w:type="dxa"/>
          <w:right w:w="28" w:type="dxa"/>
        </w:tblCellMar>
      </w:tblPr>
      <w:tblGrid>
        <w:gridCol w:w="391"/>
        <w:gridCol w:w="344"/>
        <w:gridCol w:w="345"/>
        <w:gridCol w:w="287"/>
        <w:gridCol w:w="287"/>
        <w:gridCol w:w="716"/>
        <w:gridCol w:w="146"/>
        <w:gridCol w:w="146"/>
        <w:gridCol w:w="146"/>
        <w:gridCol w:w="287"/>
        <w:gridCol w:w="287"/>
        <w:gridCol w:w="716"/>
        <w:gridCol w:w="109"/>
        <w:gridCol w:w="109"/>
        <w:gridCol w:w="109"/>
        <w:gridCol w:w="287"/>
        <w:gridCol w:w="287"/>
        <w:gridCol w:w="716"/>
        <w:gridCol w:w="128"/>
        <w:gridCol w:w="128"/>
        <w:gridCol w:w="128"/>
        <w:gridCol w:w="270"/>
        <w:gridCol w:w="270"/>
        <w:gridCol w:w="794"/>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8"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60" w:after="283"/>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25, 2023, one customer accounted for over 10% of the Company’s accounts receivable balance, and three customers accounted for over 10% of the Company’s accounts receivable balance at September 24, 2022. The following table represents these customers’ aggregate percent of total accounts receivable. The symbol “n/a” indicates that such customer’s accounts receivable balance at the period indicated within the table did not exceed 10% of the Company’s accounts receivable balance. </w:t>
      </w:r>
    </w:p>
    <w:tbl>
      <w:tblPr>
        <w:tblW w:w="7331" w:type="dxa"/>
        <w:jc w:val="left"/>
        <w:tblInd w:w="0" w:type="dxa"/>
        <w:tblCellMar>
          <w:top w:w="28" w:type="dxa"/>
          <w:left w:w="28" w:type="dxa"/>
          <w:bottom w:w="28" w:type="dxa"/>
          <w:right w:w="28" w:type="dxa"/>
        </w:tblCellMar>
      </w:tblPr>
      <w:tblGrid>
        <w:gridCol w:w="1472"/>
        <w:gridCol w:w="1295"/>
        <w:gridCol w:w="1298"/>
        <w:gridCol w:w="287"/>
        <w:gridCol w:w="287"/>
        <w:gridCol w:w="716"/>
        <w:gridCol w:w="109"/>
        <w:gridCol w:w="109"/>
        <w:gridCol w:w="109"/>
        <w:gridCol w:w="336"/>
        <w:gridCol w:w="336"/>
        <w:gridCol w:w="977"/>
      </w:tblGrid>
      <w:tr>
        <w:trPr/>
        <w:tc>
          <w:tcPr>
            <w:tcW w:w="1472"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12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97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129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97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Percent of Total Accounts Receivable</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
        <w:jc w:val="both"/>
        <w:rPr>
          <w:rFonts w:ascii="Times New Roman;sans-serif" w:hAnsi="Times New Roman;sans-serif"/>
          <w:b/>
          <w:color w:val="000000"/>
          <w:sz w:val="20"/>
        </w:rPr>
      </w:pPr>
      <w:r>
        <w:rPr>
          <w:rFonts w:ascii="Times New Roman;sans-serif" w:hAnsi="Times New Roman;sans-serif"/>
          <w:b/>
          <w:color w:val="000000"/>
          <w:sz w:val="20"/>
        </w:rPr>
        <w:t>5. Leases</w:t>
      </w:r>
    </w:p>
    <w:p>
      <w:pPr>
        <w:pStyle w:val="TextBody"/>
        <w:spacing w:lineRule="auto" w:line="288" w:before="60" w:after="283"/>
        <w:ind w:left="0" w:right="0" w:firstLine="360"/>
        <w:rPr/>
      </w:pPr>
      <w:r>
        <w:rPr>
          <w:rFonts w:ascii="Times New Roman;sans-serif" w:hAnsi="Times New Roman;sans-serif"/>
          <w:b w:val="false"/>
          <w:color w:val="000000"/>
          <w:sz w:val="20"/>
        </w:rPr>
        <w:t xml:space="preserve">In connection with the adoption of ASUs 2016-02 and 2018-11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the Company updated its policy for recognizing leases under ASC Topic 842. A summary of the updated policy is included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Prior to September 25, 2022, the Company accounted for leases under ASC Topic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Portfolio</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in Wilmington, MA, Douglas, GA, and Montreal, QC through operating lease arrangements. The Company has no finance lease agreements. The operating lease arrangements expire at various dates through June 2026.</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Adoption</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utilized the cumulative effect adjustment method of adoption and, accordingly, recorded ROU assets and lease liabilities of $5.5 million and $6.4 million, respectively, on the balance sheet at September 25, 2022. The Company elected the following practical expedients in accordance with ASC Topic 842: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Reassessment elections - The Company elected the package of practical expedients, and did not reassess whether any existing contracts are or contain a lease, provided a lease analysis was conducted under ASC Topic 840. To the extent 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Short-term lease election - ASC Topic 842 allows lessees an option to not recognize ROU assets and lease liabilities arising from short-term leases. 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2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balance sheet location of the Company’s operating leases (in thousands):</w:t>
      </w:r>
    </w:p>
    <w:tbl>
      <w:tblPr>
        <w:tblW w:w="5158" w:type="dxa"/>
        <w:jc w:val="left"/>
        <w:tblInd w:w="0" w:type="dxa"/>
        <w:tblCellMar>
          <w:top w:w="28" w:type="dxa"/>
          <w:left w:w="28" w:type="dxa"/>
          <w:bottom w:w="28" w:type="dxa"/>
          <w:right w:w="28" w:type="dxa"/>
        </w:tblCellMar>
      </w:tblPr>
      <w:tblGrid>
        <w:gridCol w:w="1384"/>
        <w:gridCol w:w="1213"/>
        <w:gridCol w:w="1227"/>
        <w:gridCol w:w="287"/>
        <w:gridCol w:w="838"/>
        <w:gridCol w:w="209"/>
      </w:tblGrid>
      <w:tr>
        <w:trPr/>
        <w:tc>
          <w:tcPr>
            <w:tcW w:w="1384"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28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8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2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maturities of the Company’s operating lease liabilities as of March 25, 2023, presented under ASC Topic 842 (in thousands):</w:t>
      </w:r>
    </w:p>
    <w:tbl>
      <w:tblPr>
        <w:tblW w:w="4063" w:type="dxa"/>
        <w:jc w:val="left"/>
        <w:tblInd w:w="0" w:type="dxa"/>
        <w:tblCellMar>
          <w:top w:w="28" w:type="dxa"/>
          <w:left w:w="28" w:type="dxa"/>
          <w:bottom w:w="28" w:type="dxa"/>
          <w:right w:w="28" w:type="dxa"/>
        </w:tblCellMar>
      </w:tblPr>
      <w:tblGrid>
        <w:gridCol w:w="989"/>
        <w:gridCol w:w="868"/>
        <w:gridCol w:w="872"/>
        <w:gridCol w:w="287"/>
        <w:gridCol w:w="838"/>
        <w:gridCol w:w="209"/>
      </w:tblGrid>
      <w:tr>
        <w:trPr/>
        <w:tc>
          <w:tcPr>
            <w:tcW w:w="98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fiscal year 2023</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2024</w:t>
            </w:r>
          </w:p>
        </w:tc>
        <w:tc>
          <w:tcPr>
            <w:tcW w:w="112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2025</w:t>
            </w:r>
          </w:p>
        </w:tc>
        <w:tc>
          <w:tcPr>
            <w:tcW w:w="112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2026</w:t>
            </w:r>
          </w:p>
        </w:tc>
        <w:tc>
          <w:tcPr>
            <w:tcW w:w="112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2027 and thereafter</w:t>
            </w:r>
          </w:p>
        </w:tc>
        <w:tc>
          <w:tcPr>
            <w:tcW w:w="112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payments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Implied interest</w:t>
            </w:r>
          </w:p>
        </w:tc>
        <w:tc>
          <w:tcPr>
            <w:tcW w:w="112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25, 2023, the weighted-average remaining lease term and the weighted-average incremental borrowing rate of the Company’s operating leases was approximately 2.7 years and 7.5%, respectively. Operating cash flows for amounts included in the measurement of the Company’s operating lease liabilities were $0.9 million for the six months ended March 25,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6. Inventories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Inventories at March 25, 2023 and September 24, 2022 consist of the following (in thousands):</w:t>
      </w:r>
    </w:p>
    <w:tbl>
      <w:tblPr>
        <w:tblW w:w="5905" w:type="dxa"/>
        <w:jc w:val="center"/>
        <w:tblInd w:w="0" w:type="dxa"/>
        <w:tblCellMar>
          <w:top w:w="28" w:type="dxa"/>
          <w:left w:w="28" w:type="dxa"/>
          <w:bottom w:w="28" w:type="dxa"/>
          <w:right w:w="28" w:type="dxa"/>
        </w:tblCellMar>
      </w:tblPr>
      <w:tblGrid>
        <w:gridCol w:w="955"/>
        <w:gridCol w:w="841"/>
        <w:gridCol w:w="843"/>
        <w:gridCol w:w="237"/>
        <w:gridCol w:w="930"/>
        <w:gridCol w:w="122"/>
        <w:gridCol w:w="109"/>
        <w:gridCol w:w="109"/>
        <w:gridCol w:w="109"/>
        <w:gridCol w:w="320"/>
        <w:gridCol w:w="1096"/>
        <w:gridCol w:w="234"/>
      </w:tblGrid>
      <w:tr>
        <w:trPr/>
        <w:tc>
          <w:tcPr>
            <w:tcW w:w="955"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2639"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components</w:t>
            </w:r>
          </w:p>
        </w:tc>
        <w:tc>
          <w:tcPr>
            <w:tcW w:w="237"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127,215 </w:t>
            </w:r>
          </w:p>
        </w:tc>
        <w:tc>
          <w:tcPr>
            <w:tcW w:w="122"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88,999 </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37"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140,441 </w:t>
            </w:r>
          </w:p>
        </w:tc>
        <w:tc>
          <w:tcPr>
            <w:tcW w:w="12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23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pPr>
      <w:r>
        <w:rPr>
          <w:rFonts w:ascii="Times New Roman;sans-serif" w:hAnsi="Times New Roman;sans-serif"/>
          <w:b w:val="false"/>
          <w:color w:val="000000"/>
          <w:sz w:val="20"/>
        </w:rPr>
        <w:t xml:space="preserve">During the second quarter of fiscal year 2023, inventory impairment charges of $5.2 million were recorded resulting from management’s commitment to actions to restructure certain parts of the Company within the U.S. and Canada, as further described in Note 8, </w:t>
      </w:r>
      <w:r>
        <w:rPr>
          <w:rFonts w:ascii="Times New Roman;sans-serif" w:hAnsi="Times New Roman;sans-serif"/>
          <w:b w:val="false"/>
          <w:i/>
          <w:color w:val="000000"/>
          <w:sz w:val="20"/>
        </w:rPr>
        <w:t>Severance Charges</w:t>
      </w:r>
      <w:r>
        <w:rPr>
          <w:rFonts w:ascii="Times New Roman;sans-serif" w:hAnsi="Times New Roman;sans-serif"/>
          <w:b w:val="false"/>
          <w:color w:val="000000"/>
          <w:sz w:val="20"/>
        </w:rPr>
        <w:t xml:space="preserve">. These impairment charges were recorded within Systems Cost of Revenue in the Consolidated Statements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7. Property and Equipment</w:t>
      </w:r>
    </w:p>
    <w:p>
      <w:pPr>
        <w:pStyle w:val="TextBody"/>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March 25, 2023 and September 24, 2022 consists of the following (in thousands):</w:t>
      </w:r>
    </w:p>
    <w:tbl>
      <w:tblPr>
        <w:tblW w:w="9611" w:type="dxa"/>
        <w:jc w:val="left"/>
        <w:tblInd w:w="0" w:type="dxa"/>
        <w:tblCellMar>
          <w:top w:w="28" w:type="dxa"/>
          <w:left w:w="28" w:type="dxa"/>
          <w:bottom w:w="28" w:type="dxa"/>
          <w:right w:w="28" w:type="dxa"/>
        </w:tblCellMar>
      </w:tblPr>
      <w:tblGrid>
        <w:gridCol w:w="2298"/>
        <w:gridCol w:w="2017"/>
        <w:gridCol w:w="2029"/>
        <w:gridCol w:w="261"/>
        <w:gridCol w:w="894"/>
        <w:gridCol w:w="135"/>
        <w:gridCol w:w="109"/>
        <w:gridCol w:w="109"/>
        <w:gridCol w:w="109"/>
        <w:gridCol w:w="320"/>
        <w:gridCol w:w="1096"/>
        <w:gridCol w:w="234"/>
      </w:tblGrid>
      <w:tr>
        <w:trPr/>
        <w:tc>
          <w:tcPr>
            <w:tcW w:w="2298"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6344"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 furniture and fixtures, and test equipment</w:t>
            </w:r>
          </w:p>
        </w:tc>
        <w:tc>
          <w:tcPr>
            <w:tcW w:w="261"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59,543 </w:t>
            </w:r>
          </w:p>
        </w:tc>
        <w:tc>
          <w:tcPr>
            <w:tcW w:w="135"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45,818 </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155" w:type="dxa"/>
            <w:gridSpan w:val="2"/>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62,439 </w:t>
            </w:r>
          </w:p>
        </w:tc>
        <w:tc>
          <w:tcPr>
            <w:tcW w:w="135"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48,722 </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6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35,539 </w:t>
            </w:r>
          </w:p>
        </w:tc>
        <w:tc>
          <w:tcPr>
            <w:tcW w:w="13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23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March 25, 2023, depreciation expense was $1.6 million and $3.2 million, respectively. For the three and six months ended March 26, 2022, depreciation expense was $1.3 million and $2.5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8. Severance Charges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year 2023, management committed to actions to restructure certain parts of the Company within the U.S. and Canada to better position the Company to become more agile in delivering its solutions through various outsourcing partnerships. As a result, certain headcount reductions were necessary, and the Company recognized $2.3 million of expense associated with these actions, which is included within selling, general, and administrative expenses on the Consolidated Statements of Operations for the three and six months ended March 25, 2023, and is expected to be substantially completed within the fiscal year.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Consolidated Balance Sheets.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activity related to the Company’s severance liability as of March 25, 2023 (in thousands). The Company did not have material severance activity for the period ended September 24, 2022. </w:t>
      </w:r>
    </w:p>
    <w:tbl>
      <w:tblPr>
        <w:tblW w:w="4843" w:type="dxa"/>
        <w:jc w:val="left"/>
        <w:tblInd w:w="0" w:type="dxa"/>
        <w:tblCellMar>
          <w:top w:w="28" w:type="dxa"/>
          <w:left w:w="28" w:type="dxa"/>
          <w:bottom w:w="28" w:type="dxa"/>
          <w:right w:w="28" w:type="dxa"/>
        </w:tblCellMar>
      </w:tblPr>
      <w:tblGrid>
        <w:gridCol w:w="1269"/>
        <w:gridCol w:w="1118"/>
        <w:gridCol w:w="1122"/>
        <w:gridCol w:w="287"/>
        <w:gridCol w:w="838"/>
        <w:gridCol w:w="209"/>
      </w:tblGrid>
      <w:tr>
        <w:trPr/>
        <w:tc>
          <w:tcPr>
            <w:tcW w:w="126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liability at September 25, 2022</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charges</w:t>
            </w:r>
          </w:p>
        </w:tc>
        <w:tc>
          <w:tcPr>
            <w:tcW w:w="112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and other</w:t>
            </w:r>
          </w:p>
        </w:tc>
        <w:tc>
          <w:tcPr>
            <w:tcW w:w="112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liability at March 25, 2023</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income taxes, in addition to state and local income taxes, with respect to its allocable share of any taxable income or loss of Symbotic Holdings, LLC. The remaining share of Symbotic Holdings income or loss is non-taxable to the Company and is not reflected in current or deferred income taxes. The Company’s foreign subsidiaries are subject to income tax in its local jurisdictions.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reporting predecessor, Legacy Warehouse, was a limited liability company that was treated as a partnership for U.S. federal income tax purposes and for most applicable state and local income tax purposes. As a partnership, Legacy Warehouse was not subject to U.S. federal and certain state and local income taxes. Any taxable income or loss generated by Legacy Warehouse was passed through to and included in the taxable income or loss of its members on a pro rata basis, subject to applicable tax regulations. No provision, except for certain foreign subsidiaries which are taxed in their respective foreign jurisdictions, was made in the consolidated financial statements for income taxes. Because Legacy Warehouse was the Company’s financial reporting predecessor and not subject to entity level income tax, and because its foreign subsidiaries had a full valuation allowance against their deferred tax assets, no current or deferred income tax provision or benefit was recorded for the three or six months ended March 26, 2022.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March 25, 2023, the Company recorded less than a $0.1 million current income tax benefit and a $0.2 million current income tax expense, respectively. The Company incurred a pre-tax loss for the three and six month periods and recorded a full valuation allowance against its deferred tax assets, but incurred state tax expense by Symbotic LLC at the flow-through entity level. The effective tax rate for the six months ended March 25, 2023 is (0.19)% and differs from the federal statutory income tax rate primarily due to the flow-through entity level state taxes and the effect of the full valuation allowance against its net federal, state, and foreign deferred taxes.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25, 2023, the Company continues to conclude that the negative evidence regarding its ability to realize its deferred tax assets outweighs the positive evidence, and the Company has a full valuation allowance against its federal, state, and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25, 2023 future payments under the Tax Receivable Agreement (“TRA”) with respect to the purchase of Symbotic Holdings Units which occurred as part of or subsequent to the Business Combination are expected to be $117.8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consolidated statement of operations in the period in which the change occurs. As of March 25, 2023, no TRA liability was recorded based on current projections of future taxable income taking into consideration the Company’s full valuation allowance against its net deferred tax asset.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10. Fair Value Measures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inputs to the valuation methodology are quoted prices (unadjusted) for an identical asset or liability in an active market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inputs to the valuation methodology include quoted prices for a similar asset or liability in an active market or model-derived valuations in which all significant inputs are observable for substantially the full term of the asset or liability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inputs to the valuation methodology are unobservable and significant to the fair value measurement of the asset or liability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financial assets measured and recorded at fair value on a recurring basis using the above input categories as of March 25, 2023 and September 24, 2022 (in thousands):</w:t>
      </w:r>
    </w:p>
    <w:tbl>
      <w:tblPr>
        <w:tblW w:w="11128" w:type="dxa"/>
        <w:jc w:val="center"/>
        <w:tblInd w:w="0" w:type="dxa"/>
        <w:tblCellMar>
          <w:top w:w="28" w:type="dxa"/>
          <w:left w:w="28" w:type="dxa"/>
          <w:bottom w:w="28" w:type="dxa"/>
          <w:right w:w="28" w:type="dxa"/>
        </w:tblCellMar>
      </w:tblPr>
      <w:tblGrid>
        <w:gridCol w:w="435"/>
        <w:gridCol w:w="224"/>
        <w:gridCol w:w="22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21"/>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had no liabilities measured and recorded at fair value on a recurring basis as of March 25, 2023 and September 24, 2022.</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25, 2023,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March 25, 2023, the amortized cost of the Company’s U.S. Treasury securities is $282.6 million, with unrealized gains of $2.4 million and no unrealized losses, resulting in a fair value of $285.0 million. As the amortized cost basis is less than the fair value at March 25, 2023, the Company has concluded that there is no plan to sell the security nor is it more likely than not that the Company would be required to sell the security before its anticipated recovery. As applicable, when making the determination as to whether unrealized losses are other-than-temporary, the Company considers the length of time and extent to which each investment has been in an unrealized loss position, the financial condition and near-term prospects of the issuers, the issuers’ credit rating, and the time to maturity. Included in the amortized cost of $282.6 million is $79.1 million of cash and cash equivalents related to U.S. Treasury securities with an original maturity of three months or less.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Insurance Coverage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first quarter of fiscal year 2023, the Company was covered under the C&amp;S Wholesale Grocers, Inc. (“C&amp;S”) workers’ compensation, general liability, auto liability risk, and technology errors and omissions insurance which C&amp;S managed through the utilization of high deductible insurance policies. C&amp;S is an affiliate of the Company as the same individual, certain of his family members and certain affiliated entities and trusts of the individual and his family members, in the aggregate, control both entities. The Company paid $0.6 million and $1.0 million to C&amp;S related to this insurance coverage during the three and six months ended March 26, 2022. The amounts were expensed to operations as incurred.</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Aircraft Time Sharing Agreement</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2021 and May 2022, the Company entered into aircraft time-sharing agreements with C&amp;S whereby the Company’s officials, employees, and guests are permitted to use the two C&amp;S aircrafts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and six months ended March 25, 2023, the Company incurred expense of $0.3 million and $0.4 million, respectively. No expense was recorded for the three and six months ended March 26, 2022 related to these aircraft time-sharing agreements.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Usage of Facility and Employee Services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year 2022, the Company entered into a license arrangement with C&amp;S whereby C&amp;S is providing receiving and logistics services for the Company within a C&amp;S distribution facility. The arrangement also provides for C&amp;S employees assisting with certain of the Company’s operations. For the three and six months ended March 25, 2023, the Company incurred $0.7 million and $1.0 million, respectively, of expense related to this arrangement.</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Contracts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customer contracts with C&amp;S relating to systems implementation, software maintenance services and the operations of a warehouse automation system. For the three and six months ended March 25, 2023, revenue of $7.2 million and $12.7 million was recognized, respectively, relating to these customer contracts. For the three and six months ended March 26, 2022, revenue of $0.9 million and $1.7 million was recognized, respectively, relating to these customer contracts. There were no accounts receivable due from C&amp;S at March 25, 2023 and September 24, 2022. There was $10.1 million of deferred revenue relating to contracts with C&amp;S at March 25, 2023 and $0.5 million of deferred revenue relating to contracts with C&amp;S at September 24,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Liabilities for any loss contingencies arising from claims, assessments, litigation, fines, penalties, and other matters are recorded when it is probable that the liability has been incurred and the amount of the liability can be reasonably estimated. As of March 25, 2023, the Company has made appropriate provisions related to such matters and does not believe that such matters will have a material adverse effect on the Company’s consolidated operations, financial position, or liquidity.</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March 25, 2023 and September 24, 2022.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Warranty</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limited warranty on its warehouse automation systems and has established a reserve for warranty obligations based on estimated warranty costs. The reserve is included as part of accrued expenses and other long-term liabilities in the accompanying consolidated balance sheets.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Activity related to the warranty accrual is as follows (in thousands): </w:t>
      </w:r>
    </w:p>
    <w:tbl>
      <w:tblPr>
        <w:tblW w:w="8824" w:type="dxa"/>
        <w:jc w:val="left"/>
        <w:tblInd w:w="0" w:type="dxa"/>
        <w:tblCellMar>
          <w:top w:w="28" w:type="dxa"/>
          <w:left w:w="28" w:type="dxa"/>
          <w:bottom w:w="28" w:type="dxa"/>
          <w:right w:w="28" w:type="dxa"/>
        </w:tblCellMar>
      </w:tblPr>
      <w:tblGrid>
        <w:gridCol w:w="956"/>
        <w:gridCol w:w="840"/>
        <w:gridCol w:w="843"/>
        <w:gridCol w:w="261"/>
        <w:gridCol w:w="894"/>
        <w:gridCol w:w="135"/>
        <w:gridCol w:w="109"/>
        <w:gridCol w:w="109"/>
        <w:gridCol w:w="109"/>
        <w:gridCol w:w="291"/>
        <w:gridCol w:w="849"/>
        <w:gridCol w:w="150"/>
        <w:gridCol w:w="109"/>
        <w:gridCol w:w="109"/>
        <w:gridCol w:w="109"/>
        <w:gridCol w:w="261"/>
        <w:gridCol w:w="894"/>
        <w:gridCol w:w="135"/>
        <w:gridCol w:w="109"/>
        <w:gridCol w:w="109"/>
        <w:gridCol w:w="109"/>
        <w:gridCol w:w="287"/>
        <w:gridCol w:w="838"/>
        <w:gridCol w:w="209"/>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7"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usage</w:t>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13. Net Loss per Share</w:t>
      </w:r>
    </w:p>
    <w:p>
      <w:pPr>
        <w:pStyle w:val="TextBody"/>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w:t>
      </w:r>
    </w:p>
    <w:p>
      <w:pPr>
        <w:pStyle w:val="TextBody"/>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membership structure of Warehouse Technologies LLC included units which shared in the profits and losses of Warehouse Technologies LLC. The Company analyzed the calculation of earnings per unit for periods prior to the Business Combination and determined that it resulted in values that would not be meaningful to the users of these unaudited condensed consolidated financial statements. Therefore, earnings per share information has not been presented for periods prior to the Business Combination on June 7, 2022.</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reconciliations of the numerators and denominators used to compute basic and diluted earnings per share of Class A common stock (in thousands, except per share information): </w:t>
      </w:r>
    </w:p>
    <w:tbl>
      <w:tblPr>
        <w:tblW w:w="8997" w:type="dxa"/>
        <w:jc w:val="left"/>
        <w:tblInd w:w="0" w:type="dxa"/>
        <w:tblCellMar>
          <w:top w:w="28" w:type="dxa"/>
          <w:left w:w="28" w:type="dxa"/>
          <w:bottom w:w="28" w:type="dxa"/>
          <w:right w:w="28" w:type="dxa"/>
        </w:tblCellMar>
      </w:tblPr>
      <w:tblGrid>
        <w:gridCol w:w="1929"/>
        <w:gridCol w:w="1693"/>
        <w:gridCol w:w="1703"/>
        <w:gridCol w:w="332"/>
        <w:gridCol w:w="1252"/>
        <w:gridCol w:w="171"/>
        <w:gridCol w:w="109"/>
        <w:gridCol w:w="109"/>
        <w:gridCol w:w="109"/>
        <w:gridCol w:w="265"/>
        <w:gridCol w:w="1132"/>
        <w:gridCol w:w="193"/>
      </w:tblGrid>
      <w:tr>
        <w:trPr/>
        <w:tc>
          <w:tcPr>
            <w:tcW w:w="1929"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Numerator - basic and diluted</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32"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(55,416)</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(123,402)</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the noncontrolling interest</w:t>
            </w:r>
          </w:p>
        </w:tc>
        <w:tc>
          <w:tcPr>
            <w:tcW w:w="158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(110,091)</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Denominator - basic and diluted</w:t>
            </w:r>
          </w:p>
        </w:tc>
        <w:tc>
          <w:tcPr>
            <w:tcW w:w="1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shares outstanding</w:t>
            </w:r>
          </w:p>
        </w:tc>
        <w:tc>
          <w:tcPr>
            <w:tcW w:w="1755"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60,503,119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59,352,634</w:t>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 - basic and diluted</w:t>
            </w:r>
          </w:p>
        </w:tc>
        <w:tc>
          <w:tcPr>
            <w:tcW w:w="3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Company incurred net losses for each of the periods presented, diluted net loss per share is the same as basic net loss per share. All of the Company’s unvested RSUs and shares issuable under the ESPP, as well as the Warrant Units were excluded in the calculation of diluted net loss per share as the effect would be anti-dilutive.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uses the treasury stock method and the average market price per share during the period for calculating any potential dilutive effect of the RSUs, ESPP and Warrant Units. The average stock price for the three and six months ended March 25, 2023 was $15.92 and $13.72, respectively. For the three months ended March 25, 2023, there were 3,491,730 and 5,898,531 potentially dilutive common stock equivalents related to the RSUs and Warrant Units, respectively. For the six months ended March 25, 2023, there were 4,307,104 potentially dilutive common stock equivalents related to the Warrant Units.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14. Stock-Based Compensation and Warrant Units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June 3, 2022, the Company’s stockholders approved, and on June 7, 2022, the Company’s board of directors adopted the 2022 Employee Stock Purchase Plan (the “ESPP”). The ESPP authorizes the issuance of up to a total of 1,266,604 shares of common stock to participating employees, and allows eligible employees to purchase shares of Class A Common Stock at a 15% discount from the fair market value of the stock as determined on specific dates at six-month intervals. The offering periods for the ESPP generally start on the first trading day on or after January 1st and July 1st of each year. However, the first offering period for the ESPP commenced on the first trading day after October 1, 2022 and ended on December 31, 2022, with the second offering period commencing on the first trading day after January 1, 2023 and ending on June 30, 2023.</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two tables show stock-based compensation expense by award type and where the stock-based compensation expense is recorded in the Company’s consolidated statements of operations (in thousands):</w:t>
      </w:r>
    </w:p>
    <w:tbl>
      <w:tblPr>
        <w:tblW w:w="7421" w:type="dxa"/>
        <w:jc w:val="left"/>
        <w:tblInd w:w="0" w:type="dxa"/>
        <w:tblCellMar>
          <w:top w:w="28" w:type="dxa"/>
          <w:left w:w="28" w:type="dxa"/>
          <w:bottom w:w="28" w:type="dxa"/>
          <w:right w:w="28" w:type="dxa"/>
        </w:tblCellMar>
      </w:tblPr>
      <w:tblGrid>
        <w:gridCol w:w="1358"/>
        <w:gridCol w:w="1195"/>
        <w:gridCol w:w="1197"/>
        <w:gridCol w:w="355"/>
        <w:gridCol w:w="1216"/>
        <w:gridCol w:w="183"/>
        <w:gridCol w:w="109"/>
        <w:gridCol w:w="109"/>
        <w:gridCol w:w="109"/>
        <w:gridCol w:w="309"/>
        <w:gridCol w:w="1056"/>
        <w:gridCol w:w="225"/>
      </w:tblGrid>
      <w:tr>
        <w:trPr/>
        <w:tc>
          <w:tcPr>
            <w:tcW w:w="1358"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(service-based and performance-based)</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57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Effect of stock-based compensation expense on income by line item (in thousands):</w:t>
      </w:r>
    </w:p>
    <w:tbl>
      <w:tblPr>
        <w:tblW w:w="7946" w:type="dxa"/>
        <w:jc w:val="left"/>
        <w:tblInd w:w="0" w:type="dxa"/>
        <w:tblCellMar>
          <w:top w:w="28" w:type="dxa"/>
          <w:left w:w="28" w:type="dxa"/>
          <w:bottom w:w="28" w:type="dxa"/>
          <w:right w:w="28" w:type="dxa"/>
        </w:tblCellMar>
      </w:tblPr>
      <w:tblGrid>
        <w:gridCol w:w="1549"/>
        <w:gridCol w:w="1360"/>
        <w:gridCol w:w="1366"/>
        <w:gridCol w:w="355"/>
        <w:gridCol w:w="1216"/>
        <w:gridCol w:w="183"/>
        <w:gridCol w:w="109"/>
        <w:gridCol w:w="109"/>
        <w:gridCol w:w="109"/>
        <w:gridCol w:w="309"/>
        <w:gridCol w:w="1056"/>
        <w:gridCol w:w="225"/>
      </w:tblGrid>
      <w:tr>
        <w:trPr/>
        <w:tc>
          <w:tcPr>
            <w:tcW w:w="1549"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Systems</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Software maintenance and support</w:t>
            </w:r>
          </w:p>
        </w:tc>
        <w:tc>
          <w:tcPr>
            <w:tcW w:w="157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Operation services</w:t>
            </w:r>
          </w:p>
        </w:tc>
        <w:tc>
          <w:tcPr>
            <w:tcW w:w="157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57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57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Units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May 20, 2022, in connection with its entry into the 2nd Amended and Restated Master Automation Agreement, the Company issued Walmart a warrant to acquire up to an aggregate of 258,972 Legacy Warehouse Class A Units (“May 2022 Warrant”), subject to certain vesting conditions. The May 2022 Warrant had a grant date fair value of $224.45. In connection with the closing of the Business Combination, the May 2022 Warrant was converted into a new warrant to acquire up to an aggregate of 15,870,411 common units of Symbotic Holdings (“June 2022 Warrant” and, the common units of Symbotic Holdings issuable thereunder, the “Warrant Units”). As of March 25, 2023, the June 2022 Warrant had vested, as the installation commencement date for certain Systems which the Company is installing in Walmart’s 42 regional distribution centers had occurred. Upon this vesting, units may be acquired at an exercise price of $10.00 per unit. The Warrant Units contain customary anti-dilution, down-round, and change-in-control provisions. The right to purchase units in connection with the June 2022 Warrant expires on June 7, 2027.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15. Segment and Geographic Information</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one operating segment. Revenue and property and equipment, net by geographic region, based on physical location of the operations recording the sale or the assets are as follows: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Revenue by geographical region for the three and six months ended March 25, 2023 and March 26, 2022 are as follows (in thousands):</w:t>
      </w:r>
    </w:p>
    <w:tbl>
      <w:tblPr>
        <w:tblW w:w="10205" w:type="dxa"/>
        <w:jc w:val="left"/>
        <w:tblInd w:w="0" w:type="dxa"/>
        <w:tblCellMar>
          <w:top w:w="28" w:type="dxa"/>
          <w:left w:w="28" w:type="dxa"/>
          <w:bottom w:w="28" w:type="dxa"/>
          <w:right w:w="28" w:type="dxa"/>
        </w:tblCellMar>
      </w:tblPr>
      <w:tblGrid>
        <w:gridCol w:w="1470"/>
        <w:gridCol w:w="1270"/>
        <w:gridCol w:w="1247"/>
        <w:gridCol w:w="211"/>
        <w:gridCol w:w="826"/>
        <w:gridCol w:w="271"/>
        <w:gridCol w:w="109"/>
        <w:gridCol w:w="109"/>
        <w:gridCol w:w="109"/>
        <w:gridCol w:w="222"/>
        <w:gridCol w:w="759"/>
        <w:gridCol w:w="285"/>
        <w:gridCol w:w="109"/>
        <w:gridCol w:w="109"/>
        <w:gridCol w:w="109"/>
        <w:gridCol w:w="211"/>
        <w:gridCol w:w="826"/>
        <w:gridCol w:w="271"/>
        <w:gridCol w:w="109"/>
        <w:gridCol w:w="109"/>
        <w:gridCol w:w="109"/>
        <w:gridCol w:w="211"/>
        <w:gridCol w:w="826"/>
        <w:gridCol w:w="318"/>
      </w:tblGrid>
      <w:tr>
        <w:trPr/>
        <w:tc>
          <w:tcPr>
            <w:tcW w:w="1470"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1"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0"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398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 generated outside of the United States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 by geographical region at March 25, 2023 and at September 24, 2022 are as follows (in thousands):</w:t>
      </w:r>
    </w:p>
    <w:tbl>
      <w:tblPr>
        <w:tblW w:w="9506" w:type="dxa"/>
        <w:jc w:val="center"/>
        <w:tblInd w:w="0" w:type="dxa"/>
        <w:tblCellMar>
          <w:top w:w="28" w:type="dxa"/>
          <w:left w:w="28" w:type="dxa"/>
          <w:bottom w:w="28" w:type="dxa"/>
          <w:right w:w="28" w:type="dxa"/>
        </w:tblCellMar>
      </w:tblPr>
      <w:tblGrid>
        <w:gridCol w:w="2263"/>
        <w:gridCol w:w="1983"/>
        <w:gridCol w:w="1994"/>
        <w:gridCol w:w="226"/>
        <w:gridCol w:w="773"/>
        <w:gridCol w:w="290"/>
        <w:gridCol w:w="109"/>
        <w:gridCol w:w="109"/>
        <w:gridCol w:w="109"/>
        <w:gridCol w:w="279"/>
        <w:gridCol w:w="953"/>
        <w:gridCol w:w="418"/>
      </w:tblGrid>
      <w:tr>
        <w:trPr/>
        <w:tc>
          <w:tcPr>
            <w:tcW w:w="2263"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6240"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6"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34,553 </w:t>
            </w:r>
          </w:p>
        </w:tc>
        <w:tc>
          <w:tcPr>
            <w:tcW w:w="290"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23,640 </w:t>
            </w:r>
          </w:p>
        </w:tc>
        <w:tc>
          <w:tcPr>
            <w:tcW w:w="418"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9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26"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35,539 </w:t>
            </w:r>
          </w:p>
        </w:tc>
        <w:tc>
          <w:tcPr>
            <w:tcW w:w="290"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C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418" w:type="dxa"/>
            <w:tcBorders>
              <w:top w:val="single" w:sz="8" w:space="0" w:color="000000"/>
            </w:tcBorders>
            <w:shd w:fill="CCEC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property and equipment, net held outside of the United States</w:t>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
        <w:jc w:val="both"/>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evaluated subsequent events and transactions that occurred after the balance sheet date up to the date that the condensed consolidated financial statements were issued. Other than as described in these condensed consolidated financial statements, the Company did not identify any subsequent events that would have required adjustment or disclosure in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60" w:after="283"/>
        <w:ind w:left="0" w:right="0" w:firstLine="360"/>
        <w:rPr/>
      </w:pPr>
      <w:r>
        <w:rPr/>
      </w:r>
    </w:p>
    <w:p>
      <w:pPr>
        <w:pStyle w:val="TextBody"/>
        <w:spacing w:lineRule="auto" w:line="297" w:before="60" w:after="240"/>
        <w:ind w:left="0" w:right="0" w:firstLine="51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24, 2022, as included within our Annual Report on Form 10-K, as filed with the Securities and Exchange Commission on December 9, 2022.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w:t>
      </w:r>
    </w:p>
    <w:p>
      <w:pPr>
        <w:pStyle w:val="TextBody"/>
        <w:spacing w:lineRule="auto" w:line="240" w:before="0" w:after="200"/>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artificial intelligence (“A.I.”) enabled system software to achieve at scale, real world supply chain improvements that are so compelling that we believe our approach can become the de facto standard approach for how warehouses operate. </w:t>
      </w:r>
    </w:p>
    <w:p>
      <w:pPr>
        <w:pStyle w:val="TextBody"/>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Key Components of Consolidated Statements of Operations</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through our design and installation of modular inventory management systems (the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identified the following distinct performance obligations in our contracts with customers:</w:t>
      </w:r>
    </w:p>
    <w:p>
      <w:pPr>
        <w:pStyle w:val="TextBody"/>
        <w:spacing w:lineRule="auto" w:line="288" w:before="60" w:after="283"/>
        <w:ind w:left="0" w:right="0" w:firstLine="360"/>
        <w:rPr/>
      </w:pPr>
      <w:r>
        <w:rPr>
          <w:rFonts w:ascii="Times New Roman;sans-serif" w:hAnsi="Times New Roman;sans-serif"/>
          <w:b w:val="false"/>
          <w:color w:val="000000"/>
          <w:sz w:val="20"/>
          <w:u w:val="single"/>
        </w:rPr>
        <w:t>Systems</w:t>
      </w:r>
      <w:r>
        <w:rPr>
          <w:rFonts w:ascii="Times New Roman;sans-serif" w:hAnsi="Times New Roman;sans-serif"/>
          <w:b w:val="false"/>
          <w:color w:val="000000"/>
          <w:sz w:val="20"/>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 modular hardware and embedded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pStyle w:val="TextBody"/>
        <w:spacing w:lineRule="auto" w:line="288" w:before="60" w:after="283"/>
        <w:ind w:left="0" w:right="0" w:firstLine="360"/>
        <w:rPr/>
      </w:pPr>
      <w:r>
        <w:rPr>
          <w:rFonts w:ascii="Times New Roman;sans-serif" w:hAnsi="Times New Roman;sans-serif"/>
          <w:b w:val="false"/>
          <w:color w:val="000000"/>
          <w:sz w:val="20"/>
          <w:u w:val="single"/>
        </w:rPr>
        <w:t>Software maintenance and support</w:t>
      </w:r>
      <w:r>
        <w:rPr>
          <w:rFonts w:ascii="Times New Roman;sans-serif" w:hAnsi="Times New Roman;sans-serif"/>
          <w:b w:val="false"/>
          <w:color w:val="000000"/>
          <w:sz w:val="20"/>
        </w:rPr>
        <w:t>: Software maintenance and support refer to support services that provide our customers with technical support, updates, and upgrades to the embedded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our software maintenance and support contracts, is 15 years.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pPr>
      <w:r>
        <w:rPr>
          <w:rFonts w:ascii="Times New Roman;sans-serif" w:hAnsi="Times New Roman;sans-serif"/>
          <w:b w:val="false"/>
          <w:color w:val="000000"/>
          <w:sz w:val="20"/>
          <w:u w:val="single"/>
        </w:rPr>
        <w:t>Operation services</w:t>
      </w:r>
      <w:r>
        <w:rPr>
          <w:rFonts w:ascii="Times New Roman;sans-serif" w:hAnsi="Times New Roman;sans-serif"/>
          <w:b w:val="false"/>
          <w:color w:val="000000"/>
          <w:sz w:val="20"/>
        </w:rPr>
        <w:t xml:space="preserve">: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 </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cost of revenue is composed of the following for each of our distinct performance obligations:</w:t>
      </w:r>
    </w:p>
    <w:p>
      <w:pPr>
        <w:pStyle w:val="TextBody"/>
        <w:spacing w:lineRule="auto" w:line="288" w:before="60" w:after="283"/>
        <w:ind w:left="0" w:right="0" w:firstLine="360"/>
        <w:rPr/>
      </w:pPr>
      <w:r>
        <w:rPr>
          <w:rFonts w:ascii="Times New Roman;sans-serif" w:hAnsi="Times New Roman;sans-serif"/>
          <w:b w:val="false"/>
          <w:color w:val="000000"/>
          <w:sz w:val="20"/>
          <w:u w:val="single"/>
        </w:rPr>
        <w:t>Systems</w:t>
      </w:r>
      <w:r>
        <w:rPr>
          <w:rFonts w:ascii="Times New Roman;sans-serif" w:hAnsi="Times New Roman;sans-serif"/>
          <w:b w:val="false"/>
          <w:color w:val="000000"/>
          <w:sz w:val="20"/>
        </w:rPr>
        <w:t>: Systems cost of revenue consists primarily of material and labor consumed in the production and installation of customer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can be reasonably certain upon contract inception, systems cost of revenue is expensed as incurred.</w:t>
      </w:r>
    </w:p>
    <w:p>
      <w:pPr>
        <w:pStyle w:val="TextBody"/>
        <w:spacing w:lineRule="auto" w:line="288" w:before="60" w:after="283"/>
        <w:ind w:left="0" w:right="0" w:firstLine="360"/>
        <w:rPr/>
      </w:pPr>
      <w:r>
        <w:rPr>
          <w:rFonts w:ascii="Times New Roman;sans-serif" w:hAnsi="Times New Roman;sans-serif"/>
          <w:b w:val="false"/>
          <w:color w:val="000000"/>
          <w:sz w:val="20"/>
          <w:u w:val="single"/>
        </w:rPr>
        <w:t>Software maintenance and support</w:t>
      </w:r>
      <w:r>
        <w:rPr>
          <w:rFonts w:ascii="Times New Roman;sans-serif" w:hAnsi="Times New Roman;sans-serif"/>
          <w:b w:val="false"/>
          <w:color w:val="000000"/>
          <w:sz w:val="20"/>
        </w:rPr>
        <w:t xml:space="preserve">: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 </w:t>
      </w:r>
    </w:p>
    <w:p>
      <w:pPr>
        <w:pStyle w:val="TextBody"/>
        <w:spacing w:lineRule="auto" w:line="288" w:before="60" w:after="283"/>
        <w:ind w:left="0" w:right="0" w:firstLine="360"/>
        <w:rPr/>
      </w:pPr>
      <w:r>
        <w:rPr>
          <w:rFonts w:ascii="Times New Roman;sans-serif" w:hAnsi="Times New Roman;sans-serif"/>
          <w:b w:val="false"/>
          <w:color w:val="000000"/>
          <w:sz w:val="20"/>
          <w:u w:val="single"/>
        </w:rPr>
        <w:t>Operation services</w:t>
      </w:r>
      <w:r>
        <w:rPr>
          <w:rFonts w:ascii="Times New Roman;sans-serif" w:hAnsi="Times New Roman;sans-serif"/>
          <w:b w:val="false"/>
          <w:color w:val="000000"/>
          <w:sz w:val="20"/>
        </w:rPr>
        <w:t xml:space="preserve">: Operation services cost of revenue consists primarily of labor cost for our operations team who is providing services to our customers to run their System within their distribution center. Operation services cost of revenue is expensed as incurred. </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 </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 </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dividend and interest income earned on our money market accounts and the impact of foreign currency transaction gains and losses associated with monetary assets and liabilities.</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federal income taxes, in addition to state and local income taxes, with respect to our allocable share of any taxable income or loss of Symbotic Holdings. For the three and six months ended March 25, 2023, we recorded less than a $0.1 million current income tax benefit and a $0.2 million current income tax expense, respectively, of income tax expense. We incurred a pre-tax loss for the period and recorded a full valuation allowance against our deferred tax assets, but have state income tax expense incurred by Symbotic LLC at the flow-through entity level. Prior to the Business Combination, Legacy Warehouse was treated as a pass-through entity for tax purposes and had certain foreign subsidiaries. No income tax expense was recorded for the three or six months ended March 26, 2022 due to Legacy Warehouse’s pass-through status and foreign subsidiaries having a full valuation allowance against their deferred tax assets. </w:t>
      </w:r>
    </w:p>
    <w:p>
      <w:pPr>
        <w:pStyle w:val="TextBody"/>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Strategic and Organizational Update</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year 2023, we committed to actions to restructure certain parts of the Company within the U.S. and Canada to better position us to become more agile in delivering our solutions through various outsourcing partnerships. As a result, certain headcount reductions were necessary, and we recognized $2.3 million of severance charges, $5.3 million of inventory impairment charges, and $0.1 million of property and equipment impairment charges associated with these actions. In addition, we incurred $0.7 million of severance charges related to other employee headcount reductions.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Three and Six Months Ended March 25, 2023 and March 26, 2022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W w:w="9963" w:type="dxa"/>
        <w:jc w:val="left"/>
        <w:tblInd w:w="0" w:type="dxa"/>
        <w:tblCellMar>
          <w:top w:w="28" w:type="dxa"/>
          <w:left w:w="28" w:type="dxa"/>
          <w:bottom w:w="28" w:type="dxa"/>
          <w:right w:w="28" w:type="dxa"/>
        </w:tblCellMar>
      </w:tblPr>
      <w:tblGrid>
        <w:gridCol w:w="1370"/>
        <w:gridCol w:w="1200"/>
        <w:gridCol w:w="1209"/>
        <w:gridCol w:w="237"/>
        <w:gridCol w:w="930"/>
        <w:gridCol w:w="122"/>
        <w:gridCol w:w="109"/>
        <w:gridCol w:w="109"/>
        <w:gridCol w:w="109"/>
        <w:gridCol w:w="244"/>
        <w:gridCol w:w="920"/>
        <w:gridCol w:w="126"/>
        <w:gridCol w:w="109"/>
        <w:gridCol w:w="109"/>
        <w:gridCol w:w="109"/>
        <w:gridCol w:w="223"/>
        <w:gridCol w:w="952"/>
        <w:gridCol w:w="115"/>
        <w:gridCol w:w="109"/>
        <w:gridCol w:w="109"/>
        <w:gridCol w:w="109"/>
        <w:gridCol w:w="236"/>
        <w:gridCol w:w="926"/>
        <w:gridCol w:w="172"/>
      </w:tblGrid>
      <w:tr>
        <w:trPr/>
        <w:tc>
          <w:tcPr>
            <w:tcW w:w="137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r>
      <w:tr>
        <w:trPr/>
        <w:tc>
          <w:tcPr>
            <w:tcW w:w="3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160,794 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1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213,060 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373,991 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1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141,974 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(123,402)</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3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334"/>
        <w:gridCol w:w="1164"/>
        <w:gridCol w:w="1172"/>
        <w:gridCol w:w="287"/>
        <w:gridCol w:w="282"/>
        <w:gridCol w:w="696"/>
        <w:gridCol w:w="192"/>
        <w:gridCol w:w="192"/>
        <w:gridCol w:w="192"/>
        <w:gridCol w:w="287"/>
        <w:gridCol w:w="282"/>
        <w:gridCol w:w="696"/>
        <w:gridCol w:w="109"/>
        <w:gridCol w:w="109"/>
        <w:gridCol w:w="109"/>
        <w:gridCol w:w="287"/>
        <w:gridCol w:w="282"/>
        <w:gridCol w:w="696"/>
        <w:gridCol w:w="173"/>
        <w:gridCol w:w="173"/>
        <w:gridCol w:w="173"/>
        <w:gridCol w:w="272"/>
        <w:gridCol w:w="268"/>
        <w:gridCol w:w="778"/>
      </w:tblGrid>
      <w:tr>
        <w:trPr/>
        <w:tc>
          <w:tcPr>
            <w:tcW w:w="1334"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6"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r>
      <w:tr>
        <w:trPr/>
        <w:tc>
          <w:tcPr>
            <w:tcW w:w="3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9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69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9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77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7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7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7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Percentages are based on actual values. Totals may not sum due to rounding. </w:t>
      </w:r>
    </w:p>
    <w:p>
      <w:pPr>
        <w:pStyle w:val="TextBody"/>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Three and Six Months Ended March 25, 2023 Compared to the Three and Six Months Ended March 26, 2022</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w:t>
      </w:r>
    </w:p>
    <w:tbl>
      <w:tblPr>
        <w:tblW w:w="8398" w:type="dxa"/>
        <w:jc w:val="left"/>
        <w:tblInd w:w="0" w:type="dxa"/>
        <w:tblCellMar>
          <w:top w:w="28" w:type="dxa"/>
          <w:left w:w="28" w:type="dxa"/>
          <w:bottom w:w="28" w:type="dxa"/>
          <w:right w:w="28" w:type="dxa"/>
        </w:tblCellMar>
      </w:tblPr>
      <w:tblGrid>
        <w:gridCol w:w="1052"/>
        <w:gridCol w:w="924"/>
        <w:gridCol w:w="934"/>
        <w:gridCol w:w="237"/>
        <w:gridCol w:w="930"/>
        <w:gridCol w:w="122"/>
        <w:gridCol w:w="109"/>
        <w:gridCol w:w="109"/>
        <w:gridCol w:w="109"/>
        <w:gridCol w:w="261"/>
        <w:gridCol w:w="894"/>
        <w:gridCol w:w="135"/>
        <w:gridCol w:w="109"/>
        <w:gridCol w:w="109"/>
        <w:gridCol w:w="109"/>
        <w:gridCol w:w="211"/>
        <w:gridCol w:w="826"/>
        <w:gridCol w:w="109"/>
        <w:gridCol w:w="109"/>
        <w:gridCol w:w="109"/>
        <w:gridCol w:w="109"/>
        <w:gridCol w:w="233"/>
        <w:gridCol w:w="233"/>
        <w:gridCol w:w="316"/>
      </w:tblGrid>
      <w:tr>
        <w:trPr/>
        <w:tc>
          <w:tcPr>
            <w:tcW w:w="105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3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1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266,854 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1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Systems revenue increased during the three months ended March 25, 2023 as compared to the three months ended March 26, 2022 due to there being 28 system deployments currently in progress during the fiscal quarter ending March 25, 2023 as compared to 9 system deployments in progress in the same quarter of fiscal 2022.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software maintenance and support revenue is due to there being two additional sites under software maintenance and support contracts for the three months ended March 25, 2023 as compared to the three months ended March 26, 2022.</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operation services revenue is attributable to an increase in sites where we are performing operation services during the three months ended March 25, 2023 as compared to the three months ended March 26, 2022.</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before="60" w:after="283"/>
        <w:ind w:left="0" w:right="0" w:firstLine="360"/>
        <w:rPr/>
      </w:pPr>
      <w:r>
        <w:rPr/>
      </w:r>
    </w:p>
    <w:tbl>
      <w:tblPr>
        <w:tblW w:w="8397" w:type="dxa"/>
        <w:jc w:val="left"/>
        <w:tblInd w:w="0" w:type="dxa"/>
        <w:tblCellMar>
          <w:top w:w="28" w:type="dxa"/>
          <w:left w:w="28" w:type="dxa"/>
          <w:bottom w:w="28" w:type="dxa"/>
          <w:right w:w="28" w:type="dxa"/>
        </w:tblCellMar>
      </w:tblPr>
      <w:tblGrid>
        <w:gridCol w:w="1052"/>
        <w:gridCol w:w="924"/>
        <w:gridCol w:w="934"/>
        <w:gridCol w:w="237"/>
        <w:gridCol w:w="930"/>
        <w:gridCol w:w="122"/>
        <w:gridCol w:w="109"/>
        <w:gridCol w:w="109"/>
        <w:gridCol w:w="109"/>
        <w:gridCol w:w="237"/>
        <w:gridCol w:w="930"/>
        <w:gridCol w:w="122"/>
        <w:gridCol w:w="109"/>
        <w:gridCol w:w="109"/>
        <w:gridCol w:w="109"/>
        <w:gridCol w:w="211"/>
        <w:gridCol w:w="826"/>
        <w:gridCol w:w="109"/>
        <w:gridCol w:w="109"/>
        <w:gridCol w:w="109"/>
        <w:gridCol w:w="109"/>
        <w:gridCol w:w="233"/>
        <w:gridCol w:w="233"/>
        <w:gridCol w:w="316"/>
      </w:tblGrid>
      <w:tr>
        <w:trPr/>
        <w:tc>
          <w:tcPr>
            <w:tcW w:w="105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3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455,504 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160,794 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1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1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Systems revenue increased during the six months ended March 25, 2023 as compared to the six months ended March 26, 2022 due to there being 28 system deployments currently in progress during the fiscal quarter ending March 25, 2023 as compared to 9 system deployments in progress in the same quarter of fiscal 2022.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software maintenance and support revenue is due to there being two additional sites under software maintenance and support contracts for the six months ended March 25, 2023 as compared to the six months ended March 26, 2022.</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operation services revenue is attributable to an increase in sites where we are performing operation services during the six months ended March 25, 2023 as compared to the six months ended March 26, 2022.</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Profit</w:t>
      </w:r>
    </w:p>
    <w:p>
      <w:pPr>
        <w:pStyle w:val="TextBody"/>
        <w:spacing w:lineRule="auto" w:line="288" w:before="60" w:after="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gross profit for the three months ended March 25, 2023 and March 26, 2022: </w:t>
      </w:r>
    </w:p>
    <w:tbl>
      <w:tblPr>
        <w:tblW w:w="7230" w:type="dxa"/>
        <w:jc w:val="center"/>
        <w:tblInd w:w="0" w:type="dxa"/>
        <w:tblCellMar>
          <w:top w:w="28" w:type="dxa"/>
          <w:left w:w="28" w:type="dxa"/>
          <w:bottom w:w="28" w:type="dxa"/>
          <w:right w:w="28" w:type="dxa"/>
        </w:tblCellMar>
      </w:tblPr>
      <w:tblGrid>
        <w:gridCol w:w="1052"/>
        <w:gridCol w:w="924"/>
        <w:gridCol w:w="934"/>
        <w:gridCol w:w="261"/>
        <w:gridCol w:w="894"/>
        <w:gridCol w:w="135"/>
        <w:gridCol w:w="109"/>
        <w:gridCol w:w="109"/>
        <w:gridCol w:w="109"/>
        <w:gridCol w:w="261"/>
        <w:gridCol w:w="894"/>
        <w:gridCol w:w="135"/>
        <w:gridCol w:w="109"/>
        <w:gridCol w:w="109"/>
        <w:gridCol w:w="109"/>
        <w:gridCol w:w="211"/>
        <w:gridCol w:w="721"/>
        <w:gridCol w:w="154"/>
      </w:tblGrid>
      <w:tr>
        <w:trPr/>
        <w:tc>
          <w:tcPr>
            <w:tcW w:w="105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6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Systems gross profit increased $26.9 million during the three months ended March 25, 2023 as compared to the three months ended March 26, 2022 from $17.6 million to $44.5 million. The increase in Systems gross profit resulted from there being 28 system deployments currently in progress during the fiscal quarter ending March 25, 2023 as compared to 9 system deployments in progress in the same quarter of fiscal 2022. Systems gross profit for the three months ended March 25, 2023 was impacted by inventory impairment charges of $5.2 million resulting from management’s commitment to actions to restructure certain parts of the Company within the U.S. and Canada.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25, 2023, software maintenance and support gross profit decreased $(0.5) million from the same three month period in fiscal 2022 from $(0.2) million to $(0.6) million. The decrease in software maintenance and support gross profit is attributable to an increased cost for the three months ended March 25, 2023 associated with an increase in headcount within our technical support team to appropriately support the expected rapid growth of our business.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25, 2023, operation services gross profit decreased $(0.5) million from the same period in fiscal 2022 from $(0.5) million to $(1.1) million. The decrease in operation services gross profit is driven by increased cost due to additional operation services personnel needed at one of our customer sites.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gross profit for the six months ended March 25, 2023 and March 26, 2022:</w:t>
      </w:r>
    </w:p>
    <w:tbl>
      <w:tblPr>
        <w:tblW w:w="7230" w:type="dxa"/>
        <w:jc w:val="left"/>
        <w:tblInd w:w="0" w:type="dxa"/>
        <w:tblCellMar>
          <w:top w:w="28" w:type="dxa"/>
          <w:left w:w="28" w:type="dxa"/>
          <w:bottom w:w="28" w:type="dxa"/>
          <w:right w:w="28" w:type="dxa"/>
        </w:tblCellMar>
      </w:tblPr>
      <w:tblGrid>
        <w:gridCol w:w="1052"/>
        <w:gridCol w:w="924"/>
        <w:gridCol w:w="934"/>
        <w:gridCol w:w="261"/>
        <w:gridCol w:w="894"/>
        <w:gridCol w:w="135"/>
        <w:gridCol w:w="109"/>
        <w:gridCol w:w="109"/>
        <w:gridCol w:w="109"/>
        <w:gridCol w:w="261"/>
        <w:gridCol w:w="894"/>
        <w:gridCol w:w="135"/>
        <w:gridCol w:w="109"/>
        <w:gridCol w:w="109"/>
        <w:gridCol w:w="109"/>
        <w:gridCol w:w="211"/>
        <w:gridCol w:w="721"/>
        <w:gridCol w:w="154"/>
      </w:tblGrid>
      <w:tr>
        <w:trPr/>
        <w:tc>
          <w:tcPr>
            <w:tcW w:w="105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6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Systems gross profit increased $49.2 million during the six months ended March 25, 2023 as compared to the six months ended March 26, 2022 from $32.3 million to $81.5 million. The increase in Systems gross profit resulted from there being 28 system deployments currently in progress during the fiscal quarter ending March 25, 2023 as compared to 9 system deployments in progress in the same quarter of fiscal 2022. Systems gross profit for the six months ended March 25, 2023 was impacted by inventory impairment charges of $5.2 million resulting from management’s commitment to actions to restructure certain parts of the Company within the U.S. and Canada.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March 25, 2023, software maintenance and support gross profit decreased $(1.1) million from the same six month period in fiscal 2022 from less than $(0.1) million to $(1.1) million. The decrease in software maintenance and support gross profit is attributable to an increased cost for the six months ended March 25, 2023 associated with an increase in headcount within our technical support team to appropriately support the expected rapid growth of our business.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March 25, 2023, operation services gross profit decreased $(1.4) million from the same period in fiscal 2022 from $(0.9) million to $(2.4) million. The decrease in operation services gross profit is driven by increased cost due to additional operation services personnel needed at one of our customer sites.</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7707" w:type="dxa"/>
        <w:jc w:val="center"/>
        <w:tblInd w:w="0" w:type="dxa"/>
        <w:tblCellMar>
          <w:top w:w="28" w:type="dxa"/>
          <w:left w:w="28" w:type="dxa"/>
          <w:bottom w:w="28" w:type="dxa"/>
          <w:right w:w="28" w:type="dxa"/>
        </w:tblCellMar>
      </w:tblPr>
      <w:tblGrid>
        <w:gridCol w:w="843"/>
        <w:gridCol w:w="739"/>
        <w:gridCol w:w="743"/>
        <w:gridCol w:w="226"/>
        <w:gridCol w:w="773"/>
        <w:gridCol w:w="290"/>
        <w:gridCol w:w="109"/>
        <w:gridCol w:w="109"/>
        <w:gridCol w:w="109"/>
        <w:gridCol w:w="226"/>
        <w:gridCol w:w="773"/>
        <w:gridCol w:w="290"/>
        <w:gridCol w:w="109"/>
        <w:gridCol w:w="109"/>
        <w:gridCol w:w="109"/>
        <w:gridCol w:w="211"/>
        <w:gridCol w:w="721"/>
        <w:gridCol w:w="109"/>
        <w:gridCol w:w="109"/>
        <w:gridCol w:w="109"/>
        <w:gridCol w:w="109"/>
        <w:gridCol w:w="233"/>
        <w:gridCol w:w="233"/>
        <w:gridCol w:w="316"/>
      </w:tblGrid>
      <w:tr>
        <w:trPr/>
        <w:tc>
          <w:tcPr>
            <w:tcW w:w="84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2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49,666 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23,355 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9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expenses for the three months ended March 25, 2023 as compared to the three months ended March 26, 2022 is due to the following:</w:t>
      </w:r>
    </w:p>
    <w:tbl>
      <w:tblPr>
        <w:tblW w:w="6420" w:type="dxa"/>
        <w:jc w:val="center"/>
        <w:tblInd w:w="0" w:type="dxa"/>
        <w:tblCellMar>
          <w:top w:w="28" w:type="dxa"/>
          <w:left w:w="28" w:type="dxa"/>
          <w:bottom w:w="28" w:type="dxa"/>
          <w:right w:w="28" w:type="dxa"/>
        </w:tblCellMar>
      </w:tblPr>
      <w:tblGrid>
        <w:gridCol w:w="1900"/>
        <w:gridCol w:w="1672"/>
        <w:gridCol w:w="1678"/>
        <w:gridCol w:w="227"/>
        <w:gridCol w:w="777"/>
        <w:gridCol w:w="166"/>
      </w:tblGrid>
      <w:tr>
        <w:trPr/>
        <w:tc>
          <w:tcPr>
            <w:tcW w:w="1900"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Prototype-related costs, 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Employee-related costs increased as a result of our headcount growth to our engineering team through full-time and contracted employees as we continue to grow our software and hardware engineering organizations to support the development of key projects such as next generation autonomous electric vehicle robots, and also to support the continued expansion of our A.I. and analytics capabilities. Employee-related costs also increased as a result of equity expense attributable to the issuance of restricted stock units to our employees following the Business Combination.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prototype-related costs, allocated overhead expenses, and other during the three months ended March 25, 2023 as compared to the three months ended March 26, 2022 is primarily due to an increase in expense related to a reserve for materials which we have used in research and development activities, partially offset by a decrease in prototype-related costs as we further developed our Omni-Channel platform into production during the first fiscal period of 2023.</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tbl>
      <w:tblPr>
        <w:tblW w:w="7726" w:type="dxa"/>
        <w:jc w:val="left"/>
        <w:tblInd w:w="0" w:type="dxa"/>
        <w:tblCellMar>
          <w:top w:w="28" w:type="dxa"/>
          <w:left w:w="28" w:type="dxa"/>
          <w:bottom w:w="28" w:type="dxa"/>
          <w:right w:w="28" w:type="dxa"/>
        </w:tblCellMar>
      </w:tblPr>
      <w:tblGrid>
        <w:gridCol w:w="843"/>
        <w:gridCol w:w="739"/>
        <w:gridCol w:w="743"/>
        <w:gridCol w:w="211"/>
        <w:gridCol w:w="826"/>
        <w:gridCol w:w="271"/>
        <w:gridCol w:w="109"/>
        <w:gridCol w:w="109"/>
        <w:gridCol w:w="109"/>
        <w:gridCol w:w="226"/>
        <w:gridCol w:w="773"/>
        <w:gridCol w:w="290"/>
        <w:gridCol w:w="109"/>
        <w:gridCol w:w="109"/>
        <w:gridCol w:w="109"/>
        <w:gridCol w:w="211"/>
        <w:gridCol w:w="721"/>
        <w:gridCol w:w="109"/>
        <w:gridCol w:w="109"/>
        <w:gridCol w:w="109"/>
        <w:gridCol w:w="109"/>
        <w:gridCol w:w="233"/>
        <w:gridCol w:w="233"/>
        <w:gridCol w:w="316"/>
      </w:tblGrid>
      <w:tr>
        <w:trPr/>
        <w:tc>
          <w:tcPr>
            <w:tcW w:w="84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45,539 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9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expenses for the six months ended March 25, 2023 as compared to the six months ended March 26, 2022 is due to the following:</w:t>
      </w:r>
    </w:p>
    <w:tbl>
      <w:tblPr>
        <w:tblW w:w="6420" w:type="dxa"/>
        <w:jc w:val="left"/>
        <w:tblInd w:w="0" w:type="dxa"/>
        <w:tblCellMar>
          <w:top w:w="28" w:type="dxa"/>
          <w:left w:w="28" w:type="dxa"/>
          <w:bottom w:w="28" w:type="dxa"/>
          <w:right w:w="28" w:type="dxa"/>
        </w:tblCellMar>
      </w:tblPr>
      <w:tblGrid>
        <w:gridCol w:w="1900"/>
        <w:gridCol w:w="1672"/>
        <w:gridCol w:w="1678"/>
        <w:gridCol w:w="227"/>
        <w:gridCol w:w="777"/>
        <w:gridCol w:w="166"/>
      </w:tblGrid>
      <w:tr>
        <w:trPr/>
        <w:tc>
          <w:tcPr>
            <w:tcW w:w="1900"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Prototype-related costs, 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Employee-related costs increased as a result of our headcount growth to our engineering team through full-time and contracted employees as we continue to grow our software and hardware engineering organizations to support the development of key projects such as next generation autonomous electric vehicle robots, and also to support the continued expansion of our A.I. and analytics capabilities. Employee-related costs also increased as a result of equity expense attributable to the issuance of restricted stock units to our employees following the Business Combination.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decrease in prototype-related costs, allocated overhead expenses, and other during the six months ended March 25, 2023 as compared to the six months ended March 26, 2022 is due to a decrease in prototype-related costs as we further developed our Omni-Channel platform into production during the first fiscal period of 2023, partially offset by an increase in information technology related costs attributable to the increase in employee headcount year over year and an increase in expense related to a reserve for materials which we have used in research and development activities.</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tbl>
      <w:tblPr>
        <w:tblW w:w="8381" w:type="dxa"/>
        <w:jc w:val="center"/>
        <w:tblInd w:w="0" w:type="dxa"/>
        <w:tblCellMar>
          <w:top w:w="28" w:type="dxa"/>
          <w:left w:w="28" w:type="dxa"/>
          <w:bottom w:w="28" w:type="dxa"/>
          <w:right w:w="28" w:type="dxa"/>
        </w:tblCellMar>
      </w:tblPr>
      <w:tblGrid>
        <w:gridCol w:w="1087"/>
        <w:gridCol w:w="955"/>
        <w:gridCol w:w="957"/>
        <w:gridCol w:w="226"/>
        <w:gridCol w:w="773"/>
        <w:gridCol w:w="290"/>
        <w:gridCol w:w="109"/>
        <w:gridCol w:w="109"/>
        <w:gridCol w:w="109"/>
        <w:gridCol w:w="226"/>
        <w:gridCol w:w="773"/>
        <w:gridCol w:w="290"/>
        <w:gridCol w:w="109"/>
        <w:gridCol w:w="109"/>
        <w:gridCol w:w="109"/>
        <w:gridCol w:w="211"/>
        <w:gridCol w:w="721"/>
        <w:gridCol w:w="109"/>
        <w:gridCol w:w="109"/>
        <w:gridCol w:w="109"/>
        <w:gridCol w:w="109"/>
        <w:gridCol w:w="233"/>
        <w:gridCol w:w="233"/>
        <w:gridCol w:w="316"/>
      </w:tblGrid>
      <w:tr>
        <w:trPr/>
        <w:tc>
          <w:tcPr>
            <w:tcW w:w="1087"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2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50,898 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23,512 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9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selling, general, and administrative expenses for the three months ended March 25, 2023 as compared to the three months ended March 26, 2022 is due to the following: </w:t>
      </w:r>
    </w:p>
    <w:tbl>
      <w:tblPr>
        <w:tblW w:w="4469" w:type="dxa"/>
        <w:jc w:val="center"/>
        <w:tblInd w:w="0" w:type="dxa"/>
        <w:tblCellMar>
          <w:top w:w="28" w:type="dxa"/>
          <w:left w:w="28" w:type="dxa"/>
          <w:bottom w:w="28" w:type="dxa"/>
          <w:right w:w="28" w:type="dxa"/>
        </w:tblCellMar>
      </w:tblPr>
      <w:tblGrid>
        <w:gridCol w:w="1194"/>
        <w:gridCol w:w="1051"/>
        <w:gridCol w:w="1054"/>
        <w:gridCol w:w="227"/>
        <w:gridCol w:w="777"/>
        <w:gridCol w:w="166"/>
      </w:tblGrid>
      <w:tr>
        <w:trPr/>
        <w:tc>
          <w:tcPr>
            <w:tcW w:w="119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Employee-related costs increased as a result of our full-time and contracted employee headcount growth within our selling, general, and administrative functions. Employee-related costs also increased as a result of equity expense attributable to the issuance of restricted stock units to our employees following the Business Combination. We increased headcount primarily to support a shift in the rapid acceleration of system deployments and business transformation. We incurred incremental costs related to building both shorter-term as well as permanent processes and infrastructure to ramp partnerships and operations.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Allocated overhead and other expenses increased due to an increase in information technology related costs attributable to the increase in employee headcount year over year as well as an increase attributable to growth of our cybersecurity infrastructure.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tbl>
      <w:tblPr>
        <w:tblW w:w="8400" w:type="dxa"/>
        <w:jc w:val="left"/>
        <w:tblInd w:w="0" w:type="dxa"/>
        <w:tblCellMar>
          <w:top w:w="28" w:type="dxa"/>
          <w:left w:w="28" w:type="dxa"/>
          <w:bottom w:w="28" w:type="dxa"/>
          <w:right w:w="28" w:type="dxa"/>
        </w:tblCellMar>
      </w:tblPr>
      <w:tblGrid>
        <w:gridCol w:w="1087"/>
        <w:gridCol w:w="955"/>
        <w:gridCol w:w="957"/>
        <w:gridCol w:w="211"/>
        <w:gridCol w:w="826"/>
        <w:gridCol w:w="271"/>
        <w:gridCol w:w="109"/>
        <w:gridCol w:w="109"/>
        <w:gridCol w:w="109"/>
        <w:gridCol w:w="226"/>
        <w:gridCol w:w="773"/>
        <w:gridCol w:w="290"/>
        <w:gridCol w:w="109"/>
        <w:gridCol w:w="109"/>
        <w:gridCol w:w="109"/>
        <w:gridCol w:w="211"/>
        <w:gridCol w:w="721"/>
        <w:gridCol w:w="109"/>
        <w:gridCol w:w="109"/>
        <w:gridCol w:w="109"/>
        <w:gridCol w:w="109"/>
        <w:gridCol w:w="233"/>
        <w:gridCol w:w="233"/>
        <w:gridCol w:w="316"/>
      </w:tblGrid>
      <w:tr>
        <w:trPr/>
        <w:tc>
          <w:tcPr>
            <w:tcW w:w="1087"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38,871 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9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selling, general, and administrative expenses for the six months ended March 25, 2023 as compared to the six months ended March 26, 2022 is due to the following: </w:t>
      </w:r>
    </w:p>
    <w:tbl>
      <w:tblPr>
        <w:tblW w:w="4469" w:type="dxa"/>
        <w:jc w:val="left"/>
        <w:tblInd w:w="0" w:type="dxa"/>
        <w:tblCellMar>
          <w:top w:w="28" w:type="dxa"/>
          <w:left w:w="28" w:type="dxa"/>
          <w:bottom w:w="28" w:type="dxa"/>
          <w:right w:w="28" w:type="dxa"/>
        </w:tblCellMar>
      </w:tblPr>
      <w:tblGrid>
        <w:gridCol w:w="1194"/>
        <w:gridCol w:w="1051"/>
        <w:gridCol w:w="1054"/>
        <w:gridCol w:w="227"/>
        <w:gridCol w:w="777"/>
        <w:gridCol w:w="166"/>
      </w:tblGrid>
      <w:tr>
        <w:trPr/>
        <w:tc>
          <w:tcPr>
            <w:tcW w:w="119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Employee-related costs increased as a result of our full-time and contracted employee headcount growth within our selling, general, and administrative functions. Employee-related costs also increased as a result of equity expense attributable to the issuance of restricted stock units to our employees following the Business Combination. We increased headcount primarily to support a shift in the rapid acceleration of system deployments and business transformation. We incurred incremental costs related to building both shorter-term as well as permanent processes and infrastructure to ramp partnerships and operations.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Allocated overhead and other expenses increased due to an increase in information technology related costs attributable to the increase in employee headcount year over year as well as an increase attributable to growth of our cybersecurity infrastructure. As a result of becoming a public company upon the closing of the Business Combination, we have incurred higher audit and tax related expenses for the six months ended March 25, 2023 as compared to the six months ended March 26, 2022.</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tbl>
      <w:tblPr>
        <w:tblW w:w="7721" w:type="dxa"/>
        <w:jc w:val="center"/>
        <w:tblInd w:w="0" w:type="dxa"/>
        <w:tblCellMar>
          <w:top w:w="28" w:type="dxa"/>
          <w:left w:w="28" w:type="dxa"/>
          <w:bottom w:w="28" w:type="dxa"/>
          <w:right w:w="28" w:type="dxa"/>
        </w:tblCellMar>
      </w:tblPr>
      <w:tblGrid>
        <w:gridCol w:w="840"/>
        <w:gridCol w:w="741"/>
        <w:gridCol w:w="744"/>
        <w:gridCol w:w="248"/>
        <w:gridCol w:w="724"/>
        <w:gridCol w:w="318"/>
        <w:gridCol w:w="113"/>
        <w:gridCol w:w="113"/>
        <w:gridCol w:w="113"/>
        <w:gridCol w:w="323"/>
        <w:gridCol w:w="553"/>
        <w:gridCol w:w="414"/>
        <w:gridCol w:w="109"/>
        <w:gridCol w:w="109"/>
        <w:gridCol w:w="109"/>
        <w:gridCol w:w="211"/>
        <w:gridCol w:w="616"/>
        <w:gridCol w:w="109"/>
        <w:gridCol w:w="109"/>
        <w:gridCol w:w="109"/>
        <w:gridCol w:w="109"/>
        <w:gridCol w:w="285"/>
        <w:gridCol w:w="286"/>
        <w:gridCol w:w="316"/>
      </w:tblGrid>
      <w:tr>
        <w:trPr/>
        <w:tc>
          <w:tcPr>
            <w:tcW w:w="84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48"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other income, net for the three months ended March 25, 2023 as compared to the three months ended March 26, 2022 was due to an increase in interest income as a result of interest rates, offset by exchange rate fluctuations impacting our foreign currency transaction gains and losses associated with monetary assets and liabilities. </w:t>
      </w:r>
    </w:p>
    <w:tbl>
      <w:tblPr>
        <w:tblW w:w="7709" w:type="dxa"/>
        <w:jc w:val="left"/>
        <w:tblInd w:w="0" w:type="dxa"/>
        <w:tblCellMar>
          <w:top w:w="28" w:type="dxa"/>
          <w:left w:w="28" w:type="dxa"/>
          <w:bottom w:w="28" w:type="dxa"/>
          <w:right w:w="28" w:type="dxa"/>
        </w:tblCellMar>
      </w:tblPr>
      <w:tblGrid>
        <w:gridCol w:w="840"/>
        <w:gridCol w:w="741"/>
        <w:gridCol w:w="744"/>
        <w:gridCol w:w="248"/>
        <w:gridCol w:w="724"/>
        <w:gridCol w:w="318"/>
        <w:gridCol w:w="109"/>
        <w:gridCol w:w="109"/>
        <w:gridCol w:w="109"/>
        <w:gridCol w:w="323"/>
        <w:gridCol w:w="552"/>
        <w:gridCol w:w="415"/>
        <w:gridCol w:w="109"/>
        <w:gridCol w:w="109"/>
        <w:gridCol w:w="109"/>
        <w:gridCol w:w="211"/>
        <w:gridCol w:w="616"/>
        <w:gridCol w:w="109"/>
        <w:gridCol w:w="109"/>
        <w:gridCol w:w="109"/>
        <w:gridCol w:w="109"/>
        <w:gridCol w:w="285"/>
        <w:gridCol w:w="286"/>
        <w:gridCol w:w="316"/>
      </w:tblGrid>
      <w:tr>
        <w:trPr/>
        <w:tc>
          <w:tcPr>
            <w:tcW w:w="84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48"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other income, net for the six months ended March 25, 2023 as compared to the six months ended March 26, 2022 was due to an increase in interest income as a result of interest rates, offset by exchange rate fluctuations impacting our foreign currency transaction gains and losses associated with monetary assets and liabilities.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tbl>
      <w:tblPr>
        <w:tblW w:w="7599" w:type="dxa"/>
        <w:jc w:val="left"/>
        <w:tblInd w:w="0" w:type="dxa"/>
        <w:tblCellMar>
          <w:top w:w="28" w:type="dxa"/>
          <w:left w:w="28" w:type="dxa"/>
          <w:bottom w:w="28" w:type="dxa"/>
          <w:right w:w="28" w:type="dxa"/>
        </w:tblCellMar>
      </w:tblPr>
      <w:tblGrid>
        <w:gridCol w:w="889"/>
        <w:gridCol w:w="784"/>
        <w:gridCol w:w="787"/>
        <w:gridCol w:w="322"/>
        <w:gridCol w:w="553"/>
        <w:gridCol w:w="415"/>
        <w:gridCol w:w="124"/>
        <w:gridCol w:w="124"/>
        <w:gridCol w:w="124"/>
        <w:gridCol w:w="306"/>
        <w:gridCol w:w="590"/>
        <w:gridCol w:w="394"/>
        <w:gridCol w:w="109"/>
        <w:gridCol w:w="109"/>
        <w:gridCol w:w="109"/>
        <w:gridCol w:w="232"/>
        <w:gridCol w:w="398"/>
        <w:gridCol w:w="121"/>
        <w:gridCol w:w="109"/>
        <w:gridCol w:w="109"/>
        <w:gridCol w:w="109"/>
        <w:gridCol w:w="233"/>
        <w:gridCol w:w="233"/>
        <w:gridCol w:w="316"/>
      </w:tblGrid>
      <w:tr>
        <w:trPr/>
        <w:tc>
          <w:tcPr>
            <w:tcW w:w="88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2"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current income tax benefit of less than $0.1 million for the three months ended March 25, 2023 related to state income taxes. No such income tax benefit or expense was incurred for the three months ended March 26, 2022. </w:t>
      </w:r>
    </w:p>
    <w:tbl>
      <w:tblPr>
        <w:tblW w:w="7662" w:type="dxa"/>
        <w:jc w:val="left"/>
        <w:tblInd w:w="0" w:type="dxa"/>
        <w:tblCellMar>
          <w:top w:w="28" w:type="dxa"/>
          <w:left w:w="28" w:type="dxa"/>
          <w:bottom w:w="28" w:type="dxa"/>
          <w:right w:w="28" w:type="dxa"/>
        </w:tblCellMar>
      </w:tblPr>
      <w:tblGrid>
        <w:gridCol w:w="889"/>
        <w:gridCol w:w="784"/>
        <w:gridCol w:w="787"/>
        <w:gridCol w:w="266"/>
        <w:gridCol w:w="682"/>
        <w:gridCol w:w="341"/>
        <w:gridCol w:w="109"/>
        <w:gridCol w:w="109"/>
        <w:gridCol w:w="109"/>
        <w:gridCol w:w="306"/>
        <w:gridCol w:w="590"/>
        <w:gridCol w:w="393"/>
        <w:gridCol w:w="109"/>
        <w:gridCol w:w="109"/>
        <w:gridCol w:w="109"/>
        <w:gridCol w:w="211"/>
        <w:gridCol w:w="541"/>
        <w:gridCol w:w="109"/>
        <w:gridCol w:w="109"/>
        <w:gridCol w:w="109"/>
        <w:gridCol w:w="109"/>
        <w:gridCol w:w="233"/>
        <w:gridCol w:w="233"/>
        <w:gridCol w:w="316"/>
      </w:tblGrid>
      <w:tr>
        <w:trPr/>
        <w:tc>
          <w:tcPr>
            <w:tcW w:w="88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6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4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current income tax expense of $0.2 million for the six months ended March 25, 2023 related to state income taxes. No such income tax benefit or expense was incurred for the six months ended March 26, 2022. </w:t>
      </w:r>
    </w:p>
    <w:p>
      <w:pPr>
        <w:pStyle w:val="TextBody"/>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providing financial measurements based on generally accepted accounting principles in the United States of America, or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and Adjusted gross profit, as discussed below.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non-GAAP financial measures do not replace the presentation of our GAAP financial measures and should only be used as a supplement to, not as a substitute for, our financial results presented in accordance with GAAP.</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CEO transition charges; Restructuring; and other items that may arise from time to time.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non-GAAP adjustments, and our basis for excluding them from our non-GAAP financial measures, are outlined below:</w:t>
      </w:r>
    </w:p>
    <w:p>
      <w:pPr>
        <w:pStyle w:val="TextBody"/>
        <w:spacing w:lineRule="auto" w:line="288" w:before="60" w:after="283"/>
        <w:ind w:left="0" w:right="0" w:hanging="360"/>
        <w:rPr/>
      </w:pPr>
      <w:r>
        <w:rPr>
          <w:color w:val="000000"/>
        </w:rPr>
        <w:t>•</w:t>
      </w:r>
      <w:r>
        <w:rPr>
          <w:rFonts w:ascii="Times New Roman;sans-serif" w:hAnsi="Times New Roman;sans-serif"/>
          <w:b/>
          <w:color w:val="000000"/>
          <w:sz w:val="20"/>
        </w:rPr>
        <w:t>Stock-based compensation</w:t>
      </w:r>
      <w:r>
        <w:rPr>
          <w:color w:val="000000"/>
        </w:rPr>
        <w:t xml:space="preserve"> – </w:t>
      </w:r>
      <w:r>
        <w:rPr>
          <w:rFonts w:ascii="Times New Roman;sans-serif" w:hAnsi="Times New Roman;sans-serif"/>
          <w:b w:val="false"/>
          <w:color w:val="000000"/>
          <w:sz w:val="20"/>
        </w:rPr>
        <w:t>Although stock-based compensation is an important aspect of the compensation paid to our employees, the grant date fair 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w:t>
      </w:r>
    </w:p>
    <w:p>
      <w:pPr>
        <w:pStyle w:val="TextBody"/>
        <w:spacing w:lineRule="auto" w:line="288" w:before="60" w:after="283"/>
        <w:ind w:left="0" w:right="0" w:hanging="360"/>
        <w:rPr/>
      </w:pPr>
      <w:r>
        <w:rPr>
          <w:color w:val="000000"/>
        </w:rPr>
        <w:t>•</w:t>
      </w:r>
      <w:r>
        <w:rPr>
          <w:rFonts w:ascii="Times New Roman;sans-serif" w:hAnsi="Times New Roman;sans-serif"/>
          <w:b/>
          <w:color w:val="000000"/>
          <w:sz w:val="20"/>
        </w:rPr>
        <w:t>Business Combination transaction expenses</w:t>
      </w:r>
      <w:r>
        <w:rPr>
          <w:color w:val="000000"/>
        </w:rPr>
        <w:t xml:space="preserve"> – </w:t>
      </w:r>
      <w:r>
        <w:rPr>
          <w:rFonts w:ascii="Times New Roman;sans-serif" w:hAnsi="Times New Roman;sans-serif"/>
          <w:b w:val="false"/>
          <w:color w:val="000000"/>
          <w:sz w:val="20"/>
        </w:rPr>
        <w:t xml:space="preserve">Business Combination transaction expenses represents the expenses incurred solely related to the Business Combination, which we completed on June 7, 2022. It primarily includes investment banker fees, legal fees, professional fees for accountants, transaction fees, advisory fees, due diligence costs, certain other professional fees, and other direct costs associated with strategic activities. These amounts are impacted by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the Business Combination. We exclude Business Combination transaction expenses from our non-GAAP financial measures to provide a useful comparison of our operating results to prior periods and to our peer companies because such amounts vary significantly based on the magnitude of the Business Combination transaction and do not reflect our core operations. </w:t>
      </w:r>
    </w:p>
    <w:p>
      <w:pPr>
        <w:pStyle w:val="TextBody"/>
        <w:spacing w:lineRule="auto" w:line="288" w:before="60" w:after="283"/>
        <w:ind w:left="0" w:right="0" w:hanging="360"/>
        <w:rPr/>
      </w:pPr>
      <w:r>
        <w:rPr>
          <w:color w:val="000000"/>
        </w:rPr>
        <w:t>•</w:t>
      </w:r>
      <w:r>
        <w:rPr>
          <w:rFonts w:ascii="Times New Roman;sans-serif" w:hAnsi="Times New Roman;sans-serif"/>
          <w:b/>
          <w:color w:val="000000"/>
          <w:sz w:val="20"/>
        </w:rPr>
        <w:t xml:space="preserve">CEO transition charges </w:t>
      </w:r>
      <w:r>
        <w:rPr>
          <w:color w:val="000000"/>
        </w:rPr>
        <w:t xml:space="preserve">– </w:t>
      </w:r>
      <w:r>
        <w:rPr>
          <w:rFonts w:ascii="Times New Roman;sans-serif" w:hAnsi="Times New Roman;sans-serif"/>
          <w:b w:val="false"/>
          <w:color w:val="000000"/>
          <w:sz w:val="20"/>
        </w:rPr>
        <w:t xml:space="preserve">CEO transition charges represent the charges incurred associated with the separation agreement we entered into with Michael Loparco in November 2022. We exclude these CEO transition charges from our non-GAAP financial measures to provide a useful comparison of our operating results to prior periods and to our peer companies because such amounts are not representative of our normal operating activities. </w:t>
      </w:r>
    </w:p>
    <w:p>
      <w:pPr>
        <w:pStyle w:val="TextBody"/>
        <w:spacing w:lineRule="auto" w:line="288" w:before="60" w:after="283"/>
        <w:ind w:left="0" w:right="0" w:hanging="360"/>
        <w:rPr/>
      </w:pPr>
      <w:r>
        <w:rPr>
          <w:color w:val="000000"/>
        </w:rPr>
        <w:t>•</w:t>
      </w:r>
      <w:r>
        <w:rPr>
          <w:rFonts w:ascii="Times New Roman;sans-serif" w:hAnsi="Times New Roman;sans-serif"/>
          <w:b/>
          <w:color w:val="000000"/>
          <w:sz w:val="20"/>
        </w:rPr>
        <w:t xml:space="preserve">Restructuring charges </w:t>
      </w:r>
      <w:r>
        <w:rPr>
          <w:color w:val="000000"/>
        </w:rPr>
        <w:t xml:space="preserve">– </w:t>
      </w:r>
      <w:r>
        <w:rPr>
          <w:rFonts w:ascii="Times New Roman;sans-serif" w:hAnsi="Times New Roman;sans-serif"/>
          <w:b w:val="false"/>
          <w:color w:val="000000"/>
          <w:sz w:val="20"/>
        </w:rPr>
        <w:t>Restructuring charges represent the charges incurred associated with certain actions to restructure parts of the Company within the U.S. and Canada. These charges include severance and related expenses for workforce reductions, impairments of inventory and long-lived assets that will no longer be used in operations, and termination fees for any contracts cancelled as part of these programs.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GAAP net loss to Adjusted EBITDA for the three and six months ended March 25, 2023 and March 26, 2022 (in thousands):</w:t>
      </w:r>
    </w:p>
    <w:tbl>
      <w:tblPr>
        <w:tblW w:w="9874" w:type="dxa"/>
        <w:jc w:val="left"/>
        <w:tblInd w:w="0" w:type="dxa"/>
        <w:tblCellMar>
          <w:top w:w="28" w:type="dxa"/>
          <w:left w:w="28" w:type="dxa"/>
          <w:bottom w:w="28" w:type="dxa"/>
          <w:right w:w="28" w:type="dxa"/>
        </w:tblCellMar>
      </w:tblPr>
      <w:tblGrid>
        <w:gridCol w:w="1338"/>
        <w:gridCol w:w="1168"/>
        <w:gridCol w:w="1183"/>
        <w:gridCol w:w="244"/>
        <w:gridCol w:w="920"/>
        <w:gridCol w:w="126"/>
        <w:gridCol w:w="109"/>
        <w:gridCol w:w="109"/>
        <w:gridCol w:w="109"/>
        <w:gridCol w:w="244"/>
        <w:gridCol w:w="920"/>
        <w:gridCol w:w="126"/>
        <w:gridCol w:w="109"/>
        <w:gridCol w:w="109"/>
        <w:gridCol w:w="109"/>
        <w:gridCol w:w="223"/>
        <w:gridCol w:w="952"/>
        <w:gridCol w:w="115"/>
        <w:gridCol w:w="109"/>
        <w:gridCol w:w="109"/>
        <w:gridCol w:w="109"/>
        <w:gridCol w:w="242"/>
        <w:gridCol w:w="915"/>
        <w:gridCol w:w="177"/>
      </w:tblGrid>
      <w:tr>
        <w:trPr/>
        <w:tc>
          <w:tcPr>
            <w:tcW w:w="1338"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 expense</w:t>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transaction expenses</w:t>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 transition charges</w:t>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(11,233)</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(26,248)</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(27,540)</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(47,515)</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define adjusted gross profit, a non-GAAP financial measure, as GAAP gross profit excluding the following items: depreciation, stock-based compensation, and restructuring charges. The following table reconciles GAAP gross profit to Adjusted gross profit for the three and six months ended March 25, 2023 and March 26, 2022 (in thousands):</w:t>
      </w:r>
    </w:p>
    <w:tbl>
      <w:tblPr>
        <w:tblW w:w="8480" w:type="dxa"/>
        <w:jc w:val="left"/>
        <w:tblInd w:w="0" w:type="dxa"/>
        <w:tblCellMar>
          <w:top w:w="28" w:type="dxa"/>
          <w:left w:w="28" w:type="dxa"/>
          <w:bottom w:w="28" w:type="dxa"/>
          <w:right w:w="28" w:type="dxa"/>
        </w:tblCellMar>
      </w:tblPr>
      <w:tblGrid>
        <w:gridCol w:w="830"/>
        <w:gridCol w:w="726"/>
        <w:gridCol w:w="739"/>
        <w:gridCol w:w="261"/>
        <w:gridCol w:w="894"/>
        <w:gridCol w:w="135"/>
        <w:gridCol w:w="109"/>
        <w:gridCol w:w="109"/>
        <w:gridCol w:w="109"/>
        <w:gridCol w:w="261"/>
        <w:gridCol w:w="894"/>
        <w:gridCol w:w="135"/>
        <w:gridCol w:w="109"/>
        <w:gridCol w:w="109"/>
        <w:gridCol w:w="109"/>
        <w:gridCol w:w="261"/>
        <w:gridCol w:w="894"/>
        <w:gridCol w:w="135"/>
        <w:gridCol w:w="109"/>
        <w:gridCol w:w="109"/>
        <w:gridCol w:w="109"/>
        <w:gridCol w:w="259"/>
        <w:gridCol w:w="886"/>
        <w:gridCol w:w="189"/>
      </w:tblGrid>
      <w:tr>
        <w:trPr/>
        <w:tc>
          <w:tcPr>
            <w:tcW w:w="83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584" w:type="dxa"/>
        <w:jc w:val="left"/>
        <w:tblInd w:w="0" w:type="dxa"/>
        <w:tblCellMar>
          <w:top w:w="28" w:type="dxa"/>
          <w:left w:w="28" w:type="dxa"/>
          <w:bottom w:w="28" w:type="dxa"/>
          <w:right w:w="28" w:type="dxa"/>
        </w:tblCellMar>
      </w:tblPr>
      <w:tblGrid>
        <w:gridCol w:w="879"/>
        <w:gridCol w:w="774"/>
        <w:gridCol w:w="777"/>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87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5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7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margin</w:t>
            </w:r>
          </w:p>
        </w:tc>
        <w:tc>
          <w:tcPr>
            <w:tcW w:w="5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1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40" w:before="120" w:after="20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25, 2023, our principal sources of liquidity were cash received from our historical equity raises, net proceeds received related to the Business Combination, and cash received from customers upon the inception and continuation of contracts to install customer Systems.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net cash provided by (used in) operating activities, net cash used in investing activities, and net cash provided by (used in) financing activities for the six months ended March 25, 2023 and March 26, 2022:</w:t>
      </w:r>
    </w:p>
    <w:tbl>
      <w:tblPr>
        <w:tblW w:w="5605" w:type="dxa"/>
        <w:jc w:val="center"/>
        <w:tblInd w:w="0" w:type="dxa"/>
        <w:tblCellMar>
          <w:top w:w="28" w:type="dxa"/>
          <w:left w:w="28" w:type="dxa"/>
          <w:bottom w:w="28" w:type="dxa"/>
          <w:right w:w="28" w:type="dxa"/>
        </w:tblCellMar>
      </w:tblPr>
      <w:tblGrid>
        <w:gridCol w:w="961"/>
        <w:gridCol w:w="843"/>
        <w:gridCol w:w="850"/>
        <w:gridCol w:w="223"/>
        <w:gridCol w:w="952"/>
        <w:gridCol w:w="115"/>
        <w:gridCol w:w="109"/>
        <w:gridCol w:w="109"/>
        <w:gridCol w:w="109"/>
        <w:gridCol w:w="236"/>
        <w:gridCol w:w="926"/>
        <w:gridCol w:w="172"/>
      </w:tblGrid>
      <w:tr>
        <w:trPr/>
        <w:tc>
          <w:tcPr>
            <w:tcW w:w="96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25,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2022</w:t>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2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22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(216,147)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22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173,796 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net cash provided by operating activities consists of net loss adjusted for certain non-cash items, including depreciation and amortization, foreign currency gains, losses on sales of assets, and stock-based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$132.4 million during the six months ended March 25, 2023. Net cash provided by operating activities was primarily due to our net loss of $123.4 million adjusted for non-cash items of $89.0 million, primarily consisting of $4.1 million depreciation and amortization and $84.8 million stock-based compensation, offset by cash provided by operating assets and liabilities of $166.7 million. Cash provided by operating assets and liabilities of $166.7 million was primarily driven by net working capital changes, including timing of cash payments to vendors and cash receipts from customers, an increase in inventory purchases for the six months ended March 25, 2023 as we purchase additional inventory in order to meet our installation timeline for our customers’ upcoming warehouse automation system installations in connection with the Walmart Master Automation Agreement and other customer contracts, as well as an increase in deferred revenue for the six months ended March 25, 2023 resulting from an increase in the number of active system installation projects.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$(62.9) million during the six months ended March 26, 2022. Net cash used in operating activities was due to our net loss of $53.0 million adjusted for non-cash items of $6.9 million, primarily consisting of $2.8 million depreciation and amortization and $4.1 million loss on abandonment of assets, as well as cash used in operating assets and liabilities of $16.8 million due to the timing of cash payments to vendors and cash receipts from customers.</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investing activities have consisted primarily of property and equipment purchases.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and cash equivalents used in investing activities during the six months ended March 25, 2023 consisted of $13.0 million of purchased property and equipment. Additionally, during the six months ended March 25, 2023, we purchased U.S. Treasury securities for $203.1 million.</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and cash equivalents used in investing activities during the six months ended March 26, 2022 consisted of $8.6 million of purchased property and equipment. </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60" w:after="283"/>
        <w:ind w:left="0" w:right="0" w:firstLine="360"/>
        <w:rPr/>
      </w:pPr>
      <w:r>
        <w:rPr>
          <w:rFonts w:ascii="Times New Roman;sans-serif" w:hAnsi="Times New Roman;sans-serif"/>
          <w:b w:val="false"/>
          <w:color w:val="000000"/>
          <w:sz w:val="20"/>
        </w:rPr>
        <w:t>Our financing activities have consisted of payments and proceeds related to our equity incentive plans for both RSUs and ESPP, as well as proceeds from the exercise of the vested warrants issued to Walmart as further described in Note 14,</w:t>
      </w:r>
      <w:r>
        <w:rPr>
          <w:color w:val="000000"/>
        </w:rPr>
        <w:t xml:space="preserve"> </w:t>
      </w:r>
      <w:r>
        <w:rPr>
          <w:rFonts w:ascii="Times New Roman;sans-serif" w:hAnsi="Times New Roman;sans-serif"/>
          <w:b w:val="false"/>
          <w:i/>
          <w:color w:val="000000"/>
          <w:sz w:val="20"/>
        </w:rPr>
        <w:t>Stock-Based Compensation and Warrant Units</w:t>
      </w:r>
      <w:r>
        <w:rPr>
          <w:color w:val="000000"/>
        </w:rPr>
        <w:t xml:space="preserve"> </w:t>
      </w:r>
      <w:r>
        <w:rPr>
          <w:rFonts w:ascii="Times New Roman;sans-serif" w:hAnsi="Times New Roman;sans-serif"/>
          <w:b w:val="false"/>
          <w:color w:val="000000"/>
          <w:sz w:val="20"/>
        </w:rPr>
        <w:t>to the unaudited condensed consolidated financial statements appearing elsewhere in this Quarterly Report on Form 10-Q.</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March 25, 2023, we incurred a payment of $11.7 million for the taxes related to the net share settlement of stock-based compensation awards. We also received proceeds of $1.0 million from the issuance of common stock under the ESPP upon the expiration of the first offering period which occurred at the end of December 2022. During the six months ended March 26, 2022, Walmart gross exercised their vested warrant units for $173.8 million. As a result of this gross exercise, 446,741 shares of Legacy Warehouse Class A Common Units were then issued to Walmart. In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connection with the Business Combination, the Class A Common Units attributable to Walmart’s warrant exercise converted into units in Symbotic Holdings and Symbotic Inc. Class V-1 Common Stock. </w:t>
      </w:r>
    </w:p>
    <w:p>
      <w:pPr>
        <w:pStyle w:val="TextBody"/>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 and Commitments and Liquidity Outlook</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been able to generate positive cash flow from operations, which has funded our operating activities and other cash requirements and has resulted in a cash and cash equivalents balance of $257.0 million and short-term available for sale marketable securities balance of $205.5 million as of March 25, 2023. Our cash requirements for the six months ended March 25, 2023 were primarily related to capital expenditures and inventory purchases in order to deliver to our customers our warehouse automation systems in an orderly manner in line with our installation timeline.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present business plan, we expect our current cash and cash equivalents, unrestricted marketable securities,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The Company’s operating lease cash requirements have not changed materially since September 24, 2022.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current and long-term material cash requirements as of March 25, 2023 for our vendor commitments: </w:t>
      </w:r>
    </w:p>
    <w:tbl>
      <w:tblPr>
        <w:tblW w:w="9089" w:type="dxa"/>
        <w:jc w:val="left"/>
        <w:tblInd w:w="0" w:type="dxa"/>
        <w:tblCellMar>
          <w:top w:w="28" w:type="dxa"/>
          <w:left w:w="28" w:type="dxa"/>
          <w:bottom w:w="28" w:type="dxa"/>
          <w:right w:w="28" w:type="dxa"/>
        </w:tblCellMar>
      </w:tblPr>
      <w:tblGrid>
        <w:gridCol w:w="673"/>
        <w:gridCol w:w="592"/>
        <w:gridCol w:w="595"/>
        <w:gridCol w:w="211"/>
        <w:gridCol w:w="826"/>
        <w:gridCol w:w="109"/>
        <w:gridCol w:w="109"/>
        <w:gridCol w:w="109"/>
        <w:gridCol w:w="109"/>
        <w:gridCol w:w="259"/>
        <w:gridCol w:w="1017"/>
        <w:gridCol w:w="134"/>
        <w:gridCol w:w="109"/>
        <w:gridCol w:w="109"/>
        <w:gridCol w:w="109"/>
        <w:gridCol w:w="211"/>
        <w:gridCol w:w="616"/>
        <w:gridCol w:w="109"/>
        <w:gridCol w:w="109"/>
        <w:gridCol w:w="109"/>
        <w:gridCol w:w="109"/>
        <w:gridCol w:w="244"/>
        <w:gridCol w:w="470"/>
        <w:gridCol w:w="126"/>
        <w:gridCol w:w="109"/>
        <w:gridCol w:w="109"/>
        <w:gridCol w:w="109"/>
        <w:gridCol w:w="435"/>
        <w:gridCol w:w="837"/>
        <w:gridCol w:w="317"/>
      </w:tblGrid>
      <w:tr>
        <w:trPr/>
        <w:tc>
          <w:tcPr>
            <w:tcW w:w="673"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6" w:type="dxa"/>
            <w:gridSpan w:val="21"/>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in:</w:t>
            </w:r>
          </w:p>
        </w:tc>
      </w:tr>
      <w:tr>
        <w:trPr/>
        <w:tc>
          <w:tcPr>
            <w:tcW w:w="1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1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9"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commitments</w:t>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897,175 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 </w:t>
      </w:r>
    </w:p>
    <w:p>
      <w:pPr>
        <w:pStyle w:val="TextBody"/>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during the six months ended March 25, 2023 as compared to the critical accounting policies and estimates disclosed in the audited consolidated financial statements and related notes thereto as of and for the year ended September 24, 2022, which are included within the Annual Report on Form 10-K filed with the SEC on December 9, 2022.</w:t>
      </w:r>
    </w:p>
    <w:p>
      <w:pPr>
        <w:pStyle w:val="TextBody"/>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25, 2023, we had no off-balance sheet arrangements as defined in Instruction 8 to Item 303(b) of Regulation S-K.</w:t>
      </w:r>
    </w:p>
    <w:p>
      <w:pPr>
        <w:pStyle w:val="TextBody"/>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smaller reporting company as defined by Rule 12b-2 of the Exchange Act, and are not required to provide the information otherwise required under this item.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6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our Chief Financial Officer (our principal executive officer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that evaluation of our disclosure controls and procedures as of March 25, 2023, our Chief Executive Officer and Chief Financial Officer concluded that, as of such date, our disclosure controls and procedures were effective at the reasonable assurance level. </w:t>
      </w:r>
    </w:p>
    <w:p>
      <w:pPr>
        <w:pStyle w:val="TextBody"/>
        <w:spacing w:lineRule="auto" w:line="288" w:before="6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No change in our internal control over financial reporting (as defined in Rules 13a-15(f) and 15d-15(f) under the Exchange Act) occurred during the fiscal quarter ended March 25, 2023 that has materially affected, or is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and uncertainties in the course of our business. For a discussion of these risks, please see the section in our Annual Report on Form 10-K filed with the SEC on December 9, 2022 titled “Risk Factors”. There have been no material changes to the risk factors disclosed therein.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4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incorporated by reference into this Report.</w:t>
      </w:r>
    </w:p>
    <w:tbl>
      <w:tblPr>
        <w:tblW w:w="10205" w:type="dxa"/>
        <w:jc w:val="left"/>
        <w:tblInd w:w="0" w:type="dxa"/>
        <w:tblCellMar>
          <w:top w:w="28" w:type="dxa"/>
          <w:left w:w="28" w:type="dxa"/>
          <w:bottom w:w="28" w:type="dxa"/>
          <w:right w:w="28" w:type="dxa"/>
        </w:tblCellMar>
      </w:tblPr>
      <w:tblGrid>
        <w:gridCol w:w="300"/>
        <w:gridCol w:w="264"/>
        <w:gridCol w:w="266"/>
        <w:gridCol w:w="109"/>
        <w:gridCol w:w="109"/>
        <w:gridCol w:w="109"/>
        <w:gridCol w:w="2694"/>
        <w:gridCol w:w="2626"/>
        <w:gridCol w:w="3728"/>
      </w:tblGrid>
      <w:tr>
        <w:trPr/>
        <w:tc>
          <w:tcPr>
            <w:tcW w:w="30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c>
          <w:tcPr>
            <w:tcW w:w="3728" w:type="dxa"/>
            <w:tcBorders/>
            <w:shd w:fill="auto" w:val="clear"/>
            <w:vAlign w:val="center"/>
          </w:tcPr>
          <w:p>
            <w:pPr>
              <w:pStyle w:val="TableContents"/>
              <w:spacing w:before="0" w:after="283"/>
              <w:rPr>
                <w:sz w:val="4"/>
                <w:szCs w:val="4"/>
              </w:rPr>
            </w:pPr>
            <w:r>
              <w:rPr>
                <w:sz w:val="4"/>
                <w:szCs w:val="4"/>
              </w:rPr>
            </w:r>
          </w:p>
        </w:tc>
      </w:tr>
      <w:tr>
        <w:trPr/>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
              <w:jc w:val="left"/>
              <w:rPr/>
            </w:pPr>
            <w:hyperlink w:anchor="exhibit311q223.htm">
              <w:r>
                <w:rPr>
                  <w:rStyle w:val="InternetLink"/>
                  <w:rFonts w:ascii="Times New Roman;sans-serif" w:hAnsi="Times New Roman;sans-serif"/>
                  <w:b w:val="false"/>
                  <w:color w:val="0000FF"/>
                  <w:sz w:val="20"/>
                  <w:u w:val="single"/>
                </w:rPr>
                <w:t>Certification of Chief Executive Officer Pursuant to Rule 13a-14(a)/ Rule 15d-14(a) of the Securities Exchange Act of 1934, as amended</w:t>
              </w:r>
            </w:hyperlink>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exhibit312q223.htm">
              <w:r>
                <w:rPr>
                  <w:rStyle w:val="InternetLink"/>
                  <w:rFonts w:ascii="Times New Roman;sans-serif" w:hAnsi="Times New Roman;sans-serif"/>
                  <w:b w:val="false"/>
                  <w:color w:val="0000FF"/>
                  <w:sz w:val="20"/>
                  <w:u w:val="single"/>
                </w:rPr>
                <w:t>Certification of Chief Financial Officer pursuant to Rule 13a-14(a)/ Rule 15d-14(a) of the Securities Exchange Act of 1934, as amended</w:t>
              </w:r>
            </w:hyperlink>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exhibit321q2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exhibit322q2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bl>
    <w:p>
      <w:pPr>
        <w:pStyle w:val="TextBody"/>
        <w:spacing w:before="60" w:after="283"/>
        <w:ind w:left="0" w:right="0" w:firstLine="360"/>
        <w:rPr/>
      </w:pPr>
      <w:r>
        <w:rPr/>
      </w:r>
    </w:p>
    <w:p>
      <w:pPr>
        <w:pStyle w:val="TextBody"/>
        <w:spacing w:before="0" w:after="0"/>
        <w:rPr/>
      </w:pPr>
      <w:r>
        <w:rPr/>
      </w:r>
    </w:p>
    <w:p>
      <w:pPr>
        <w:pStyle w:val="TextBody"/>
        <w:spacing w:before="6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60" w:after="283"/>
        <w:ind w:left="0" w:right="0" w:firstLine="360"/>
        <w:rPr/>
      </w:pPr>
      <w:hyperlink w:anchor="i1c2133f8d4f64e8c92de66ac5662d81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60" w:after="283"/>
        <w:ind w:left="0" w:right="0" w:firstLine="360"/>
        <w:rPr/>
      </w:pPr>
      <w:r>
        <w:rPr/>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60" w:after="283"/>
        <w:rPr/>
      </w:pPr>
      <w:r>
        <w:rPr/>
      </w:r>
    </w:p>
    <w:p>
      <w:pPr>
        <w:pStyle w:val="TextBody"/>
        <w:spacing w:before="60" w:after="283"/>
        <w:rPr/>
      </w:pPr>
      <w:r>
        <w:rPr/>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Date: May 5, 2023</w:t>
      </w:r>
    </w:p>
    <w:p>
      <w:pPr>
        <w:pStyle w:val="TextBody"/>
        <w:spacing w:lineRule="auto" w:line="288" w:before="60" w:after="283"/>
        <w:ind w:left="0" w:right="0" w:firstLine="720"/>
        <w:rPr>
          <w:color w:val="000000"/>
        </w:rPr>
      </w:pPr>
      <w:r>
        <w:rPr>
          <w:color w:val="000000"/>
        </w:rPr>
        <w:t>                    </w:t>
      </w:r>
    </w:p>
    <w:tbl>
      <w:tblPr>
        <w:tblW w:w="4424" w:type="dxa"/>
        <w:jc w:val="left"/>
        <w:tblInd w:w="0" w:type="dxa"/>
        <w:tblCellMar>
          <w:top w:w="28" w:type="dxa"/>
          <w:left w:w="28" w:type="dxa"/>
          <w:bottom w:w="28" w:type="dxa"/>
          <w:right w:w="28" w:type="dxa"/>
        </w:tblCellMar>
      </w:tblPr>
      <w:tblGrid>
        <w:gridCol w:w="462"/>
        <w:gridCol w:w="405"/>
        <w:gridCol w:w="408"/>
        <w:gridCol w:w="920"/>
        <w:gridCol w:w="920"/>
        <w:gridCol w:w="1309"/>
      </w:tblGrid>
      <w:tr>
        <w:trPr/>
        <w:tc>
          <w:tcPr>
            <w:tcW w:w="462"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Symbotic Inc.</w:t>
            </w:r>
          </w:p>
        </w:tc>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Ernst</w:t>
            </w:r>
          </w:p>
        </w:tc>
      </w:tr>
      <w:tr>
        <w:trPr/>
        <w:tc>
          <w:tcPr>
            <w:tcW w:w="12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Ernst</w:t>
            </w:r>
          </w:p>
        </w:tc>
      </w:tr>
      <w:tr>
        <w:trPr/>
        <w:tc>
          <w:tcPr>
            <w:tcW w:w="12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4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I, Richard B. Cohen, certify that:</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fiscal quarter ended March 25, 2023 of Symbotic Inc.;</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292" w:type="dxa"/>
        <w:jc w:val="left"/>
        <w:tblInd w:w="0" w:type="dxa"/>
        <w:tblCellMar>
          <w:top w:w="28" w:type="dxa"/>
          <w:left w:w="28" w:type="dxa"/>
          <w:bottom w:w="28" w:type="dxa"/>
          <w:right w:w="28" w:type="dxa"/>
        </w:tblCellMar>
      </w:tblPr>
      <w:tblGrid>
        <w:gridCol w:w="591"/>
        <w:gridCol w:w="520"/>
        <w:gridCol w:w="523"/>
        <w:gridCol w:w="134"/>
        <w:gridCol w:w="134"/>
        <w:gridCol w:w="136"/>
        <w:gridCol w:w="951"/>
        <w:gridCol w:w="951"/>
        <w:gridCol w:w="135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B. Cohen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B. Cohen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I, Thomas Ernst, certify that:</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fiscal quarter ended March 25, 2023 of Symbotic Inc.;</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187" w:type="dxa"/>
        <w:jc w:val="left"/>
        <w:tblInd w:w="0" w:type="dxa"/>
        <w:tblCellMar>
          <w:top w:w="28" w:type="dxa"/>
          <w:left w:w="28" w:type="dxa"/>
          <w:bottom w:w="28" w:type="dxa"/>
          <w:right w:w="28" w:type="dxa"/>
        </w:tblCellMar>
      </w:tblPr>
      <w:tblGrid>
        <w:gridCol w:w="591"/>
        <w:gridCol w:w="520"/>
        <w:gridCol w:w="523"/>
        <w:gridCol w:w="134"/>
        <w:gridCol w:w="134"/>
        <w:gridCol w:w="136"/>
        <w:gridCol w:w="920"/>
        <w:gridCol w:w="920"/>
        <w:gridCol w:w="130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Ernst</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Ernst</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Symbotic Inc. (the “Company”) for the fiscal quarter ended March 25, 2023,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pStyle w:val="TextBody"/>
        <w:spacing w:lineRule="auto" w:line="312" w:before="60" w:after="283"/>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312" w:before="60" w:after="283"/>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5292" w:type="dxa"/>
        <w:jc w:val="left"/>
        <w:tblInd w:w="0" w:type="dxa"/>
        <w:tblCellMar>
          <w:top w:w="28" w:type="dxa"/>
          <w:left w:w="28" w:type="dxa"/>
          <w:bottom w:w="28" w:type="dxa"/>
          <w:right w:w="28" w:type="dxa"/>
        </w:tblCellMar>
      </w:tblPr>
      <w:tblGrid>
        <w:gridCol w:w="591"/>
        <w:gridCol w:w="520"/>
        <w:gridCol w:w="523"/>
        <w:gridCol w:w="134"/>
        <w:gridCol w:w="134"/>
        <w:gridCol w:w="136"/>
        <w:gridCol w:w="951"/>
        <w:gridCol w:w="951"/>
        <w:gridCol w:w="135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B. Cohen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B. Cohen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before="0" w:after="0"/>
        <w:rPr/>
      </w:pPr>
      <w:r>
        <w:rPr/>
      </w:r>
    </w:p>
    <w:p>
      <w:pPr>
        <w:pStyle w:val="TextBody"/>
        <w:spacing w:before="0" w:after="0"/>
        <w:rPr/>
      </w:pPr>
      <w:r>
        <w:rPr/>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the Report or as a separate disclosure document.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Symbotic Inc. (the “Company”) for the fiscal quarter ended March 25, 2023, as filed with the Securities and Exchange Commission on the date hereof (the “Report”), I, Thomas Ernst, Chief Financial Officer and Treasurer of the Company, certify, pursuant to 18 U.S.C. Section 1350, as adopted pursuant to Section 906 of the Sarbanes-Oxley Act of 2002, that, to my knowledge:</w:t>
      </w:r>
    </w:p>
    <w:p>
      <w:pPr>
        <w:pStyle w:val="TextBody"/>
        <w:spacing w:lineRule="auto" w:line="312" w:before="60" w:after="283"/>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312" w:before="60" w:after="283"/>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5187" w:type="dxa"/>
        <w:jc w:val="left"/>
        <w:tblInd w:w="0" w:type="dxa"/>
        <w:tblCellMar>
          <w:top w:w="28" w:type="dxa"/>
          <w:left w:w="28" w:type="dxa"/>
          <w:bottom w:w="28" w:type="dxa"/>
          <w:right w:w="28" w:type="dxa"/>
        </w:tblCellMar>
      </w:tblPr>
      <w:tblGrid>
        <w:gridCol w:w="591"/>
        <w:gridCol w:w="520"/>
        <w:gridCol w:w="523"/>
        <w:gridCol w:w="134"/>
        <w:gridCol w:w="134"/>
        <w:gridCol w:w="136"/>
        <w:gridCol w:w="920"/>
        <w:gridCol w:w="920"/>
        <w:gridCol w:w="130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Ernst</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Ernst</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0"/>
        <w:rPr/>
      </w:pPr>
      <w:r>
        <w:rPr/>
      </w:r>
    </w:p>
    <w:p>
      <w:pPr>
        <w:pStyle w:val="TextBody"/>
        <w:spacing w:before="0" w:after="0"/>
        <w:rPr/>
      </w:pPr>
      <w:r>
        <w:rPr/>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the Report or as a separate disclosure document. </w:t>
      </w:r>
      <w:r>
        <w:br w:type="page"/>
      </w:r>
    </w:p>
    <w:p>
      <w:pPr>
        <w:pStyle w:val="TextBody"/>
        <w:spacing w:before="0" w:after="283"/>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20529</Words>
  <CharactersWithSpaces>133060</CharactersWithSpaces>
  <Paragraphs>2834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