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0001526378</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Symbotic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001-40175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200 Research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Wilmington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18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01887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1-978-284-2800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Todd Krasnow</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A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5824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296732.8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127215411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A</w:t>
            </w:r>
          </w:p>
        </w:tc>
        <w:tc>
          <w:tcPr>
            <w:tcW w:w="276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Acquired from</w:t>
            </w:r>
          </w:p>
        </w:tc>
        <w:tc>
          <w:tcPr>
            <w:tcW w:w="15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260" w:type="dxa"/>
            <w:vAlign w:val="bottom"/>
            <w:vMerge w:val="continue"/>
          </w:tcPr>
          <w:p>
            <w:pPr>
              <w:spacing w:after="0"/>
              <w:rPr>
                <w:sz w:val="10"/>
                <w:szCs w:val="10"/>
                <w:color w:val="auto"/>
              </w:rPr>
            </w:pPr>
          </w:p>
        </w:tc>
        <w:tc>
          <w:tcPr>
            <w:tcW w:w="276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color w:val="auto"/>
              </w:rPr>
              <w:t>05/05/2022 issuer in public</w:t>
            </w:r>
          </w:p>
        </w:tc>
        <w:tc>
          <w:tcPr>
            <w:tcW w:w="1520" w:type="dxa"/>
            <w:vAlign w:val="bottom"/>
            <w:vMerge w:val="restart"/>
          </w:tcPr>
          <w:p>
            <w:pPr>
              <w:ind w:left="200"/>
              <w:spacing w:after="0" w:line="243" w:lineRule="exact"/>
              <w:rPr>
                <w:sz w:val="20"/>
                <w:szCs w:val="20"/>
                <w:color w:val="auto"/>
              </w:rPr>
            </w:pPr>
            <w:r>
              <w:rPr>
                <w:rFonts w:ascii="Times New Roman" w:cs="Times New Roman" w:eastAsia="Times New Roman" w:hAnsi="Times New Roman"/>
                <w:sz w:val="22"/>
                <w:szCs w:val="22"/>
                <w:color w:val="auto"/>
              </w:rPr>
              <w:t>The Issuer</w:t>
            </w:r>
          </w:p>
        </w:tc>
        <w:tc>
          <w:tcPr>
            <w:tcW w:w="2500" w:type="dxa"/>
            <w:vAlign w:val="bottom"/>
            <w:vMerge w:val="restart"/>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3367</w:t>
            </w:r>
          </w:p>
        </w:tc>
        <w:tc>
          <w:tcPr>
            <w:tcW w:w="1960" w:type="dxa"/>
            <w:vAlign w:val="bottom"/>
            <w:vMerge w:val="restart"/>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05/05/2022 None</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76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60" w:type="dxa"/>
            <w:vAlign w:val="bottom"/>
            <w:vMerge w:val="continue"/>
          </w:tcPr>
          <w:p>
            <w:pPr>
              <w:spacing w:after="0"/>
              <w:rPr>
                <w:sz w:val="13"/>
                <w:szCs w:val="13"/>
                <w:color w:val="auto"/>
              </w:rPr>
            </w:pPr>
          </w:p>
        </w:tc>
        <w:tc>
          <w:tcPr>
            <w:tcW w:w="2760" w:type="dxa"/>
            <w:vAlign w:val="bottom"/>
            <w:vMerge w:val="restart"/>
          </w:tcPr>
          <w:p>
            <w:pPr>
              <w:ind w:left="1260"/>
              <w:spacing w:after="0"/>
              <w:rPr>
                <w:sz w:val="20"/>
                <w:szCs w:val="20"/>
                <w:color w:val="auto"/>
              </w:rPr>
            </w:pPr>
            <w:r>
              <w:rPr>
                <w:rFonts w:ascii="Times New Roman" w:cs="Times New Roman" w:eastAsia="Times New Roman" w:hAnsi="Times New Roman"/>
                <w:sz w:val="22"/>
                <w:szCs w:val="22"/>
                <w:color w:val="auto"/>
              </w:rPr>
              <w:t>offering</w:t>
            </w:r>
          </w:p>
        </w:tc>
        <w:tc>
          <w:tcPr>
            <w:tcW w:w="15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5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A</w:t>
            </w:r>
          </w:p>
        </w:tc>
        <w:tc>
          <w:tcPr>
            <w:tcW w:w="276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Acquired from</w:t>
            </w:r>
          </w:p>
        </w:tc>
        <w:tc>
          <w:tcPr>
            <w:tcW w:w="15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260" w:type="dxa"/>
            <w:vAlign w:val="bottom"/>
            <w:vMerge w:val="continue"/>
          </w:tcPr>
          <w:p>
            <w:pPr>
              <w:spacing w:after="0"/>
              <w:rPr>
                <w:sz w:val="10"/>
                <w:szCs w:val="10"/>
                <w:color w:val="auto"/>
              </w:rPr>
            </w:pPr>
          </w:p>
        </w:tc>
        <w:tc>
          <w:tcPr>
            <w:tcW w:w="276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color w:val="auto"/>
              </w:rPr>
              <w:t>05/05/2022 issuer in public</w:t>
            </w:r>
          </w:p>
        </w:tc>
        <w:tc>
          <w:tcPr>
            <w:tcW w:w="1520" w:type="dxa"/>
            <w:vAlign w:val="bottom"/>
            <w:vMerge w:val="restart"/>
          </w:tcPr>
          <w:p>
            <w:pPr>
              <w:ind w:left="200"/>
              <w:spacing w:after="0" w:line="243" w:lineRule="exact"/>
              <w:rPr>
                <w:sz w:val="20"/>
                <w:szCs w:val="20"/>
                <w:color w:val="auto"/>
              </w:rPr>
            </w:pPr>
            <w:r>
              <w:rPr>
                <w:rFonts w:ascii="Times New Roman" w:cs="Times New Roman" w:eastAsia="Times New Roman" w:hAnsi="Times New Roman"/>
                <w:sz w:val="22"/>
                <w:szCs w:val="22"/>
                <w:color w:val="auto"/>
              </w:rPr>
              <w:t>The Issuer</w:t>
            </w:r>
          </w:p>
        </w:tc>
        <w:tc>
          <w:tcPr>
            <w:tcW w:w="2500" w:type="dxa"/>
            <w:vAlign w:val="bottom"/>
            <w:vMerge w:val="restart"/>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2457</w:t>
            </w:r>
          </w:p>
        </w:tc>
        <w:tc>
          <w:tcPr>
            <w:tcW w:w="1960" w:type="dxa"/>
            <w:vAlign w:val="bottom"/>
            <w:vMerge w:val="restart"/>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05/05/2022 None</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76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60" w:type="dxa"/>
            <w:vAlign w:val="bottom"/>
            <w:vMerge w:val="continue"/>
          </w:tcPr>
          <w:p>
            <w:pPr>
              <w:spacing w:after="0"/>
              <w:rPr>
                <w:sz w:val="13"/>
                <w:szCs w:val="13"/>
                <w:color w:val="auto"/>
              </w:rPr>
            </w:pPr>
          </w:p>
        </w:tc>
        <w:tc>
          <w:tcPr>
            <w:tcW w:w="2760" w:type="dxa"/>
            <w:vAlign w:val="bottom"/>
            <w:vMerge w:val="restart"/>
          </w:tcPr>
          <w:p>
            <w:pPr>
              <w:ind w:left="1260"/>
              <w:spacing w:after="0"/>
              <w:rPr>
                <w:sz w:val="20"/>
                <w:szCs w:val="20"/>
                <w:color w:val="auto"/>
              </w:rPr>
            </w:pPr>
            <w:r>
              <w:rPr>
                <w:rFonts w:ascii="Times New Roman" w:cs="Times New Roman" w:eastAsia="Times New Roman" w:hAnsi="Times New Roman"/>
                <w:sz w:val="22"/>
                <w:szCs w:val="22"/>
                <w:color w:val="auto"/>
              </w:rPr>
              <w:t>offering</w:t>
            </w:r>
          </w:p>
        </w:tc>
        <w:tc>
          <w:tcPr>
            <w:tcW w:w="15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5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Inlet View</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A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03/09/2026 2000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95394.6</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Wilmington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Inlet View</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A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04/06/2026 2000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106552.4</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Wilmington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Inlet View</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A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05/04/2026 2000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115217.4</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Wilmington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Inlet View</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A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05/11/2026 25422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1333496.87</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Wilmington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Todd and Deborah Krasnow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Foundation</w:t>
            </w:r>
          </w:p>
        </w:tc>
        <w:tc>
          <w:tcPr>
            <w:tcW w:w="5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A Shares</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05/11/2026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261351.11</w:t>
            </w:r>
          </w:p>
        </w:tc>
        <w:tc>
          <w:tcPr>
            <w:tcW w:w="0" w:type="dxa"/>
            <w:vAlign w:val="bottom"/>
          </w:tcPr>
          <w:p>
            <w:pPr>
              <w:spacing w:after="0"/>
              <w:rPr>
                <w:sz w:val="1"/>
                <w:szCs w:val="1"/>
                <w:color w:val="auto"/>
              </w:rPr>
            </w:pPr>
          </w:p>
        </w:tc>
      </w:tr>
      <w:tr>
        <w:trPr>
          <w:trHeight w:val="161"/>
        </w:trPr>
        <w:tc>
          <w:tcPr>
            <w:tcW w:w="3340" w:type="dxa"/>
            <w:vAlign w:val="bottom"/>
            <w:gridSpan w:val="3"/>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3"/>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Wilmington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3,367 shares to be sold from the Todd Krasnow individual brokerage account and 2,457 shares to be sold from The</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10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Todd and Deborah Krasnow Foundation.</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05/21/2026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Goldman Sachs &amp; Co. LLC on behalf of Todd Krasnow</w:t>
      </w:r>
    </w:p>
    <w:p>
      <w:pPr>
        <w:sectPr>
          <w:pgSz w:w="11900" w:h="16838" w:orient="portrait"/>
          <w:cols w:equalWidth="0" w:num="1">
            <w:col w:w="11240"/>
          </w:cols>
          <w:pgMar w:left="320" w:top="98" w:right="339" w:bottom="1008"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0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2026-05-21T16:59:21Z</dcterms:created>
  <dcterms:modified xsi:type="dcterms:W3CDTF">2026-05-21T16:59:21Z</dcterms:modified>
</cp:coreProperties>
</file>