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340"/>
        <w:rPr/>
      </w:pPr>
      <w:hyperlink w:anchor="toc">
        <w:bookmarkStart w:id="0" w:name="d317211d10q.htm"/>
        <w:bookmarkStart w:id="1" w:name="ksd317211d10q"/>
        <w:bookmarkEnd w:id="0"/>
        <w:bookmarkEnd w:id="1"/>
        <w:r>
          <w:rPr>
            <w:rStyle w:val="InternetLink"/>
            <w:b/>
            <w:sz w:val="20"/>
          </w:rPr>
          <w:t>Table of Contents</w:t>
        </w:r>
      </w:hyperlink>
    </w:p>
    <w:p>
      <w:pPr>
        <w:pStyle w:val="TextBody"/>
        <w:spacing w:lineRule="atLeast" w:line="141" w:before="0" w:after="0"/>
        <w:jc w:val="left"/>
        <w:rPr>
          <w:spacing w:val="0"/>
        </w:rPr>
      </w:pPr>
      <w:r>
        <w:rPr>
          <w:spacing w:val="0"/>
        </w:rPr>
        <w:t> </w:t>
      </w:r>
    </w:p>
    <w:p>
      <w:pPr>
        <w:pStyle w:val="TextBody"/>
        <w:spacing w:lineRule="atLeast" w:line="141" w:before="0" w:after="40"/>
        <w:jc w:val="left"/>
        <w:rPr>
          <w:spacing w:val="0"/>
        </w:rPr>
      </w:pPr>
      <w:r>
        <w:rPr>
          <w:spacing w:val="0"/>
        </w:rPr>
        <w:t> </w:t>
      </w:r>
    </w:p>
    <w:p>
      <w:pPr>
        <w:pStyle w:val="TextBody"/>
        <w:spacing w:before="80" w:after="0"/>
        <w:jc w:val="center"/>
        <w:rPr>
          <w:rFonts w:ascii="Times New Roman" w:hAnsi="Times New Roman"/>
          <w:b/>
          <w:spacing w:val="0"/>
          <w:sz w:val="36"/>
        </w:rPr>
      </w:pPr>
      <w:r>
        <w:rPr>
          <w:rFonts w:ascii="Times New Roman" w:hAnsi="Times New Roman"/>
          <w:b/>
          <w:spacing w:val="0"/>
          <w:sz w:val="36"/>
        </w:rPr>
        <w:t xml:space="preserve">UNITED STATES </w:t>
      </w:r>
    </w:p>
    <w:p>
      <w:pPr>
        <w:pStyle w:val="TextBody"/>
        <w:spacing w:before="0" w:after="0"/>
        <w:jc w:val="center"/>
        <w:rPr>
          <w:rFonts w:ascii="Times New Roman" w:hAnsi="Times New Roman"/>
          <w:b/>
          <w:spacing w:val="0"/>
          <w:sz w:val="36"/>
        </w:rPr>
      </w:pPr>
      <w:r>
        <w:rPr>
          <w:rFonts w:ascii="Times New Roman" w:hAnsi="Times New Roman"/>
          <w:b/>
          <w:spacing w:val="0"/>
          <w:sz w:val="36"/>
        </w:rPr>
        <w:t xml:space="preserve">SECURITIES AND EXCHANGE COMMISSION </w:t>
      </w:r>
    </w:p>
    <w:p>
      <w:pPr>
        <w:pStyle w:val="TextBody"/>
        <w:spacing w:before="0" w:after="0"/>
        <w:jc w:val="center"/>
        <w:rPr>
          <w:rFonts w:ascii="Times New Roman" w:hAnsi="Times New Roman"/>
          <w:b/>
          <w:spacing w:val="0"/>
          <w:sz w:val="24"/>
        </w:rPr>
      </w:pPr>
      <w:r>
        <w:rPr>
          <w:rFonts w:ascii="Times New Roman" w:hAnsi="Times New Roman"/>
          <w:b/>
          <w:spacing w:val="0"/>
          <w:sz w:val="24"/>
        </w:rPr>
        <w:t xml:space="preserve">Washington, D.C. 20549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jc w:val="center"/>
        <w:rPr>
          <w:rFonts w:ascii="Times New Roman" w:hAnsi="Times New Roman"/>
          <w:b/>
          <w:sz w:val="36"/>
        </w:rPr>
      </w:pPr>
      <w:r>
        <w:rPr>
          <w:rFonts w:ascii="Times New Roman" w:hAnsi="Times New Roman"/>
          <w:b/>
          <w:sz w:val="36"/>
        </w:rPr>
        <w:t xml:space="preserve">FORM </w:t>
      </w:r>
    </w:p>
    <w:p>
      <w:pPr>
        <w:pStyle w:val="TextBody"/>
        <w:spacing w:before="240" w:after="0"/>
        <w:jc w:val="center"/>
        <w:rPr>
          <w:rFonts w:ascii="Times New Roman" w:hAnsi="Times New Roman"/>
          <w:b/>
          <w:spacing w:val="0"/>
          <w:sz w:val="36"/>
        </w:rPr>
      </w:pPr>
      <w:r>
        <w:rPr>
          <w:rFonts w:ascii="Times New Roman" w:hAnsi="Times New Roman"/>
          <w:b/>
          <w:spacing w:val="0"/>
          <w:sz w:val="36"/>
        </w:rPr>
        <w:t>10-Q</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0"/>
              <w:jc w:val="left"/>
              <w:rPr>
                <w:rFonts w:ascii="Times New Roman" w:hAnsi="Times New Roman"/>
                <w:b/>
                <w:spacing w:val="0"/>
                <w:sz w:val="24"/>
              </w:rPr>
            </w:pPr>
            <w:r>
              <w:rPr>
                <w:rFonts w:ascii="Times New Roman" w:hAnsi="Times New Roman"/>
                <w:b/>
                <w:spacing w:val="0"/>
                <w:sz w:val="24"/>
              </w:rPr>
              <w:t xml:space="preserve">QUARTERLY REPORT PURSUANT TO SECTION 13 OR 15(d) OF THE SECURITIES EXCHANGE ACT OF 1934 </w:t>
            </w:r>
          </w:p>
        </w:tc>
      </w:tr>
    </w:tbl>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For the quarterly period ended March 31, 2022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OR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0"/>
              <w:jc w:val="left"/>
              <w:rPr>
                <w:rFonts w:ascii="Times New Roman" w:hAnsi="Times New Roman"/>
                <w:b/>
                <w:spacing w:val="0"/>
                <w:sz w:val="24"/>
              </w:rPr>
            </w:pPr>
            <w:r>
              <w:rPr>
                <w:rFonts w:ascii="Times New Roman" w:hAnsi="Times New Roman"/>
                <w:b/>
                <w:spacing w:val="0"/>
                <w:sz w:val="24"/>
              </w:rPr>
              <w:t xml:space="preserve">TRANSITION REPORT PURSUANT TO SECTION 13 OR 15(d) OF THE SECURITIES EXCHANGE ACT OF 1934 </w:t>
            </w:r>
          </w:p>
        </w:tc>
      </w:tr>
    </w:tbl>
    <w:p>
      <w:pPr>
        <w:pStyle w:val="TextBody"/>
        <w:spacing w:before="240" w:after="0"/>
        <w:jc w:val="center"/>
        <w:rPr>
          <w:rFonts w:ascii="Times New Roman" w:hAnsi="Times New Roman"/>
          <w:b/>
          <w:sz w:val="20"/>
        </w:rPr>
      </w:pPr>
      <w:r>
        <w:rPr>
          <w:rFonts w:ascii="Times New Roman" w:hAnsi="Times New Roman"/>
          <w:b/>
          <w:sz w:val="20"/>
        </w:rPr>
        <w:t xml:space="preserve">For the transition period from to </w:t>
      </w:r>
    </w:p>
    <w:p>
      <w:pPr>
        <w:pStyle w:val="TextBody"/>
        <w:spacing w:before="240" w:after="0"/>
        <w:jc w:val="center"/>
        <w:rPr>
          <w:spacing w:val="0"/>
          <w:u w:val="single"/>
        </w:rPr>
      </w:pPr>
      <w:r>
        <w:rPr>
          <w:spacing w:val="0"/>
          <w:u w:val="single"/>
        </w:rPr>
        <w:t>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jc w:val="center"/>
        <w:rPr>
          <w:rFonts w:ascii="Times New Roman" w:hAnsi="Times New Roman"/>
          <w:b/>
          <w:spacing w:val="0"/>
          <w:sz w:val="48"/>
        </w:rPr>
      </w:pPr>
      <w:r>
        <w:rPr>
          <w:rFonts w:ascii="Times New Roman" w:hAnsi="Times New Roman"/>
          <w:b/>
          <w:spacing w:val="0"/>
          <w:sz w:val="48"/>
        </w:rPr>
        <w:t xml:space="preserve">SVF INVESTMENT CORP. 3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(Exact name of registrant as specified in its charter)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0" w:after="0"/>
        <w:jc w:val="left"/>
        <w:rPr>
          <w:spacing w:val="0"/>
        </w:rPr>
      </w:pPr>
      <w:r>
        <w:rPr>
          <w:spacing w:val="0"/>
        </w:rPr>
        <w:t> </w:t>
      </w:r>
    </w:p>
    <w:tbl>
      <w:tblPr>
        <w:tblW w:w="4830" w:type="dxa"/>
        <w:jc w:val="left"/>
        <w:tblInd w:w="0" w:type="dxa"/>
        <w:tblCellMar>
          <w:top w:w="0" w:type="dxa"/>
          <w:left w:w="0" w:type="dxa"/>
          <w:bottom w:w="0" w:type="dxa"/>
          <w:right w:w="0" w:type="dxa"/>
        </w:tblCellMar>
      </w:tblPr>
      <w:tblGrid>
        <w:gridCol w:w="2285"/>
        <w:gridCol w:w="60"/>
        <w:gridCol w:w="1055"/>
        <w:gridCol w:w="60"/>
        <w:gridCol w:w="1370"/>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2285" w:type="dxa"/>
            <w:tcBorders/>
            <w:shd w:fill="auto" w:val="clear"/>
            <w:vAlign w:val="center"/>
          </w:tcPr>
          <w:p>
            <w:pPr>
              <w:pStyle w:val="TableContents"/>
              <w:spacing w:before="0" w:after="0"/>
              <w:jc w:val="center"/>
              <w:rPr>
                <w:b/>
                <w:spacing w:val="0"/>
              </w:rPr>
            </w:pPr>
            <w:r>
              <w:rPr>
                <w:b/>
                <w:spacing w:val="0"/>
              </w:rPr>
              <w:t>Cayman Islands</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b/>
                <w:spacing w:val="0"/>
              </w:rPr>
            </w:pPr>
            <w:r>
              <w:rPr>
                <w:b/>
                <w:spacing w:val="0"/>
              </w:rPr>
              <w:t>001-40175</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b/>
                <w:spacing w:val="0"/>
              </w:rPr>
            </w:pPr>
            <w:r>
              <w:rPr>
                <w:b/>
                <w:spacing w:val="0"/>
              </w:rPr>
              <w:t>98-1572401</w:t>
            </w:r>
          </w:p>
        </w:tc>
      </w:tr>
      <w:tr>
        <w:trPr/>
        <w:tc>
          <w:tcPr>
            <w:tcW w:w="2285"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(State or other jurisdiction of</w:t>
            </w:r>
          </w:p>
          <w:p>
            <w:pPr>
              <w:pStyle w:val="TableContents"/>
              <w:spacing w:before="0" w:after="20"/>
              <w:jc w:val="center"/>
              <w:rPr>
                <w:rFonts w:ascii="Times New Roman" w:hAnsi="Times New Roman"/>
                <w:b/>
                <w:spacing w:val="0"/>
                <w:sz w:val="16"/>
              </w:rPr>
            </w:pPr>
            <w:r>
              <w:rPr>
                <w:rFonts w:ascii="Times New Roman" w:hAnsi="Times New Roman"/>
                <w:b/>
                <w:spacing w:val="0"/>
                <w:sz w:val="16"/>
              </w:rPr>
              <w:t>incorporation or organization)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(Commission</w:t>
            </w:r>
          </w:p>
          <w:p>
            <w:pPr>
              <w:pStyle w:val="TableContents"/>
              <w:spacing w:before="0" w:after="20"/>
              <w:jc w:val="center"/>
              <w:rPr>
                <w:rFonts w:ascii="Times New Roman" w:hAnsi="Times New Roman"/>
                <w:b/>
                <w:spacing w:val="0"/>
                <w:sz w:val="16"/>
              </w:rPr>
            </w:pPr>
            <w:r>
              <w:rPr>
                <w:rFonts w:ascii="Times New Roman" w:hAnsi="Times New Roman"/>
                <w:b/>
                <w:spacing w:val="0"/>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(IRS Employer</w:t>
            </w:r>
          </w:p>
          <w:p>
            <w:pPr>
              <w:pStyle w:val="TableContents"/>
              <w:spacing w:before="0" w:after="20"/>
              <w:jc w:val="center"/>
              <w:rPr>
                <w:rFonts w:ascii="Times New Roman" w:hAnsi="Times New Roman"/>
                <w:b/>
                <w:spacing w:val="0"/>
                <w:sz w:val="16"/>
              </w:rPr>
            </w:pPr>
            <w:r>
              <w:rPr>
                <w:rFonts w:ascii="Times New Roman" w:hAnsi="Times New Roman"/>
                <w:b/>
                <w:spacing w:val="0"/>
                <w:sz w:val="16"/>
              </w:rPr>
              <w:t>Identification No.)</w:t>
            </w:r>
          </w:p>
        </w:tc>
      </w:tr>
    </w:tbl>
    <w:p>
      <w:pPr>
        <w:pStyle w:val="TextBody"/>
        <w:spacing w:before="0" w:after="0"/>
        <w:jc w:val="left"/>
        <w:rPr>
          <w:spacing w:val="0"/>
        </w:rPr>
      </w:pPr>
      <w:r>
        <w:rPr>
          <w:spacing w:val="0"/>
        </w:rPr>
        <w:t> </w:t>
      </w:r>
    </w:p>
    <w:tbl>
      <w:tblPr>
        <w:tblW w:w="5335" w:type="dxa"/>
        <w:jc w:val="left"/>
        <w:tblInd w:w="0" w:type="dxa"/>
        <w:tblCellMar>
          <w:top w:w="0" w:type="dxa"/>
          <w:left w:w="0" w:type="dxa"/>
          <w:bottom w:w="0" w:type="dxa"/>
          <w:right w:w="0" w:type="dxa"/>
        </w:tblCellMar>
      </w:tblPr>
      <w:tblGrid>
        <w:gridCol w:w="4130"/>
        <w:gridCol w:w="60"/>
        <w:gridCol w:w="1145"/>
      </w:tblGrid>
      <w:tr>
        <w:trPr/>
        <w:tc>
          <w:tcPr>
            <w:tcW w:w="41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r>
      <w:tr>
        <w:trPr/>
        <w:tc>
          <w:tcPr>
            <w:tcW w:w="4130" w:type="dxa"/>
            <w:tcBorders/>
            <w:shd w:fill="auto" w:val="clear"/>
            <w:vAlign w:val="center"/>
          </w:tcPr>
          <w:p>
            <w:pPr>
              <w:pStyle w:val="TableContents"/>
              <w:spacing w:before="0" w:after="0"/>
              <w:jc w:val="center"/>
              <w:rPr>
                <w:rFonts w:ascii="Times New Roman" w:hAnsi="Times New Roman"/>
                <w:b/>
                <w:spacing w:val="0"/>
                <w:sz w:val="20"/>
              </w:rPr>
            </w:pPr>
            <w:r>
              <w:rPr>
                <w:rFonts w:ascii="Times New Roman" w:hAnsi="Times New Roman"/>
                <w:b/>
                <w:spacing w:val="0"/>
                <w:sz w:val="20"/>
              </w:rPr>
              <w:t>1 Circle Star Way</w:t>
            </w:r>
          </w:p>
          <w:p>
            <w:pPr>
              <w:pStyle w:val="TableContents"/>
              <w:spacing w:before="0" w:after="20"/>
              <w:jc w:val="center"/>
              <w:rPr>
                <w:rFonts w:ascii="Times New Roman" w:hAnsi="Times New Roman"/>
                <w:b/>
                <w:spacing w:val="0"/>
                <w:sz w:val="20"/>
              </w:rPr>
            </w:pPr>
            <w:r>
              <w:rPr>
                <w:rFonts w:ascii="Times New Roman" w:hAnsi="Times New Roman"/>
                <w:b/>
                <w:spacing w:val="0"/>
                <w:sz w:val="20"/>
              </w:rPr>
              <w:t>San Carlos, California</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0"/>
              <w:jc w:val="center"/>
              <w:rPr>
                <w:b/>
                <w:spacing w:val="0"/>
              </w:rPr>
            </w:pPr>
            <w:r>
              <w:rPr>
                <w:b/>
                <w:spacing w:val="0"/>
              </w:rPr>
              <w:t>94070</w:t>
            </w:r>
          </w:p>
        </w:tc>
      </w:tr>
      <w:tr>
        <w:trPr/>
        <w:tc>
          <w:tcPr>
            <w:tcW w:w="4130" w:type="dxa"/>
            <w:tcBorders/>
            <w:shd w:fill="auto" w:val="clear"/>
            <w:vAlign w:val="center"/>
          </w:tcPr>
          <w:p>
            <w:pPr>
              <w:pStyle w:val="TableContents"/>
              <w:spacing w:before="0" w:after="0"/>
              <w:jc w:val="center"/>
              <w:rPr>
                <w:b/>
                <w:spacing w:val="0"/>
              </w:rPr>
            </w:pPr>
            <w:r>
              <w:rPr>
                <w:b/>
                <w:spacing w:val="0"/>
              </w:rPr>
              <w:t>(Address Of Principal Executive Offices)</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0"/>
              <w:jc w:val="center"/>
              <w:rPr>
                <w:b/>
                <w:spacing w:val="0"/>
              </w:rPr>
            </w:pPr>
            <w:r>
              <w:rPr>
                <w:b/>
                <w:spacing w:val="0"/>
              </w:rPr>
              <w:t>(Zip Code)</w:t>
            </w:r>
          </w:p>
        </w:tc>
      </w:tr>
    </w:tbl>
    <w:p>
      <w:pPr>
        <w:pStyle w:val="TextBody"/>
        <w:spacing w:before="240" w:after="0"/>
        <w:jc w:val="center"/>
        <w:rPr>
          <w:rFonts w:ascii="Times New Roman" w:hAnsi="Times New Roman"/>
          <w:b/>
          <w:sz w:val="20"/>
        </w:rPr>
      </w:pPr>
      <w:r>
        <w:rPr>
          <w:rFonts w:ascii="Times New Roman" w:hAnsi="Times New Roman"/>
          <w:b/>
          <w:sz w:val="20"/>
        </w:rPr>
        <w:t xml:space="preserve">(650) </w:t>
      </w:r>
    </w:p>
    <w:p>
      <w:pPr>
        <w:pStyle w:val="TextBody"/>
        <w:spacing w:before="240" w:after="0"/>
        <w:jc w:val="center"/>
        <w:rPr>
          <w:rFonts w:ascii="Times New Roman" w:hAnsi="Times New Roman"/>
          <w:b/>
          <w:spacing w:val="0"/>
          <w:sz w:val="20"/>
        </w:rPr>
      </w:pPr>
      <w:r>
        <w:rPr>
          <w:rFonts w:ascii="Times New Roman" w:hAnsi="Times New Roman"/>
          <w:b/>
          <w:spacing w:val="0"/>
          <w:sz w:val="20"/>
        </w:rPr>
        <w:t>562-8100</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Registrant’s telephone number, including area code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 Applicable </w:t>
      </w:r>
    </w:p>
    <w:p>
      <w:pPr>
        <w:pStyle w:val="TextBody"/>
        <w:spacing w:before="0" w:after="0"/>
        <w:jc w:val="center"/>
        <w:rPr>
          <w:rFonts w:ascii="Times New Roman" w:hAnsi="Times New Roman"/>
          <w:b/>
          <w:spacing w:val="0"/>
          <w:sz w:val="16"/>
        </w:rPr>
      </w:pPr>
      <w:r>
        <w:rPr>
          <w:rFonts w:ascii="Times New Roman" w:hAnsi="Times New Roman"/>
          <w:b/>
          <w:spacing w:val="0"/>
          <w:sz w:val="16"/>
        </w:rPr>
        <w:t xml:space="preserve">(Former name or former address, if changed since last report)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Securities registered pursuant to Section 12(b) of the Act: </w:t>
      </w:r>
    </w:p>
    <w:p>
      <w:pPr>
        <w:pStyle w:val="TextBody"/>
        <w:spacing w:before="0" w:after="0"/>
        <w:jc w:val="left"/>
        <w:rPr>
          <w:spacing w:val="0"/>
        </w:rPr>
      </w:pPr>
      <w:r>
        <w:rPr>
          <w:spacing w:val="0"/>
        </w:rPr>
        <w:t> </w:t>
      </w:r>
    </w:p>
    <w:tbl>
      <w:tblPr>
        <w:tblW w:w="8025" w:type="dxa"/>
        <w:jc w:val="left"/>
        <w:tblInd w:w="0" w:type="dxa"/>
        <w:tblCellMar>
          <w:top w:w="0" w:type="dxa"/>
          <w:left w:w="0" w:type="dxa"/>
          <w:bottom w:w="0" w:type="dxa"/>
          <w:right w:w="0" w:type="dxa"/>
        </w:tblCellMar>
      </w:tblPr>
      <w:tblGrid>
        <w:gridCol w:w="5420"/>
        <w:gridCol w:w="60"/>
        <w:gridCol w:w="740"/>
        <w:gridCol w:w="60"/>
        <w:gridCol w:w="1745"/>
      </w:tblGrid>
      <w:tr>
        <w:trPr/>
        <w:tc>
          <w:tcPr>
            <w:tcW w:w="54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r>
      <w:tr>
        <w:trPr/>
        <w:tc>
          <w:tcPr>
            <w:tcW w:w="5420" w:type="dxa"/>
            <w:tcBorders/>
            <w:shd w:fill="auto" w:val="clear"/>
            <w:vAlign w:val="center"/>
          </w:tcPr>
          <w:p>
            <w:pPr>
              <w:pStyle w:val="TableContents"/>
              <w:spacing w:before="0" w:after="20"/>
              <w:jc w:val="center"/>
              <w:rPr>
                <w:rFonts w:ascii="Times New Roman" w:hAnsi="Times New Roman"/>
                <w:b/>
                <w:spacing w:val="0"/>
                <w:sz w:val="16"/>
              </w:rPr>
            </w:pPr>
            <w:r>
              <w:rPr>
                <w:rFonts w:ascii="Times New Roman" w:hAnsi="Times New Roman"/>
                <w:b/>
                <w:spacing w:val="0"/>
                <w:sz w:val="16"/>
              </w:rPr>
              <w:t>Title of each class</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Trading</w:t>
            </w:r>
          </w:p>
          <w:p>
            <w:pPr>
              <w:pStyle w:val="TableContents"/>
              <w:spacing w:before="0" w:after="20"/>
              <w:jc w:val="center"/>
              <w:rPr>
                <w:rFonts w:ascii="Times New Roman" w:hAnsi="Times New Roman"/>
                <w:b/>
                <w:spacing w:val="0"/>
                <w:sz w:val="16"/>
              </w:rPr>
            </w:pPr>
            <w:r>
              <w:rPr>
                <w:rFonts w:ascii="Times New Roman" w:hAnsi="Times New Roman"/>
                <w:b/>
                <w:spacing w:val="0"/>
                <w:sz w:val="16"/>
              </w:rPr>
              <w:t>Symbol(s)</w:t>
            </w:r>
          </w:p>
        </w:tc>
        <w:tc>
          <w:tcPr>
            <w:tcW w:w="60"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Name of each exchange</w:t>
            </w:r>
          </w:p>
          <w:p>
            <w:pPr>
              <w:pStyle w:val="TableContents"/>
              <w:spacing w:before="0" w:after="20"/>
              <w:jc w:val="center"/>
              <w:rPr>
                <w:rFonts w:ascii="Times New Roman" w:hAnsi="Times New Roman"/>
                <w:b/>
                <w:spacing w:val="0"/>
                <w:sz w:val="16"/>
              </w:rPr>
            </w:pPr>
            <w:r>
              <w:rPr>
                <w:rFonts w:ascii="Times New Roman" w:hAnsi="Times New Roman"/>
                <w:b/>
                <w:spacing w:val="0"/>
                <w:sz w:val="16"/>
              </w:rPr>
              <w:t>on which registered</w:t>
            </w:r>
          </w:p>
        </w:tc>
      </w:tr>
      <w:tr>
        <w:trPr/>
        <w:tc>
          <w:tcPr>
            <w:tcW w:w="5420" w:type="dxa"/>
            <w:tcBorders/>
            <w:shd w:fill="auto" w:val="clear"/>
            <w:vAlign w:val="center"/>
          </w:tcPr>
          <w:p>
            <w:pPr>
              <w:pStyle w:val="TableContents"/>
              <w:spacing w:before="0" w:after="0"/>
              <w:jc w:val="center"/>
              <w:rPr>
                <w:b/>
                <w:spacing w:val="0"/>
              </w:rPr>
            </w:pPr>
            <w:r>
              <w:rPr>
                <w:b/>
                <w:spacing w:val="0"/>
              </w:rPr>
              <w:t>Class A ordinary shares, par value $0.0001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0"/>
              <w:jc w:val="center"/>
              <w:rPr>
                <w:b/>
                <w:spacing w:val="0"/>
              </w:rPr>
            </w:pPr>
            <w:r>
              <w:rPr>
                <w:b/>
                <w:spacing w:val="0"/>
              </w:rPr>
              <w:t>SVFC</w:t>
            </w:r>
          </w:p>
        </w:tc>
        <w:tc>
          <w:tcPr>
            <w:tcW w:w="60"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spacing w:before="0" w:after="0"/>
              <w:jc w:val="center"/>
              <w:rPr>
                <w:b/>
                <w:spacing w:val="0"/>
              </w:rPr>
            </w:pPr>
            <w:r>
              <w:rPr>
                <w:b/>
                <w:spacing w:val="0"/>
              </w:rPr>
              <w:t>Nasdaq</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spacing w:before="240" w:after="0"/>
        <w:jc w:val="left"/>
        <w:rPr>
          <w:rFonts w:ascii="Times New Roman" w:hAnsi="Times New Roman"/>
          <w:spacing w:val="0"/>
          <w:sz w:val="20"/>
        </w:rPr>
      </w:pPr>
      <w:r>
        <w:rPr>
          <w:rFonts w:ascii="Times New Roman" w:hAnsi="Times New Roman"/>
          <w:spacing w:val="0"/>
          <w:sz w:val="20"/>
        </w:rPr>
        <w:t>S-T</w:t>
      </w:r>
    </w:p>
    <w:p>
      <w:pPr>
        <w:pStyle w:val="TextBody"/>
        <w:spacing w:before="240" w:after="0"/>
        <w:jc w:val="left"/>
        <w:rPr>
          <w:rFonts w:ascii="Times New Roman" w:hAnsi="Times New Roman"/>
          <w:sz w:val="20"/>
        </w:rPr>
      </w:pPr>
      <w:r>
        <w:rPr>
          <w:rFonts w:ascii="Times New Roman" w:hAnsi="Times New Roman"/>
          <w:sz w:val="20"/>
        </w:rPr>
        <w:t xml:space="preserve">(§ 232.405 of this chapter) during the preceding 12 months (or for such shorter period that the registrant was required to submit such files).    Yes  ☒    No  ☐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spacing w:before="240" w:after="0"/>
        <w:jc w:val="left"/>
        <w:rPr>
          <w:rFonts w:ascii="Times New Roman" w:hAnsi="Times New Roman"/>
          <w:sz w:val="20"/>
        </w:rPr>
      </w:pPr>
      <w:r>
        <w:rPr>
          <w:rFonts w:ascii="Times New Roman" w:hAnsi="Times New Roman"/>
          <w:sz w:val="20"/>
        </w:rPr>
        <w:t xml:space="preserve">filer, smaller reporting company, or an emerging growth company. See the definitions of “large accelerated filer,” “accelerated filer,” “smaller reporting company,” and “emerging growth company” in Rule </w:t>
      </w:r>
    </w:p>
    <w:p>
      <w:pPr>
        <w:pStyle w:val="TextBody"/>
        <w:spacing w:before="240" w:after="0"/>
        <w:jc w:val="left"/>
        <w:rPr>
          <w:rFonts w:ascii="Times New Roman" w:hAnsi="Times New Roman"/>
          <w:spacing w:val="0"/>
          <w:sz w:val="20"/>
        </w:rPr>
      </w:pPr>
      <w:r>
        <w:rPr>
          <w:rFonts w:ascii="Times New Roman" w:hAnsi="Times New Roman"/>
          <w:spacing w:val="0"/>
          <w:sz w:val="20"/>
        </w:rPr>
        <w:t>12b-2</w:t>
      </w:r>
    </w:p>
    <w:p>
      <w:pPr>
        <w:pStyle w:val="TextBody"/>
        <w:spacing w:before="240" w:after="0"/>
        <w:jc w:val="left"/>
        <w:rPr>
          <w:rFonts w:ascii="Times New Roman" w:hAnsi="Times New Roman"/>
          <w:sz w:val="20"/>
        </w:rPr>
      </w:pPr>
      <w:r>
        <w:rPr>
          <w:rFonts w:ascii="Times New Roman" w:hAnsi="Times New Roman"/>
          <w:sz w:val="20"/>
        </w:rPr>
        <w:t xml:space="preserve">of the Exchange Act. </w:t>
      </w:r>
    </w:p>
    <w:p>
      <w:pPr>
        <w:pStyle w:val="TextBody"/>
        <w:spacing w:before="0" w:after="0"/>
        <w:jc w:val="left"/>
        <w:rPr>
          <w:spacing w:val="0"/>
        </w:rPr>
      </w:pPr>
      <w:r>
        <w:rPr>
          <w:spacing w:val="0"/>
        </w:rPr>
        <w:t> </w:t>
      </w:r>
    </w:p>
    <w:tbl>
      <w:tblPr>
        <w:tblW w:w="5465" w:type="dxa"/>
        <w:jc w:val="left"/>
        <w:tblInd w:w="0" w:type="dxa"/>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135" w:type="dxa"/>
            <w:tcBorders/>
            <w:shd w:fill="auto" w:val="clear"/>
            <w:vAlign w:val="center"/>
          </w:tcPr>
          <w:p>
            <w:pPr>
              <w:pStyle w:val="TableContents"/>
              <w:spacing w:before="0" w:after="283"/>
              <w:rPr/>
            </w:pPr>
            <w:r>
              <w:rPr/>
              <w:t>Large accelerated 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Accelerated filer</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r>
        <w:trPr/>
        <w:tc>
          <w:tcPr>
            <w:tcW w:w="2135" w:type="dxa"/>
            <w:tcBorders/>
            <w:shd w:fill="auto" w:val="clear"/>
            <w:vAlign w:val="center"/>
          </w:tcPr>
          <w:p>
            <w:pPr>
              <w:pStyle w:val="TableContents"/>
              <w:spacing w:before="0" w:after="283"/>
              <w:rPr/>
            </w:pPr>
            <w:r>
              <w:rPr/>
              <w:t> </w:t>
            </w:r>
          </w:p>
        </w:tc>
        <w:tc>
          <w:tcPr>
            <w:tcW w:w="290" w:type="dxa"/>
            <w:gridSpan w:val="2"/>
            <w:tcBorders/>
            <w:shd w:fill="auto" w:val="clear"/>
            <w:vAlign w:val="center"/>
          </w:tcPr>
          <w:p>
            <w:pPr>
              <w:pStyle w:val="TableContents"/>
              <w:spacing w:before="0" w:after="283"/>
              <w:rPr/>
            </w:pPr>
            <w:r>
              <w:rPr/>
              <w:t> </w:t>
            </w:r>
          </w:p>
        </w:tc>
        <w:tc>
          <w:tcPr>
            <w:tcW w:w="2735" w:type="dxa"/>
            <w:gridSpan w:val="2"/>
            <w:tcBorders/>
            <w:shd w:fill="auto" w:val="clear"/>
            <w:vAlign w:val="center"/>
          </w:tcPr>
          <w:p>
            <w:pPr>
              <w:pStyle w:val="TableContents"/>
              <w:spacing w:before="0" w:after="283"/>
              <w:rPr/>
            </w:pPr>
            <w:r>
              <w:rPr/>
              <w:t> </w:t>
            </w:r>
          </w:p>
        </w:tc>
        <w:tc>
          <w:tcPr>
            <w:tcW w:w="305" w:type="dxa"/>
            <w:gridSpan w:val="2"/>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0"/>
              <w:rPr>
                <w:spacing w:val="0"/>
              </w:rPr>
            </w:pPr>
            <w:r>
              <w:rPr>
                <w:spacing w:val="0"/>
              </w:rPr>
              <w:t>Non-accelerated</w:t>
            </w:r>
          </w:p>
          <w:p>
            <w:pPr>
              <w:pStyle w:val="TableContents"/>
              <w:spacing w:before="0" w:after="0"/>
              <w:rPr/>
            </w:pPr>
            <w:r>
              <w:rPr/>
              <w:t>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Smaller reporting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r>
        <w:trPr/>
        <w:tc>
          <w:tcPr>
            <w:tcW w:w="2135" w:type="dxa"/>
            <w:tcBorders/>
            <w:shd w:fill="auto" w:val="clear"/>
            <w:vAlign w:val="center"/>
          </w:tcPr>
          <w:p>
            <w:pPr>
              <w:pStyle w:val="TableContents"/>
              <w:spacing w:before="0" w:after="283"/>
              <w:rPr/>
            </w:pPr>
            <w:r>
              <w:rPr/>
              <w:t> </w:t>
            </w:r>
          </w:p>
        </w:tc>
        <w:tc>
          <w:tcPr>
            <w:tcW w:w="290" w:type="dxa"/>
            <w:gridSpan w:val="2"/>
            <w:tcBorders/>
            <w:shd w:fill="auto" w:val="clear"/>
            <w:vAlign w:val="center"/>
          </w:tcPr>
          <w:p>
            <w:pPr>
              <w:pStyle w:val="TableContents"/>
              <w:spacing w:before="0" w:after="283"/>
              <w:rPr/>
            </w:pPr>
            <w:r>
              <w:rPr/>
              <w:t> </w:t>
            </w:r>
          </w:p>
        </w:tc>
        <w:tc>
          <w:tcPr>
            <w:tcW w:w="2735" w:type="dxa"/>
            <w:gridSpan w:val="2"/>
            <w:tcBorders/>
            <w:shd w:fill="auto" w:val="clear"/>
            <w:vAlign w:val="center"/>
          </w:tcPr>
          <w:p>
            <w:pPr>
              <w:pStyle w:val="TableContents"/>
              <w:spacing w:before="0" w:after="283"/>
              <w:rPr/>
            </w:pPr>
            <w:r>
              <w:rPr/>
              <w:t> </w:t>
            </w:r>
          </w:p>
        </w:tc>
        <w:tc>
          <w:tcPr>
            <w:tcW w:w="305" w:type="dxa"/>
            <w:gridSpan w:val="2"/>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Emerging growth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w:t>
      </w:r>
    </w:p>
    <w:p>
      <w:pPr>
        <w:pStyle w:val="TextBody"/>
        <w:spacing w:before="240" w:after="0"/>
        <w:jc w:val="left"/>
        <w:rPr>
          <w:rFonts w:ascii="Times New Roman" w:hAnsi="Times New Roman"/>
          <w:spacing w:val="0"/>
          <w:sz w:val="20"/>
        </w:rPr>
      </w:pPr>
      <w:r>
        <w:rPr>
          <w:rFonts w:ascii="Times New Roman" w:hAnsi="Times New Roman"/>
          <w:spacing w:val="0"/>
          <w:sz w:val="20"/>
        </w:rPr>
        <w:t>12b-2</w:t>
      </w:r>
    </w:p>
    <w:p>
      <w:pPr>
        <w:pStyle w:val="TextBody"/>
        <w:spacing w:before="240" w:after="0"/>
        <w:jc w:val="left"/>
        <w:rPr>
          <w:rFonts w:ascii="Times New Roman" w:hAnsi="Times New Roman"/>
          <w:sz w:val="20"/>
        </w:rPr>
      </w:pPr>
      <w:r>
        <w:rPr>
          <w:rFonts w:ascii="Times New Roman" w:hAnsi="Times New Roman"/>
          <w:sz w:val="20"/>
        </w:rPr>
        <w:t xml:space="preserve">of the Exchange Act).    Yes  ☒    No  ☐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As of May 13, 2022</w:t>
      </w:r>
    </w:p>
    <w:p>
      <w:pPr>
        <w:pStyle w:val="TextBody"/>
        <w:spacing w:before="240" w:after="0"/>
        <w:jc w:val="left"/>
        <w:rPr>
          <w:rFonts w:ascii="Times New Roman" w:hAnsi="Times New Roman"/>
          <w:spacing w:val="0"/>
          <w:sz w:val="20"/>
        </w:rPr>
      </w:pPr>
      <w:r>
        <w:rPr>
          <w:rFonts w:ascii="Times New Roman" w:hAnsi="Times New Roman"/>
          <w:spacing w:val="0"/>
          <w:sz w:val="20"/>
        </w:rPr>
        <w:t>, 33,040,000 Class A ordinary shares, par value $0.0001 per share, and 8,000,000 Class B ordinary shares, par value $0.0001 per share, were issued and outstanding</w:t>
      </w:r>
    </w:p>
    <w:p>
      <w:pPr>
        <w:pStyle w:val="TextBody"/>
        <w:spacing w:before="240" w:after="0"/>
        <w:jc w:val="left"/>
        <w:rPr>
          <w:rFonts w:ascii="Times New Roman" w:hAnsi="Times New Roman"/>
          <w:spacing w:val="0"/>
          <w:sz w:val="20"/>
        </w:rPr>
      </w:pPr>
      <w:r>
        <w:rPr>
          <w:rFonts w:ascii="Times New Roman" w:hAnsi="Times New Roman"/>
          <w:spacing w:val="0"/>
          <w:sz w:val="20"/>
        </w:rPr>
        <w:t>.</w:t>
      </w:r>
    </w:p>
    <w:p>
      <w:pPr>
        <w:pStyle w:val="TextBody"/>
        <w:spacing w:before="0" w:after="0"/>
        <w:jc w:val="left"/>
        <w:rPr>
          <w:spacing w:val="0"/>
        </w:rPr>
      </w:pPr>
      <w:r>
        <w:rPr>
          <w:spacing w:val="0"/>
        </w:rPr>
        <w:t> </w:t>
      </w:r>
    </w:p>
    <w:p>
      <w:pPr>
        <w:pStyle w:val="TextBody"/>
        <w:spacing w:lineRule="atLeast" w:line="141" w:before="0" w:after="0"/>
        <w:jc w:val="left"/>
        <w:rPr>
          <w:spacing w:val="0"/>
        </w:rPr>
      </w:pPr>
      <w:r>
        <w:rPr>
          <w:spacing w:val="0"/>
        </w:rPr>
        <w:t> </w:t>
      </w:r>
    </w:p>
    <w:p>
      <w:pPr>
        <w:pStyle w:val="TextBody"/>
        <w:spacing w:lineRule="atLeast" w:line="141" w:before="0" w:after="40"/>
        <w:jc w:val="left"/>
        <w:rPr>
          <w:spacing w:val="0"/>
        </w:rPr>
      </w:pPr>
      <w:r>
        <w:rPr>
          <w:spacing w:val="0"/>
        </w:rPr>
        <w:t>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SVF INVESTMENT CORP. 3 </w:t>
      </w:r>
    </w:p>
    <w:p>
      <w:pPr>
        <w:pStyle w:val="TextBody"/>
        <w:spacing w:before="0" w:after="0"/>
        <w:jc w:val="center"/>
        <w:rPr>
          <w:rFonts w:ascii="Times New Roman" w:hAnsi="Times New Roman"/>
          <w:b/>
          <w:sz w:val="20"/>
        </w:rPr>
      </w:pPr>
      <w:r>
        <w:rPr>
          <w:rFonts w:ascii="Times New Roman" w:hAnsi="Times New Roman"/>
          <w:b/>
          <w:sz w:val="20"/>
        </w:rPr>
        <w:t xml:space="preserve">Form </w:t>
      </w:r>
    </w:p>
    <w:p>
      <w:pPr>
        <w:pStyle w:val="TextBody"/>
        <w:spacing w:before="0" w:after="0"/>
        <w:jc w:val="center"/>
        <w:rPr>
          <w:rFonts w:ascii="Times New Roman" w:hAnsi="Times New Roman"/>
          <w:b/>
          <w:spacing w:val="0"/>
          <w:sz w:val="20"/>
        </w:rPr>
      </w:pPr>
      <w:r>
        <w:rPr>
          <w:rFonts w:ascii="Times New Roman" w:hAnsi="Times New Roman"/>
          <w:b/>
          <w:spacing w:val="0"/>
          <w:sz w:val="20"/>
        </w:rPr>
        <w:t>10-Q</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For the Quarter Ended March 31, 2022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Table of </w:t>
      </w:r>
    </w:p>
    <w:p>
      <w:pPr>
        <w:pStyle w:val="TextBody"/>
        <w:spacing w:before="0" w:after="0"/>
        <w:jc w:val="center"/>
        <w:rPr>
          <w:rFonts w:ascii="Times New Roman" w:hAnsi="Times New Roman"/>
          <w:b/>
          <w:spacing w:val="0"/>
          <w:sz w:val="20"/>
        </w:rPr>
      </w:pPr>
      <w:r>
        <w:rPr>
          <w:rFonts w:ascii="Times New Roman" w:hAnsi="Times New Roman"/>
          <w:b/>
          <w:spacing w:val="0"/>
          <w:sz w:val="20"/>
        </w:rPr>
        <w:t>Contents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25"/>
        <w:gridCol w:w="60"/>
        <w:gridCol w:w="8710"/>
        <w:gridCol w:w="120"/>
        <w:gridCol w:w="96"/>
        <w:gridCol w:w="419"/>
        <w:gridCol w:w="75"/>
      </w:tblGrid>
      <w:tr>
        <w:trPr/>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 w:type="dxa"/>
            <w:gridSpan w:val="2"/>
            <w:tcBorders/>
            <w:shd w:fill="auto" w:val="clear"/>
            <w:vAlign w:val="center"/>
          </w:tcPr>
          <w:p>
            <w:pPr>
              <w:pStyle w:val="TableContents"/>
              <w:spacing w:before="0" w:after="0"/>
              <w:jc w:val="center"/>
              <w:rPr>
                <w:b/>
                <w:spacing w:val="0"/>
              </w:rPr>
            </w:pPr>
            <w:r>
              <w:rPr>
                <w:b/>
                <w:spacing w:val="0"/>
              </w:rPr>
              <w:t>Page</w:t>
            </w:r>
          </w:p>
        </w:tc>
        <w:tc>
          <w:tcPr>
            <w:tcW w:w="75" w:type="dxa"/>
            <w:tcBorders/>
            <w:shd w:fill="auto" w:val="clear"/>
            <w:vAlign w:val="center"/>
          </w:tcPr>
          <w:p>
            <w:pPr>
              <w:pStyle w:val="TableContents"/>
              <w:spacing w:before="0" w:after="283"/>
              <w:rPr/>
            </w:pPr>
            <w:r>
              <w:rPr/>
              <w:t> </w:t>
            </w:r>
          </w:p>
        </w:tc>
      </w:tr>
      <w:tr>
        <w:trPr/>
        <w:tc>
          <w:tcPr>
            <w:tcW w:w="9495" w:type="dxa"/>
            <w:gridSpan w:val="3"/>
            <w:tcBorders/>
            <w:shd w:fill="auto" w:val="clear"/>
            <w:vAlign w:val="center"/>
          </w:tcPr>
          <w:p>
            <w:pPr>
              <w:pStyle w:val="TableContents"/>
              <w:spacing w:before="0" w:after="0"/>
              <w:rPr/>
            </w:pPr>
            <w:hyperlink w:anchor="tx317211_1a">
              <w:r>
                <w:rPr>
                  <w:rStyle w:val="InternetLink"/>
                  <w:rFonts w:ascii="Times New Roman" w:hAnsi="Times New Roman"/>
                  <w:b/>
                  <w:sz w:val="20"/>
                </w:rPr>
                <w:t xml:space="preserve">PART I. FINANCIAL INFORMATION </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1.</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317211_1">
              <w:r>
                <w:rPr>
                  <w:rStyle w:val="InternetLink"/>
                  <w:rFonts w:ascii="Times New Roman" w:hAnsi="Times New Roman"/>
                  <w:spacing w:val="0"/>
                  <w:sz w:val="20"/>
                </w:rPr>
                <w:t>Condensed Consolidated Financial Statements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317211_2">
              <w:r>
                <w:rPr>
                  <w:rStyle w:val="InternetLink"/>
                  <w:rFonts w:ascii="Times New Roman" w:hAnsi="Times New Roman"/>
                  <w:spacing w:val="0"/>
                  <w:sz w:val="20"/>
                </w:rPr>
                <w:t>Condensed Consolidated Balance Sheets as of March 31, 2022 (Unaudited) and December 31, 2021</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317211_3">
              <w:r>
                <w:rPr>
                  <w:rStyle w:val="InternetLink"/>
                  <w:rFonts w:ascii="Times New Roman" w:hAnsi="Times New Roman"/>
                  <w:spacing w:val="0"/>
                  <w:sz w:val="20"/>
                </w:rPr>
                <w:t>Unaudited Condensed Consolidated Statements of Operations for the Three Months Ended March 31, 2022 and 2021</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317211_4">
              <w:r>
                <w:rPr>
                  <w:rStyle w:val="InternetLink"/>
                  <w:rFonts w:ascii="Times New Roman" w:hAnsi="Times New Roman"/>
                  <w:spacing w:val="0"/>
                  <w:sz w:val="20"/>
                </w:rPr>
                <w:t>Unaudited Condensed Consolidated Statements of Changes in Shareholders’ Deficit for the Three Months Ended March 31, 2022 and 2021</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317211_5">
              <w:r>
                <w:rPr>
                  <w:rStyle w:val="InternetLink"/>
                  <w:rFonts w:ascii="Times New Roman" w:hAnsi="Times New Roman"/>
                  <w:spacing w:val="0"/>
                  <w:sz w:val="20"/>
                </w:rPr>
                <w:t>Unaudited Condensed Consolidated Statement of Cash Flows for the Three Months Ended March 31, 2022 and 2021</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317211_6">
              <w:r>
                <w:rPr>
                  <w:rStyle w:val="InternetLink"/>
                  <w:rFonts w:ascii="Times New Roman" w:hAnsi="Times New Roman"/>
                  <w:spacing w:val="0"/>
                  <w:sz w:val="20"/>
                </w:rPr>
                <w:t>Notes to Unaudited Condensed Consolidated Financial Statements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2.</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317211_7">
              <w:r>
                <w:rPr>
                  <w:rStyle w:val="InternetLink"/>
                  <w:rFonts w:ascii="Times New Roman" w:hAnsi="Times New Roman"/>
                  <w:spacing w:val="0"/>
                  <w:sz w:val="20"/>
                </w:rPr>
                <w:t>Management’s Discussion and Analysis of Financial Condition and Results of Operations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17</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3.</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317211_8">
              <w:r>
                <w:rPr>
                  <w:rStyle w:val="InternetLink"/>
                  <w:rFonts w:ascii="Times New Roman" w:hAnsi="Times New Roman"/>
                  <w:spacing w:val="0"/>
                  <w:sz w:val="20"/>
                </w:rPr>
                <w:t>Quantitative and Qualitative Disclosures About Market Risk</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21</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4.</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317211_9">
              <w:r>
                <w:rPr>
                  <w:rStyle w:val="InternetLink"/>
                  <w:rFonts w:ascii="Times New Roman" w:hAnsi="Times New Roman"/>
                  <w:spacing w:val="0"/>
                  <w:sz w:val="20"/>
                </w:rPr>
                <w:t>Controls and Procedures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22</w:t>
            </w:r>
          </w:p>
        </w:tc>
        <w:tc>
          <w:tcPr>
            <w:tcW w:w="75" w:type="dxa"/>
            <w:tcBorders/>
            <w:shd w:fill="auto" w:val="clear"/>
            <w:vAlign w:val="center"/>
          </w:tcPr>
          <w:p>
            <w:pPr>
              <w:pStyle w:val="TableContents"/>
              <w:spacing w:before="0" w:after="283"/>
              <w:rPr/>
            </w:pPr>
            <w:r>
              <w:rPr/>
              <w:t> </w:t>
            </w:r>
          </w:p>
        </w:tc>
      </w:tr>
      <w:tr>
        <w:trPr/>
        <w:tc>
          <w:tcPr>
            <w:tcW w:w="9495" w:type="dxa"/>
            <w:gridSpan w:val="3"/>
            <w:tcBorders/>
            <w:shd w:fill="auto" w:val="clear"/>
            <w:vAlign w:val="center"/>
          </w:tcPr>
          <w:p>
            <w:pPr>
              <w:pStyle w:val="TableContents"/>
              <w:spacing w:before="0" w:after="0"/>
              <w:rPr/>
            </w:pPr>
            <w:hyperlink w:anchor="tx317211_10a">
              <w:r>
                <w:rPr>
                  <w:rStyle w:val="InternetLink"/>
                  <w:rFonts w:ascii="Times New Roman" w:hAnsi="Times New Roman"/>
                  <w:b/>
                  <w:sz w:val="20"/>
                </w:rPr>
                <w:t xml:space="preserve">PART II. OTHER INFORMATION </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1.</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317211_10">
              <w:r>
                <w:rPr>
                  <w:rStyle w:val="InternetLink"/>
                  <w:rFonts w:ascii="Times New Roman" w:hAnsi="Times New Roman"/>
                  <w:spacing w:val="0"/>
                  <w:sz w:val="20"/>
                </w:rPr>
                <w:t>Legal Proceedings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22</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1A.</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317211_11">
              <w:r>
                <w:rPr>
                  <w:rStyle w:val="InternetLink"/>
                  <w:rFonts w:ascii="Times New Roman" w:hAnsi="Times New Roman"/>
                  <w:spacing w:val="0"/>
                  <w:sz w:val="20"/>
                </w:rPr>
                <w:t>Risk Factors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22</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2.</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317211_12">
              <w:r>
                <w:rPr>
                  <w:rStyle w:val="InternetLink"/>
                  <w:rFonts w:ascii="Times New Roman" w:hAnsi="Times New Roman"/>
                  <w:spacing w:val="0"/>
                  <w:sz w:val="20"/>
                </w:rPr>
                <w:t>Unregistered Sales of Equity Securities and Use of Proceeds from Registered Securities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22</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3.</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317211_13">
              <w:r>
                <w:rPr>
                  <w:rStyle w:val="InternetLink"/>
                  <w:rFonts w:ascii="Times New Roman" w:hAnsi="Times New Roman"/>
                  <w:spacing w:val="0"/>
                  <w:sz w:val="20"/>
                </w:rPr>
                <w:t>Defaults Upon Senior Securities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22</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w:t>
            </w:r>
          </w:p>
          <w:p>
            <w:pPr>
              <w:pStyle w:val="TableContents"/>
              <w:spacing w:before="0" w:after="0"/>
              <w:rPr>
                <w:rFonts w:ascii="Times New Roman" w:hAnsi="Times New Roman"/>
                <w:spacing w:val="0"/>
                <w:sz w:val="20"/>
              </w:rPr>
            </w:pPr>
            <w:r>
              <w:rPr>
                <w:rFonts w:ascii="Times New Roman" w:hAnsi="Times New Roman"/>
                <w:spacing w:val="0"/>
                <w:sz w:val="20"/>
              </w:rPr>
              <w:t>4.</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317211_14">
              <w:r>
                <w:rPr>
                  <w:rStyle w:val="InternetLink"/>
                  <w:rFonts w:ascii="Times New Roman" w:hAnsi="Times New Roman"/>
                  <w:spacing w:val="0"/>
                  <w:sz w:val="20"/>
                </w:rPr>
                <w:t>Mine Safety Disclosures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22</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5.</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317211_15">
              <w:r>
                <w:rPr>
                  <w:rStyle w:val="InternetLink"/>
                  <w:rFonts w:ascii="Times New Roman" w:hAnsi="Times New Roman"/>
                  <w:spacing w:val="0"/>
                  <w:sz w:val="20"/>
                </w:rPr>
                <w:t>Other Information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23</w:t>
            </w:r>
          </w:p>
        </w:tc>
        <w:tc>
          <w:tcPr>
            <w:tcW w:w="75" w:type="dxa"/>
            <w:tcBorders/>
            <w:shd w:fill="auto" w:val="clear"/>
            <w:vAlign w:val="center"/>
          </w:tcPr>
          <w:p>
            <w:pPr>
              <w:pStyle w:val="TableContents"/>
              <w:spacing w:before="0" w:after="283"/>
              <w:rPr/>
            </w:pPr>
            <w:r>
              <w:rPr/>
              <w:t> </w:t>
            </w:r>
          </w:p>
        </w:tc>
      </w:tr>
      <w:tr>
        <w:trPr/>
        <w:tc>
          <w:tcPr>
            <w:tcW w:w="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Item 6.</w:t>
            </w:r>
          </w:p>
        </w:tc>
        <w:tc>
          <w:tcPr>
            <w:tcW w:w="60" w:type="dxa"/>
            <w:tcBorders/>
            <w:shd w:fill="auto" w:val="clear"/>
            <w:vAlign w:val="center"/>
          </w:tcPr>
          <w:p>
            <w:pPr>
              <w:pStyle w:val="TableContents"/>
              <w:spacing w:before="0" w:after="283"/>
              <w:rPr/>
            </w:pPr>
            <w:r>
              <w:rPr/>
              <w:t> </w:t>
            </w:r>
          </w:p>
        </w:tc>
        <w:tc>
          <w:tcPr>
            <w:tcW w:w="8710" w:type="dxa"/>
            <w:tcBorders/>
            <w:shd w:fill="auto" w:val="clear"/>
            <w:vAlign w:val="center"/>
          </w:tcPr>
          <w:p>
            <w:pPr>
              <w:pStyle w:val="TableContents"/>
              <w:spacing w:before="0" w:after="0"/>
              <w:rPr/>
            </w:pPr>
            <w:hyperlink w:anchor="tx317211_16">
              <w:r>
                <w:rPr>
                  <w:rStyle w:val="InternetLink"/>
                  <w:rFonts w:ascii="Times New Roman" w:hAnsi="Times New Roman"/>
                  <w:spacing w:val="0"/>
                  <w:sz w:val="20"/>
                </w:rPr>
                <w:t>Exhibits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23</w:t>
            </w:r>
          </w:p>
        </w:tc>
        <w:tc>
          <w:tcPr>
            <w:tcW w:w="75" w:type="dxa"/>
            <w:tcBorders/>
            <w:shd w:fill="auto" w:val="clear"/>
            <w:vAlign w:val="center"/>
          </w:tcPr>
          <w:p>
            <w:pPr>
              <w:pStyle w:val="TableContents"/>
              <w:spacing w:before="0" w:after="283"/>
              <w:rPr/>
            </w:pPr>
            <w:r>
              <w:rPr/>
              <w:t> </w:t>
            </w:r>
          </w:p>
        </w:tc>
      </w:tr>
    </w:tbl>
    <w:p>
      <w:pPr>
        <w:pStyle w:val="HorizontalLine"/>
        <w:rPr/>
      </w:pPr>
      <w:r>
        <w:rPr/>
      </w:r>
    </w:p>
    <w:p>
      <w:pPr>
        <w:pStyle w:val="TextBody"/>
        <w:spacing w:before="0" w:after="0"/>
        <w:ind w:left="0" w:right="0" w:hanging="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PART I—FINANCIAL INFORMATION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spacing w:val="0"/>
        </w:rPr>
      </w:pPr>
      <w:r>
        <w:rPr>
          <w:spacing w:val="0"/>
        </w:rPr>
        <w:t> </w:t>
      </w:r>
    </w:p>
    <w:tbl>
      <w:tblPr>
        <w:tblW w:w="3745" w:type="dxa"/>
        <w:jc w:val="left"/>
        <w:tblInd w:w="0" w:type="dxa"/>
        <w:tblCellMar>
          <w:top w:w="0" w:type="dxa"/>
          <w:left w:w="0" w:type="dxa"/>
          <w:bottom w:w="0" w:type="dxa"/>
          <w:right w:w="0" w:type="dxa"/>
        </w:tblCellMar>
      </w:tblPr>
      <w:tblGrid>
        <w:gridCol w:w="740"/>
        <w:gridCol w:w="3005"/>
      </w:tblGrid>
      <w:tr>
        <w:trPr/>
        <w:tc>
          <w:tcPr>
            <w:tcW w:w="740" w:type="dxa"/>
            <w:tcBorders/>
            <w:shd w:fill="auto" w:val="clear"/>
            <w:vAlign w:val="center"/>
          </w:tcPr>
          <w:p>
            <w:pPr>
              <w:pStyle w:val="TableContents"/>
              <w:spacing w:before="0" w:after="0"/>
              <w:jc w:val="left"/>
              <w:rPr>
                <w:b/>
                <w:spacing w:val="0"/>
              </w:rPr>
            </w:pPr>
            <w:bookmarkStart w:id="2" w:name="tx317211_1"/>
            <w:bookmarkEnd w:id="2"/>
            <w:r>
              <w:rPr>
                <w:b/>
                <w:spacing w:val="0"/>
              </w:rPr>
              <w:t>Item 1.</w:t>
            </w:r>
          </w:p>
        </w:tc>
        <w:tc>
          <w:tcPr>
            <w:tcW w:w="30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Condensed Consolidated Financial </w:t>
            </w:r>
          </w:p>
          <w:p>
            <w:pPr>
              <w:pStyle w:val="TableContents"/>
              <w:spacing w:before="0" w:after="0"/>
              <w:jc w:val="left"/>
              <w:rPr>
                <w:rFonts w:ascii="Times New Roman" w:hAnsi="Times New Roman"/>
                <w:b/>
                <w:spacing w:val="0"/>
                <w:sz w:val="20"/>
              </w:rPr>
            </w:pPr>
            <w:r>
              <w:rPr>
                <w:rFonts w:ascii="Times New Roman" w:hAnsi="Times New Roman"/>
                <w:b/>
                <w:spacing w:val="0"/>
                <w:sz w:val="20"/>
              </w:rPr>
              <w:t>Statements</w:t>
            </w:r>
          </w:p>
        </w:tc>
      </w:tr>
    </w:tbl>
    <w:p>
      <w:pPr>
        <w:pStyle w:val="TextBody"/>
        <w:spacing w:before="480" w:after="0"/>
        <w:jc w:val="center"/>
        <w:rPr>
          <w:rFonts w:ascii="Times New Roman" w:hAnsi="Times New Roman"/>
          <w:b/>
          <w:spacing w:val="0"/>
          <w:sz w:val="20"/>
        </w:rPr>
      </w:pPr>
      <w:r>
        <w:rPr>
          <w:rFonts w:ascii="Times New Roman" w:hAnsi="Times New Roman"/>
          <w:b/>
          <w:spacing w:val="0"/>
          <w:sz w:val="20"/>
        </w:rPr>
        <w:t xml:space="preserve">SVF INVESTMENT CORP. 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CONDENSED CONSOLIDATED BALANCE SHEETS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6251"/>
        <w:gridCol w:w="120"/>
        <w:gridCol w:w="147"/>
        <w:gridCol w:w="1286"/>
        <w:gridCol w:w="155"/>
        <w:gridCol w:w="60"/>
        <w:gridCol w:w="192"/>
        <w:gridCol w:w="1763"/>
        <w:gridCol w:w="155"/>
        <w:gridCol w:w="76"/>
      </w:tblGrid>
      <w:tr>
        <w:trPr/>
        <w:tc>
          <w:tcPr>
            <w:tcW w:w="62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76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3" w:type="dxa"/>
            <w:gridSpan w:val="2"/>
            <w:tcBorders/>
            <w:shd w:fill="auto" w:val="clear"/>
            <w:vAlign w:val="center"/>
          </w:tcPr>
          <w:p>
            <w:pPr>
              <w:pStyle w:val="TableContents"/>
              <w:spacing w:before="0" w:after="0"/>
              <w:jc w:val="center"/>
              <w:rPr>
                <w:b/>
                <w:spacing w:val="0"/>
              </w:rPr>
            </w:pPr>
            <w:r>
              <w:rPr>
                <w:b/>
                <w:spacing w:val="0"/>
              </w:rPr>
              <w:t>March 31, 2022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5" w:type="dxa"/>
            <w:gridSpan w:val="2"/>
            <w:tcBorders/>
            <w:shd w:fill="auto" w:val="clear"/>
            <w:vAlign w:val="center"/>
          </w:tcPr>
          <w:p>
            <w:pPr>
              <w:pStyle w:val="TableContents"/>
              <w:spacing w:before="0" w:after="0"/>
              <w:jc w:val="center"/>
              <w:rPr>
                <w:b/>
                <w:spacing w:val="0"/>
              </w:rPr>
            </w:pPr>
            <w:r>
              <w:rPr>
                <w:b/>
                <w:spacing w:val="0"/>
              </w:rPr>
              <w:t>December 31, 2021</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3" w:type="dxa"/>
            <w:gridSpan w:val="2"/>
            <w:tcBorders/>
            <w:shd w:fill="auto" w:val="clear"/>
            <w:vAlign w:val="center"/>
          </w:tcPr>
          <w:p>
            <w:pPr>
              <w:pStyle w:val="TableContents"/>
              <w:spacing w:before="0" w:after="0"/>
              <w:jc w:val="center"/>
              <w:rPr>
                <w:b/>
                <w:spacing w:val="0"/>
              </w:rPr>
            </w:pPr>
            <w:r>
              <w:rPr>
                <w:b/>
                <w:spacing w:val="0"/>
              </w:rPr>
              <w:t>(Unaudited)</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5"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28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763"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assets:</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763"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w:t>
            </w:r>
          </w:p>
        </w:tc>
        <w:tc>
          <w:tcPr>
            <w:tcW w:w="1286" w:type="dxa"/>
            <w:tcBorders/>
            <w:shd w:fill="CCEEFF" w:val="clear"/>
            <w:vAlign w:val="center"/>
          </w:tcPr>
          <w:p>
            <w:pPr>
              <w:pStyle w:val="TableContents"/>
              <w:spacing w:before="0" w:after="283"/>
              <w:jc w:val="right"/>
              <w:rPr/>
            </w:pPr>
            <w:r>
              <w:rPr/>
              <w:t>3,281,892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w:t>
            </w:r>
          </w:p>
        </w:tc>
        <w:tc>
          <w:tcPr>
            <w:tcW w:w="1763" w:type="dxa"/>
            <w:tcBorders/>
            <w:shd w:fill="CCEEFF" w:val="clear"/>
            <w:vAlign w:val="center"/>
          </w:tcPr>
          <w:p>
            <w:pPr>
              <w:pStyle w:val="TableContents"/>
              <w:spacing w:before="0" w:after="283"/>
              <w:jc w:val="right"/>
              <w:rPr/>
            </w:pPr>
            <w:r>
              <w:rPr/>
              <w:t>812,884</w:t>
            </w:r>
          </w:p>
        </w:tc>
        <w:tc>
          <w:tcPr>
            <w:tcW w:w="155" w:type="dxa"/>
            <w:tcBorders/>
            <w:shd w:fill="CCEEFF" w:val="clear"/>
            <w:vAlign w:val="center"/>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expenses, current</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736,671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763" w:type="dxa"/>
            <w:tcBorders/>
            <w:shd w:fill="auto" w:val="clear"/>
            <w:vAlign w:val="center"/>
          </w:tcPr>
          <w:p>
            <w:pPr>
              <w:pStyle w:val="TableContents"/>
              <w:spacing w:before="0" w:after="283"/>
              <w:jc w:val="right"/>
              <w:rPr/>
            </w:pPr>
            <w:r>
              <w:rPr/>
              <w:t>740,784</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current assets</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286" w:type="dxa"/>
            <w:tcBorders/>
            <w:shd w:fill="CCEEFF" w:val="clear"/>
            <w:vAlign w:val="center"/>
          </w:tcPr>
          <w:p>
            <w:pPr>
              <w:pStyle w:val="TableContents"/>
              <w:spacing w:before="0" w:after="283"/>
              <w:jc w:val="right"/>
              <w:rPr/>
            </w:pPr>
            <w:r>
              <w:rPr/>
              <w:t>4,018,563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763" w:type="dxa"/>
            <w:tcBorders/>
            <w:shd w:fill="CCEEFF" w:val="clear"/>
            <w:vAlign w:val="center"/>
          </w:tcPr>
          <w:p>
            <w:pPr>
              <w:pStyle w:val="TableContents"/>
              <w:spacing w:before="0" w:after="283"/>
              <w:jc w:val="right"/>
              <w:rPr/>
            </w:pPr>
            <w:r>
              <w:rPr/>
              <w:t>1,553,668</w:t>
            </w:r>
          </w:p>
        </w:tc>
        <w:tc>
          <w:tcPr>
            <w:tcW w:w="155" w:type="dxa"/>
            <w:tcBorders/>
            <w:shd w:fill="CCEEFF" w:val="clear"/>
            <w:vAlign w:val="center"/>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Investments held in Trust Account</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320,043,033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763" w:type="dxa"/>
            <w:tcBorders/>
            <w:shd w:fill="auto" w:val="clear"/>
            <w:vAlign w:val="center"/>
          </w:tcPr>
          <w:p>
            <w:pPr>
              <w:pStyle w:val="TableContents"/>
              <w:spacing w:before="0" w:after="283"/>
              <w:jc w:val="right"/>
              <w:rPr/>
            </w:pPr>
            <w:r>
              <w:rPr/>
              <w:t>320,016,430</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expenses, long term</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0"/>
              <w:rPr>
                <w:spacing w:val="0"/>
              </w:rPr>
            </w:pPr>
            <w:r>
              <w:rPr>
                <w:spacing w:val="0"/>
              </w:rPr>
              <w:t> </w:t>
            </w:r>
          </w:p>
        </w:tc>
        <w:tc>
          <w:tcPr>
            <w:tcW w:w="1286" w:type="dxa"/>
            <w:tcBorders/>
            <w:shd w:fill="CCEEFF" w:val="clear"/>
            <w:vAlign w:val="center"/>
          </w:tcPr>
          <w:p>
            <w:pPr>
              <w:pStyle w:val="TableContents"/>
              <w:spacing w:before="0" w:after="0"/>
              <w:jc w:val="right"/>
              <w:rPr>
                <w:spacing w:val="0"/>
              </w:rPr>
            </w:pPr>
            <w:r>
              <w:rPr>
                <w:spacing w:val="0"/>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763" w:type="dxa"/>
            <w:tcBorders/>
            <w:shd w:fill="CCEEFF" w:val="clear"/>
            <w:vAlign w:val="center"/>
          </w:tcPr>
          <w:p>
            <w:pPr>
              <w:pStyle w:val="TableContents"/>
              <w:spacing w:before="0" w:after="283"/>
              <w:jc w:val="right"/>
              <w:rPr/>
            </w:pPr>
            <w:r>
              <w:rPr/>
              <w:t>138,105</w:t>
            </w:r>
          </w:p>
        </w:tc>
        <w:tc>
          <w:tcPr>
            <w:tcW w:w="155" w:type="dxa"/>
            <w:tcBorders/>
            <w:shd w:fill="CCEEFF" w:val="clear"/>
            <w:vAlign w:val="center"/>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Assets</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b/>
                <w:spacing w:val="0"/>
              </w:rPr>
            </w:pPr>
            <w:r>
              <w:rPr>
                <w:b/>
                <w:spacing w:val="0"/>
              </w:rPr>
              <w:t>$</w:t>
            </w:r>
          </w:p>
        </w:tc>
        <w:tc>
          <w:tcPr>
            <w:tcW w:w="1286" w:type="dxa"/>
            <w:tcBorders/>
            <w:shd w:fill="auto" w:val="clear"/>
            <w:vAlign w:val="center"/>
          </w:tcPr>
          <w:p>
            <w:pPr>
              <w:pStyle w:val="TableContents"/>
              <w:spacing w:before="0" w:after="0"/>
              <w:jc w:val="right"/>
              <w:rPr>
                <w:b/>
                <w:spacing w:val="0"/>
              </w:rPr>
            </w:pPr>
            <w:r>
              <w:rPr>
                <w:b/>
                <w:spacing w:val="0"/>
              </w:rPr>
              <w:t>324,061,596</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0"/>
              <w:rPr>
                <w:b/>
                <w:spacing w:val="0"/>
              </w:rPr>
            </w:pPr>
            <w:r>
              <w:rPr>
                <w:b/>
                <w:spacing w:val="0"/>
              </w:rPr>
              <w:t>$</w:t>
            </w:r>
          </w:p>
        </w:tc>
        <w:tc>
          <w:tcPr>
            <w:tcW w:w="1763" w:type="dxa"/>
            <w:tcBorders/>
            <w:shd w:fill="auto" w:val="clear"/>
            <w:vAlign w:val="center"/>
          </w:tcPr>
          <w:p>
            <w:pPr>
              <w:pStyle w:val="TableContents"/>
              <w:spacing w:before="0" w:after="0"/>
              <w:jc w:val="right"/>
              <w:rPr>
                <w:spacing w:val="0"/>
              </w:rPr>
            </w:pPr>
            <w:r>
              <w:rPr>
                <w:spacing w:val="0"/>
              </w:rPr>
              <w:t> </w:t>
            </w:r>
            <w:r>
              <w:rPr>
                <w:b/>
                <w:spacing w:val="0"/>
              </w:rPr>
              <w:t>321,708,203</w:t>
            </w:r>
          </w:p>
        </w:tc>
        <w:tc>
          <w:tcPr>
            <w:tcW w:w="155" w:type="dxa"/>
            <w:tcBorders/>
            <w:shd w:fill="auto" w:val="clear"/>
            <w:vAlign w:val="center"/>
          </w:tcPr>
          <w:p>
            <w:pPr>
              <w:pStyle w:val="TableContents"/>
              <w:spacing w:before="0" w:after="0"/>
              <w:rPr>
                <w:spacing w:val="0"/>
              </w:rPr>
            </w:pPr>
            <w:r>
              <w:rPr>
                <w:spacing w:val="0"/>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8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Liabilities, Class A Ordinary Shares Subject to Possible Redemption and Shareholders’ Deficit</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28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763"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liabilities:</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763"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w:t>
            </w:r>
          </w:p>
        </w:tc>
        <w:tc>
          <w:tcPr>
            <w:tcW w:w="1286" w:type="dxa"/>
            <w:tcBorders/>
            <w:shd w:fill="CCEEFF" w:val="clear"/>
            <w:vAlign w:val="center"/>
          </w:tcPr>
          <w:p>
            <w:pPr>
              <w:pStyle w:val="TableContents"/>
              <w:spacing w:before="0" w:after="283"/>
              <w:jc w:val="right"/>
              <w:rPr/>
            </w:pPr>
            <w:r>
              <w:rPr/>
              <w:t>204,192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w:t>
            </w:r>
          </w:p>
        </w:tc>
        <w:tc>
          <w:tcPr>
            <w:tcW w:w="1763" w:type="dxa"/>
            <w:tcBorders/>
            <w:shd w:fill="CCEEFF" w:val="clear"/>
            <w:vAlign w:val="center"/>
          </w:tcPr>
          <w:p>
            <w:pPr>
              <w:pStyle w:val="TableContents"/>
              <w:spacing w:before="0" w:after="283"/>
              <w:jc w:val="right"/>
              <w:rPr/>
            </w:pPr>
            <w:r>
              <w:rPr/>
              <w:t>194,638</w:t>
            </w:r>
          </w:p>
        </w:tc>
        <w:tc>
          <w:tcPr>
            <w:tcW w:w="155" w:type="dxa"/>
            <w:tcBorders/>
            <w:shd w:fill="CCEEFF" w:val="clear"/>
            <w:vAlign w:val="center"/>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expenses</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4,504,915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763" w:type="dxa"/>
            <w:tcBorders/>
            <w:shd w:fill="auto" w:val="clear"/>
            <w:vAlign w:val="center"/>
          </w:tcPr>
          <w:p>
            <w:pPr>
              <w:pStyle w:val="TableContents"/>
              <w:spacing w:before="0" w:after="283"/>
              <w:jc w:val="right"/>
              <w:rPr/>
            </w:pPr>
            <w:r>
              <w:rPr/>
              <w:t>3,295,396</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Due to related party</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286" w:type="dxa"/>
            <w:tcBorders/>
            <w:shd w:fill="CCEEFF" w:val="clear"/>
            <w:vAlign w:val="center"/>
          </w:tcPr>
          <w:p>
            <w:pPr>
              <w:pStyle w:val="TableContents"/>
              <w:spacing w:before="0" w:after="283"/>
              <w:jc w:val="right"/>
              <w:rPr/>
            </w:pPr>
            <w:r>
              <w:rPr/>
              <w:t>997,033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763" w:type="dxa"/>
            <w:tcBorders/>
            <w:shd w:fill="CCEEFF" w:val="clear"/>
            <w:vAlign w:val="center"/>
          </w:tcPr>
          <w:p>
            <w:pPr>
              <w:pStyle w:val="TableContents"/>
              <w:spacing w:before="0" w:after="283"/>
              <w:jc w:val="right"/>
              <w:rPr/>
            </w:pPr>
            <w:r>
              <w:rPr/>
              <w:t>559,409</w:t>
            </w:r>
          </w:p>
        </w:tc>
        <w:tc>
          <w:tcPr>
            <w:tcW w:w="155" w:type="dxa"/>
            <w:tcBorders/>
            <w:shd w:fill="CCEEFF" w:val="clear"/>
            <w:vAlign w:val="center"/>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Working capital loan – related party</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3,000,000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76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current liabilities</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286" w:type="dxa"/>
            <w:tcBorders/>
            <w:shd w:fill="CCEEFF" w:val="clear"/>
            <w:vAlign w:val="center"/>
          </w:tcPr>
          <w:p>
            <w:pPr>
              <w:pStyle w:val="TableContents"/>
              <w:spacing w:before="0" w:after="283"/>
              <w:jc w:val="right"/>
              <w:rPr/>
            </w:pPr>
            <w:r>
              <w:rPr/>
              <w:t>8,706,140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763" w:type="dxa"/>
            <w:tcBorders/>
            <w:shd w:fill="CCEEFF" w:val="clear"/>
            <w:vAlign w:val="center"/>
          </w:tcPr>
          <w:p>
            <w:pPr>
              <w:pStyle w:val="TableContents"/>
              <w:spacing w:before="0" w:after="283"/>
              <w:jc w:val="right"/>
              <w:rPr/>
            </w:pPr>
            <w:r>
              <w:rPr/>
              <w:t>4,049,443</w:t>
            </w:r>
          </w:p>
        </w:tc>
        <w:tc>
          <w:tcPr>
            <w:tcW w:w="155" w:type="dxa"/>
            <w:tcBorders/>
            <w:shd w:fill="CCEEFF" w:val="clear"/>
            <w:vAlign w:val="center"/>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underwriting commissions</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11,200,000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763" w:type="dxa"/>
            <w:tcBorders/>
            <w:shd w:fill="auto" w:val="clear"/>
            <w:vAlign w:val="center"/>
          </w:tcPr>
          <w:p>
            <w:pPr>
              <w:pStyle w:val="TableContents"/>
              <w:spacing w:before="0" w:after="283"/>
              <w:jc w:val="right"/>
              <w:rPr/>
            </w:pPr>
            <w:r>
              <w:rPr/>
              <w:t>11,200,000</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liabilities</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286" w:type="dxa"/>
            <w:tcBorders/>
            <w:shd w:fill="CCEEFF" w:val="clear"/>
            <w:vAlign w:val="center"/>
          </w:tcPr>
          <w:p>
            <w:pPr>
              <w:pStyle w:val="TableContents"/>
              <w:spacing w:before="0" w:after="283"/>
              <w:jc w:val="right"/>
              <w:rPr/>
            </w:pPr>
            <w:r>
              <w:rPr/>
              <w:t>19,906,140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763" w:type="dxa"/>
            <w:tcBorders/>
            <w:shd w:fill="CCEEFF" w:val="clear"/>
            <w:vAlign w:val="center"/>
          </w:tcPr>
          <w:p>
            <w:pPr>
              <w:pStyle w:val="TableContents"/>
              <w:spacing w:before="0" w:after="283"/>
              <w:jc w:val="right"/>
              <w:rPr/>
            </w:pPr>
            <w:r>
              <w:rPr/>
              <w:t>15,249,443</w:t>
            </w:r>
          </w:p>
        </w:tc>
        <w:tc>
          <w:tcPr>
            <w:tcW w:w="155" w:type="dxa"/>
            <w:tcBorders/>
            <w:shd w:fill="CCEEFF" w:val="clear"/>
            <w:vAlign w:val="center"/>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Commitments and Contingencies</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763"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Class A ordinary shares subject to possible redemption, $0.0001 par value; 32,000,000 shares issued and outstanding, at $10.00 per share as of March 31, 2022 and December 31, 2021</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286" w:type="dxa"/>
            <w:tcBorders/>
            <w:shd w:fill="CCEEFF" w:val="clear"/>
            <w:vAlign w:val="center"/>
          </w:tcPr>
          <w:p>
            <w:pPr>
              <w:pStyle w:val="TableContents"/>
              <w:spacing w:before="0" w:after="283"/>
              <w:jc w:val="right"/>
              <w:rPr/>
            </w:pPr>
            <w:r>
              <w:rPr/>
              <w:t>320,000,000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763" w:type="dxa"/>
            <w:tcBorders/>
            <w:shd w:fill="CCEEFF" w:val="clear"/>
            <w:vAlign w:val="center"/>
          </w:tcPr>
          <w:p>
            <w:pPr>
              <w:pStyle w:val="TableContents"/>
              <w:spacing w:before="0" w:after="283"/>
              <w:jc w:val="right"/>
              <w:rPr/>
            </w:pPr>
            <w:r>
              <w:rPr/>
              <w:t>320,000,000</w:t>
            </w:r>
          </w:p>
        </w:tc>
        <w:tc>
          <w:tcPr>
            <w:tcW w:w="155" w:type="dxa"/>
            <w:tcBorders/>
            <w:shd w:fill="CCEEFF" w:val="clear"/>
            <w:vAlign w:val="center"/>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Shareholders’ Deficit</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763"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Preference shares, $0.0001 par value; 1,000,000 shares authorized; none issued and outstanding</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28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763"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Class A ordinary shares, $0.0001 par value; 200,000,000 shares authorized; 1,040,000 shares issued and outstanding as of March 31, 2022 and December 31, 2021 (excluding 32,000,000 shares subject to possible redemption)</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104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763" w:type="dxa"/>
            <w:tcBorders/>
            <w:shd w:fill="auto" w:val="clear"/>
            <w:vAlign w:val="center"/>
          </w:tcPr>
          <w:p>
            <w:pPr>
              <w:pStyle w:val="TableContents"/>
              <w:spacing w:before="0" w:after="283"/>
              <w:jc w:val="right"/>
              <w:rPr/>
            </w:pPr>
            <w:r>
              <w:rPr/>
              <w:t>104</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Class B ordinary shares, $0.0001 par value; 20,000,000 shares authorized; 8,000,000 shares issued and outstanding as of March 31, 2022 and December 31, 2021</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286" w:type="dxa"/>
            <w:tcBorders/>
            <w:shd w:fill="CCEEFF" w:val="clear"/>
            <w:vAlign w:val="center"/>
          </w:tcPr>
          <w:p>
            <w:pPr>
              <w:pStyle w:val="TableContents"/>
              <w:spacing w:before="0" w:after="283"/>
              <w:jc w:val="right"/>
              <w:rPr/>
            </w:pPr>
            <w:r>
              <w:rPr/>
              <w:t>800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763" w:type="dxa"/>
            <w:tcBorders/>
            <w:shd w:fill="CCEEFF" w:val="clear"/>
            <w:vAlign w:val="center"/>
          </w:tcPr>
          <w:p>
            <w:pPr>
              <w:pStyle w:val="TableContents"/>
              <w:spacing w:before="0" w:after="283"/>
              <w:jc w:val="right"/>
              <w:rPr/>
            </w:pPr>
            <w:r>
              <w:rPr/>
              <w:t>800</w:t>
            </w:r>
          </w:p>
        </w:tc>
        <w:tc>
          <w:tcPr>
            <w:tcW w:w="155" w:type="dxa"/>
            <w:tcBorders/>
            <w:shd w:fill="CCEEFF" w:val="clear"/>
            <w:vAlign w:val="center"/>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Additional </w:t>
            </w:r>
          </w:p>
          <w:p>
            <w:pPr>
              <w:pStyle w:val="TableContents"/>
              <w:spacing w:before="0" w:after="0"/>
              <w:rPr>
                <w:rFonts w:ascii="Times New Roman" w:hAnsi="Times New Roman"/>
                <w:spacing w:val="0"/>
                <w:sz w:val="20"/>
              </w:rPr>
            </w:pPr>
            <w:r>
              <w:rPr>
                <w:rFonts w:ascii="Times New Roman" w:hAnsi="Times New Roman"/>
                <w:spacing w:val="0"/>
                <w:sz w:val="20"/>
              </w:rPr>
              <w:t>paid-in</w:t>
            </w:r>
          </w:p>
          <w:p>
            <w:pPr>
              <w:pStyle w:val="TableContents"/>
              <w:spacing w:before="0" w:after="0"/>
              <w:rPr>
                <w:rFonts w:ascii="Times New Roman" w:hAnsi="Times New Roman"/>
                <w:sz w:val="20"/>
              </w:rPr>
            </w:pPr>
            <w:r>
              <w:rPr>
                <w:rFonts w:ascii="Times New Roman" w:hAnsi="Times New Roman"/>
                <w:sz w:val="20"/>
              </w:rPr>
              <w:t>capital</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763"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Accumulated deficit</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286" w:type="dxa"/>
            <w:tcBorders/>
            <w:shd w:fill="CCEEFF" w:val="clear"/>
            <w:vAlign w:val="center"/>
          </w:tcPr>
          <w:p>
            <w:pPr>
              <w:pStyle w:val="TableContents"/>
              <w:spacing w:before="0" w:after="283"/>
              <w:jc w:val="right"/>
              <w:rPr/>
            </w:pPr>
            <w:r>
              <w:rPr/>
              <w:t>(15,845,448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763" w:type="dxa"/>
            <w:tcBorders/>
            <w:shd w:fill="CCEEFF" w:val="clear"/>
            <w:vAlign w:val="center"/>
          </w:tcPr>
          <w:p>
            <w:pPr>
              <w:pStyle w:val="TableContents"/>
              <w:spacing w:before="0" w:after="283"/>
              <w:jc w:val="right"/>
              <w:rPr/>
            </w:pPr>
            <w:r>
              <w:rPr/>
              <w:t>(13,542,144</w:t>
            </w:r>
          </w:p>
        </w:tc>
        <w:tc>
          <w:tcPr>
            <w:tcW w:w="155" w:type="dxa"/>
            <w:tcBorders/>
            <w:shd w:fill="CCEEFF" w:val="clear"/>
            <w:vAlign w:val="center"/>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shareholders’ Deficit</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(15,844,544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763" w:type="dxa"/>
            <w:tcBorders/>
            <w:shd w:fill="auto" w:val="clear"/>
            <w:vAlign w:val="center"/>
          </w:tcPr>
          <w:p>
            <w:pPr>
              <w:pStyle w:val="TableContents"/>
              <w:spacing w:before="0" w:after="283"/>
              <w:jc w:val="right"/>
              <w:rPr/>
            </w:pPr>
            <w:r>
              <w:rPr/>
              <w:t>(13,541,240</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r>
        <w:trPr/>
        <w:tc>
          <w:tcPr>
            <w:tcW w:w="6251" w:type="dxa"/>
            <w:vMerge w:val="restart"/>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Liabilities, Class A Ordinary Shares Subject to Possible Redemption and Shareholders’ Deficit</w:t>
            </w:r>
          </w:p>
        </w:tc>
        <w:tc>
          <w:tcPr>
            <w:tcW w:w="120" w:type="dxa"/>
            <w:vMerge w:val="restart"/>
            <w:tcBorders/>
            <w:shd w:fill="CCEEFF" w:val="clear"/>
            <w:vAlign w:val="center"/>
          </w:tcPr>
          <w:p>
            <w:pPr>
              <w:pStyle w:val="TableContents"/>
              <w:spacing w:before="0" w:after="283"/>
              <w:rPr/>
            </w:pPr>
            <w:r>
              <w:rPr/>
              <w:t>  </w:t>
            </w:r>
          </w:p>
        </w:tc>
        <w:tc>
          <w:tcPr>
            <w:tcW w:w="147" w:type="dxa"/>
            <w:vMerge w:val="restart"/>
            <w:tcBorders/>
            <w:shd w:fill="CCEEFF" w:val="clear"/>
            <w:vAlign w:val="center"/>
          </w:tcPr>
          <w:p>
            <w:pPr>
              <w:pStyle w:val="TableContents"/>
              <w:spacing w:before="0" w:after="0"/>
              <w:rPr>
                <w:b/>
                <w:spacing w:val="0"/>
              </w:rPr>
            </w:pPr>
            <w:r>
              <w:rPr>
                <w:b/>
                <w:spacing w:val="0"/>
              </w:rPr>
              <w:t>$</w:t>
            </w:r>
          </w:p>
        </w:tc>
        <w:tc>
          <w:tcPr>
            <w:tcW w:w="1286" w:type="dxa"/>
            <w:vMerge w:val="restart"/>
            <w:tcBorders/>
            <w:shd w:fill="CCEEFF" w:val="clear"/>
            <w:vAlign w:val="center"/>
          </w:tcPr>
          <w:p>
            <w:pPr>
              <w:pStyle w:val="TableContents"/>
              <w:spacing w:before="0" w:after="0"/>
              <w:jc w:val="right"/>
              <w:rPr>
                <w:b/>
                <w:spacing w:val="0"/>
              </w:rPr>
            </w:pPr>
            <w:r>
              <w:rPr>
                <w:b/>
                <w:spacing w:val="0"/>
              </w:rPr>
              <w:t>324,061,596</w:t>
            </w:r>
          </w:p>
        </w:tc>
        <w:tc>
          <w:tcPr>
            <w:tcW w:w="155" w:type="dxa"/>
            <w:vMerge w:val="restart"/>
            <w:tcBorders/>
            <w:shd w:fill="CCEEFF" w:val="clear"/>
            <w:vAlign w:val="center"/>
          </w:tcPr>
          <w:p>
            <w:pPr>
              <w:pStyle w:val="TableContents"/>
              <w:spacing w:before="0" w:after="0"/>
              <w:rPr>
                <w:spacing w:val="0"/>
              </w:rPr>
            </w:pPr>
            <w:r>
              <w:rPr>
                <w:spacing w:val="0"/>
              </w:rPr>
              <w:t> </w:t>
            </w:r>
          </w:p>
        </w:tc>
        <w:tc>
          <w:tcPr>
            <w:tcW w:w="60" w:type="dxa"/>
            <w:vMerge w:val="restart"/>
            <w:tcBorders/>
            <w:shd w:fill="CCEEFF" w:val="clear"/>
            <w:vAlign w:val="center"/>
          </w:tcPr>
          <w:p>
            <w:pPr>
              <w:pStyle w:val="TableContents"/>
              <w:spacing w:before="0" w:after="283"/>
              <w:rPr/>
            </w:pPr>
            <w:r>
              <w:rPr/>
              <w:t> </w:t>
            </w:r>
          </w:p>
        </w:tc>
        <w:tc>
          <w:tcPr>
            <w:tcW w:w="192" w:type="dxa"/>
            <w:vMerge w:val="restart"/>
            <w:tcBorders/>
            <w:shd w:fill="CCEEFF" w:val="clear"/>
            <w:vAlign w:val="center"/>
          </w:tcPr>
          <w:p>
            <w:pPr>
              <w:pStyle w:val="TableContents"/>
              <w:spacing w:before="0" w:after="0"/>
              <w:rPr>
                <w:b/>
                <w:spacing w:val="0"/>
              </w:rPr>
            </w:pPr>
            <w:r>
              <w:rPr>
                <w:b/>
                <w:spacing w:val="0"/>
              </w:rPr>
              <w:t>$</w:t>
            </w:r>
          </w:p>
        </w:tc>
        <w:tc>
          <w:tcPr>
            <w:tcW w:w="1763" w:type="dxa"/>
            <w:vMerge w:val="restart"/>
            <w:tcBorders/>
            <w:shd w:fill="CCEEFF" w:val="clear"/>
            <w:vAlign w:val="center"/>
          </w:tcPr>
          <w:p>
            <w:pPr>
              <w:pStyle w:val="TableContents"/>
              <w:spacing w:before="0" w:after="0"/>
              <w:jc w:val="right"/>
              <w:rPr>
                <w:b/>
                <w:spacing w:val="0"/>
              </w:rPr>
            </w:pPr>
            <w:r>
              <w:rPr>
                <w:b/>
                <w:spacing w:val="0"/>
              </w:rPr>
              <w:t>321,708,203</w:t>
            </w:r>
          </w:p>
        </w:tc>
        <w:tc>
          <w:tcPr>
            <w:tcW w:w="155" w:type="dxa"/>
            <w:vMerge w:val="restart"/>
            <w:tcBorders/>
            <w:shd w:fill="CCEEFF" w:val="clear"/>
            <w:vAlign w:val="center"/>
          </w:tcPr>
          <w:p>
            <w:pPr>
              <w:pStyle w:val="TableContents"/>
              <w:spacing w:before="0" w:after="0"/>
              <w:rPr>
                <w:spacing w:val="0"/>
              </w:rPr>
            </w:pPr>
            <w:r>
              <w:rPr>
                <w:spacing w:val="0"/>
              </w:rPr>
              <w:t> </w:t>
            </w:r>
          </w:p>
        </w:tc>
        <w:tc>
          <w:tcPr>
            <w:tcW w:w="76" w:type="dxa"/>
            <w:tcBorders/>
            <w:shd w:fill="CCEEFF" w:val="clear"/>
          </w:tcPr>
          <w:p>
            <w:pPr>
              <w:pStyle w:val="TableContents"/>
              <w:spacing w:before="0" w:after="283"/>
              <w:rPr>
                <w:sz w:val="4"/>
                <w:szCs w:val="4"/>
              </w:rPr>
            </w:pPr>
            <w:r>
              <w:rPr>
                <w:sz w:val="4"/>
                <w:szCs w:val="4"/>
              </w:rPr>
            </w:r>
          </w:p>
        </w:tc>
      </w:tr>
      <w:tr>
        <w:trPr/>
        <w:tc>
          <w:tcPr>
            <w:tcW w:w="6251"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147" w:type="dxa"/>
            <w:vMerge w:val="continue"/>
            <w:tcBorders/>
            <w:shd w:fill="auto" w:val="clear"/>
            <w:vAlign w:val="center"/>
          </w:tcPr>
          <w:p>
            <w:pPr>
              <w:pStyle w:val="Normal"/>
              <w:rPr/>
            </w:pPr>
            <w:r>
              <w:rPr/>
            </w:r>
          </w:p>
        </w:tc>
        <w:tc>
          <w:tcPr>
            <w:tcW w:w="1286" w:type="dxa"/>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92" w:type="dxa"/>
            <w:vMerge w:val="continue"/>
            <w:tcBorders/>
            <w:shd w:fill="auto" w:val="clear"/>
            <w:vAlign w:val="center"/>
          </w:tcPr>
          <w:p>
            <w:pPr>
              <w:pStyle w:val="Normal"/>
              <w:rPr/>
            </w:pPr>
            <w:r>
              <w:rPr/>
            </w:r>
          </w:p>
        </w:tc>
        <w:tc>
          <w:tcPr>
            <w:tcW w:w="1763" w:type="dxa"/>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76" w:type="dxa"/>
            <w:tcBorders/>
            <w:shd w:fill="auto" w:val="clear"/>
            <w:vAlign w:val="center"/>
          </w:tcPr>
          <w:p>
            <w:pPr>
              <w:pStyle w:val="TableContents"/>
              <w:spacing w:before="0" w:after="283"/>
              <w:rPr/>
            </w:pPr>
            <w:r>
              <w:rPr/>
              <w:t> </w:t>
            </w:r>
          </w:p>
        </w:tc>
      </w:tr>
      <w:tr>
        <w:trPr/>
        <w:tc>
          <w:tcPr>
            <w:tcW w:w="625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8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r>
    </w:tbl>
    <w:p>
      <w:pPr>
        <w:pStyle w:val="TextBody"/>
        <w:spacing w:before="36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SVF INVESTMENT CORP. 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CONDENSED CONSOLIDATED STATEMENTS OF OPERATIONS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5992"/>
        <w:gridCol w:w="120"/>
        <w:gridCol w:w="211"/>
        <w:gridCol w:w="1688"/>
        <w:gridCol w:w="233"/>
        <w:gridCol w:w="90"/>
        <w:gridCol w:w="211"/>
        <w:gridCol w:w="1486"/>
        <w:gridCol w:w="174"/>
      </w:tblGrid>
      <w:tr>
        <w:trPr/>
        <w:tc>
          <w:tcPr>
            <w:tcW w:w="59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599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19" w:type="dxa"/>
            <w:gridSpan w:val="6"/>
            <w:tcBorders/>
            <w:shd w:fill="auto" w:val="clear"/>
            <w:vAlign w:val="center"/>
          </w:tcPr>
          <w:p>
            <w:pPr>
              <w:pStyle w:val="TableContents"/>
              <w:spacing w:before="0" w:after="0"/>
              <w:jc w:val="center"/>
              <w:rPr>
                <w:b/>
                <w:spacing w:val="0"/>
              </w:rPr>
            </w:pPr>
            <w:r>
              <w:rPr>
                <w:b/>
                <w:spacing w:val="0"/>
              </w:rPr>
              <w:t>For the three months ended March 31,</w:t>
            </w:r>
          </w:p>
        </w:tc>
        <w:tc>
          <w:tcPr>
            <w:tcW w:w="174" w:type="dxa"/>
            <w:tcBorders/>
            <w:shd w:fill="auto" w:val="clear"/>
            <w:vAlign w:val="center"/>
          </w:tcPr>
          <w:p>
            <w:pPr>
              <w:pStyle w:val="TableContents"/>
              <w:spacing w:before="0" w:after="283"/>
              <w:rPr/>
            </w:pPr>
            <w:r>
              <w:rPr/>
              <w:t> </w:t>
            </w:r>
          </w:p>
        </w:tc>
      </w:tr>
      <w:tr>
        <w:trPr/>
        <w:tc>
          <w:tcPr>
            <w:tcW w:w="599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9" w:type="dxa"/>
            <w:gridSpan w:val="2"/>
            <w:tcBorders/>
            <w:shd w:fill="auto" w:val="clear"/>
            <w:vAlign w:val="center"/>
          </w:tcPr>
          <w:p>
            <w:pPr>
              <w:pStyle w:val="TableContents"/>
              <w:spacing w:before="0" w:after="0"/>
              <w:jc w:val="center"/>
              <w:rPr>
                <w:b/>
                <w:spacing w:val="0"/>
              </w:rPr>
            </w:pPr>
            <w:r>
              <w:rPr>
                <w:b/>
                <w:spacing w:val="0"/>
              </w:rPr>
              <w:t>2022</w:t>
            </w:r>
          </w:p>
        </w:tc>
        <w:tc>
          <w:tcPr>
            <w:tcW w:w="233"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697" w:type="dxa"/>
            <w:gridSpan w:val="2"/>
            <w:tcBorders/>
            <w:shd w:fill="auto" w:val="clear"/>
            <w:vAlign w:val="center"/>
          </w:tcPr>
          <w:p>
            <w:pPr>
              <w:pStyle w:val="TableContents"/>
              <w:spacing w:before="0" w:after="0"/>
              <w:jc w:val="center"/>
              <w:rPr>
                <w:b/>
                <w:spacing w:val="0"/>
              </w:rPr>
            </w:pPr>
            <w:r>
              <w:rPr>
                <w:b/>
                <w:spacing w:val="0"/>
              </w:rPr>
              <w:t>2021</w:t>
            </w:r>
          </w:p>
        </w:tc>
        <w:tc>
          <w:tcPr>
            <w:tcW w:w="174" w:type="dxa"/>
            <w:tcBorders/>
            <w:shd w:fill="auto" w:val="clear"/>
            <w:vAlign w:val="center"/>
          </w:tcPr>
          <w:p>
            <w:pPr>
              <w:pStyle w:val="TableContents"/>
              <w:spacing w:before="0" w:after="283"/>
              <w:rPr/>
            </w:pPr>
            <w:r>
              <w:rPr/>
              <w:t> </w:t>
            </w:r>
          </w:p>
        </w:tc>
      </w:tr>
      <w:tr>
        <w:trPr/>
        <w:tc>
          <w:tcPr>
            <w:tcW w:w="5992"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 expenses</w:t>
            </w:r>
          </w:p>
        </w:tc>
        <w:tc>
          <w:tcPr>
            <w:tcW w:w="12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w:t>
            </w:r>
          </w:p>
        </w:tc>
        <w:tc>
          <w:tcPr>
            <w:tcW w:w="1688" w:type="dxa"/>
            <w:tcBorders/>
            <w:shd w:fill="CCEEFF" w:val="clear"/>
            <w:vAlign w:val="center"/>
          </w:tcPr>
          <w:p>
            <w:pPr>
              <w:pStyle w:val="TableContents"/>
              <w:spacing w:before="0" w:after="283"/>
              <w:jc w:val="right"/>
              <w:rPr/>
            </w:pPr>
            <w:r>
              <w:rPr/>
              <w:t>2,299,907</w:t>
            </w:r>
          </w:p>
        </w:tc>
        <w:tc>
          <w:tcPr>
            <w:tcW w:w="233"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w:t>
            </w:r>
          </w:p>
        </w:tc>
        <w:tc>
          <w:tcPr>
            <w:tcW w:w="1486" w:type="dxa"/>
            <w:tcBorders/>
            <w:shd w:fill="CCEEFF" w:val="clear"/>
            <w:vAlign w:val="center"/>
          </w:tcPr>
          <w:p>
            <w:pPr>
              <w:pStyle w:val="TableContents"/>
              <w:spacing w:before="0" w:after="283"/>
              <w:jc w:val="right"/>
              <w:rPr/>
            </w:pPr>
            <w:r>
              <w:rPr/>
              <w:t>508,266</w:t>
            </w:r>
          </w:p>
        </w:tc>
        <w:tc>
          <w:tcPr>
            <w:tcW w:w="174" w:type="dxa"/>
            <w:tcBorders/>
            <w:shd w:fill="CCEEFF" w:val="clear"/>
            <w:vAlign w:val="center"/>
          </w:tcPr>
          <w:p>
            <w:pPr>
              <w:pStyle w:val="TableContents"/>
              <w:spacing w:before="0" w:after="283"/>
              <w:rPr/>
            </w:pPr>
            <w:r>
              <w:rPr/>
              <w:t> </w:t>
            </w:r>
          </w:p>
        </w:tc>
      </w:tr>
      <w:tr>
        <w:trPr/>
        <w:tc>
          <w:tcPr>
            <w:tcW w:w="5992"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 expenses – related party</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688" w:type="dxa"/>
            <w:tcBorders/>
            <w:shd w:fill="auto" w:val="clear"/>
            <w:vAlign w:val="center"/>
          </w:tcPr>
          <w:p>
            <w:pPr>
              <w:pStyle w:val="TableContents"/>
              <w:spacing w:before="0" w:after="283"/>
              <w:jc w:val="right"/>
              <w:rPr/>
            </w:pPr>
            <w:r>
              <w:rPr/>
              <w:t>30,000</w:t>
            </w:r>
          </w:p>
        </w:tc>
        <w:tc>
          <w:tcPr>
            <w:tcW w:w="233"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486" w:type="dxa"/>
            <w:tcBorders/>
            <w:shd w:fill="auto" w:val="clear"/>
            <w:vAlign w:val="center"/>
          </w:tcPr>
          <w:p>
            <w:pPr>
              <w:pStyle w:val="TableContents"/>
              <w:spacing w:before="0" w:after="283"/>
              <w:jc w:val="right"/>
              <w:rPr/>
            </w:pPr>
            <w:r>
              <w:rPr/>
              <w:t>16,726</w:t>
            </w:r>
          </w:p>
        </w:tc>
        <w:tc>
          <w:tcPr>
            <w:tcW w:w="174" w:type="dxa"/>
            <w:tcBorders/>
            <w:shd w:fill="auto" w:val="clear"/>
            <w:vAlign w:val="center"/>
          </w:tcPr>
          <w:p>
            <w:pPr>
              <w:pStyle w:val="TableContents"/>
              <w:spacing w:before="0" w:after="283"/>
              <w:rPr/>
            </w:pPr>
            <w:r>
              <w:rPr/>
              <w:t> </w:t>
            </w:r>
          </w:p>
        </w:tc>
      </w:tr>
      <w:tr>
        <w:trPr/>
        <w:tc>
          <w:tcPr>
            <w:tcW w:w="599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8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33"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8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5992"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from operations</w:t>
            </w:r>
          </w:p>
        </w:tc>
        <w:tc>
          <w:tcPr>
            <w:tcW w:w="12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1688" w:type="dxa"/>
            <w:tcBorders/>
            <w:shd w:fill="CCEEFF" w:val="clear"/>
            <w:vAlign w:val="center"/>
          </w:tcPr>
          <w:p>
            <w:pPr>
              <w:pStyle w:val="TableContents"/>
              <w:spacing w:before="0" w:after="283"/>
              <w:jc w:val="right"/>
              <w:rPr/>
            </w:pPr>
            <w:r>
              <w:rPr/>
              <w:t>(2,329,907</w:t>
            </w:r>
          </w:p>
        </w:tc>
        <w:tc>
          <w:tcPr>
            <w:tcW w:w="233"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1486" w:type="dxa"/>
            <w:tcBorders/>
            <w:shd w:fill="CCEEFF" w:val="clear"/>
            <w:vAlign w:val="center"/>
          </w:tcPr>
          <w:p>
            <w:pPr>
              <w:pStyle w:val="TableContents"/>
              <w:spacing w:before="0" w:after="283"/>
              <w:jc w:val="right"/>
              <w:rPr/>
            </w:pPr>
            <w:r>
              <w:rPr/>
              <w:t>(524,992</w:t>
            </w:r>
          </w:p>
        </w:tc>
        <w:tc>
          <w:tcPr>
            <w:tcW w:w="174" w:type="dxa"/>
            <w:tcBorders/>
            <w:shd w:fill="CCEEFF" w:val="clear"/>
            <w:vAlign w:val="center"/>
          </w:tcPr>
          <w:p>
            <w:pPr>
              <w:pStyle w:val="TableContents"/>
              <w:spacing w:before="0" w:after="283"/>
              <w:rPr/>
            </w:pPr>
            <w:r>
              <w:rPr/>
              <w:t>) </w:t>
            </w:r>
          </w:p>
        </w:tc>
      </w:tr>
      <w:tr>
        <w:trPr/>
        <w:tc>
          <w:tcPr>
            <w:tcW w:w="5992"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68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4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r>
      <w:tr>
        <w:trPr/>
        <w:tc>
          <w:tcPr>
            <w:tcW w:w="5992"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from investments held in Trust Account</w:t>
            </w:r>
          </w:p>
        </w:tc>
        <w:tc>
          <w:tcPr>
            <w:tcW w:w="12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1688" w:type="dxa"/>
            <w:tcBorders/>
            <w:shd w:fill="CCEEFF" w:val="clear"/>
            <w:vAlign w:val="center"/>
          </w:tcPr>
          <w:p>
            <w:pPr>
              <w:pStyle w:val="TableContents"/>
              <w:spacing w:before="0" w:after="283"/>
              <w:jc w:val="right"/>
              <w:rPr/>
            </w:pPr>
            <w:r>
              <w:rPr/>
              <w:t>26,603</w:t>
            </w:r>
          </w:p>
        </w:tc>
        <w:tc>
          <w:tcPr>
            <w:tcW w:w="233"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1486" w:type="dxa"/>
            <w:tcBorders/>
            <w:shd w:fill="CCEEFF" w:val="clear"/>
            <w:vAlign w:val="center"/>
          </w:tcPr>
          <w:p>
            <w:pPr>
              <w:pStyle w:val="TableContents"/>
              <w:spacing w:before="0" w:after="283"/>
              <w:jc w:val="right"/>
              <w:rPr/>
            </w:pPr>
            <w:r>
              <w:rPr/>
              <w:t>1,069</w:t>
            </w:r>
          </w:p>
        </w:tc>
        <w:tc>
          <w:tcPr>
            <w:tcW w:w="174" w:type="dxa"/>
            <w:tcBorders/>
            <w:shd w:fill="CCEEFF" w:val="clear"/>
            <w:vAlign w:val="center"/>
          </w:tcPr>
          <w:p>
            <w:pPr>
              <w:pStyle w:val="TableContents"/>
              <w:spacing w:before="0" w:after="283"/>
              <w:rPr/>
            </w:pPr>
            <w:r>
              <w:rPr/>
              <w:t> </w:t>
            </w:r>
          </w:p>
        </w:tc>
      </w:tr>
      <w:tr>
        <w:trPr/>
        <w:tc>
          <w:tcPr>
            <w:tcW w:w="599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8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33"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8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5992"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loss</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0"/>
              <w:rPr>
                <w:b/>
                <w:spacing w:val="0"/>
              </w:rPr>
            </w:pPr>
            <w:r>
              <w:rPr>
                <w:b/>
                <w:spacing w:val="0"/>
              </w:rPr>
              <w:t>$</w:t>
            </w:r>
          </w:p>
        </w:tc>
        <w:tc>
          <w:tcPr>
            <w:tcW w:w="1688" w:type="dxa"/>
            <w:tcBorders/>
            <w:shd w:fill="auto" w:val="clear"/>
            <w:vAlign w:val="center"/>
          </w:tcPr>
          <w:p>
            <w:pPr>
              <w:pStyle w:val="TableContents"/>
              <w:spacing w:before="0" w:after="0"/>
              <w:jc w:val="right"/>
              <w:rPr>
                <w:spacing w:val="0"/>
              </w:rPr>
            </w:pPr>
            <w:r>
              <w:rPr>
                <w:spacing w:val="0"/>
              </w:rPr>
              <w:t> </w:t>
            </w:r>
            <w:r>
              <w:rPr>
                <w:b/>
                <w:spacing w:val="0"/>
              </w:rPr>
              <w:t>(2,303,304</w:t>
            </w:r>
          </w:p>
        </w:tc>
        <w:tc>
          <w:tcPr>
            <w:tcW w:w="233" w:type="dxa"/>
            <w:tcBorders/>
            <w:shd w:fill="auto" w:val="clear"/>
            <w:vAlign w:val="center"/>
          </w:tcPr>
          <w:p>
            <w:pPr>
              <w:pStyle w:val="TableContents"/>
              <w:spacing w:before="0" w:after="0"/>
              <w:rPr>
                <w:b/>
                <w:spacing w:val="0"/>
              </w:rPr>
            </w:pPr>
            <w:r>
              <w:rPr>
                <w:b/>
                <w:spacing w:val="0"/>
              </w:rPr>
              <w:t>) </w:t>
            </w:r>
          </w:p>
        </w:tc>
        <w:tc>
          <w:tcPr>
            <w:tcW w:w="9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0"/>
              <w:rPr>
                <w:b/>
                <w:spacing w:val="0"/>
              </w:rPr>
            </w:pPr>
            <w:r>
              <w:rPr>
                <w:b/>
                <w:spacing w:val="0"/>
              </w:rPr>
              <w:t>$</w:t>
            </w:r>
          </w:p>
        </w:tc>
        <w:tc>
          <w:tcPr>
            <w:tcW w:w="1486" w:type="dxa"/>
            <w:tcBorders/>
            <w:shd w:fill="auto" w:val="clear"/>
            <w:vAlign w:val="center"/>
          </w:tcPr>
          <w:p>
            <w:pPr>
              <w:pStyle w:val="TableContents"/>
              <w:spacing w:before="0" w:after="0"/>
              <w:jc w:val="right"/>
              <w:rPr>
                <w:spacing w:val="0"/>
              </w:rPr>
            </w:pPr>
            <w:r>
              <w:rPr>
                <w:spacing w:val="0"/>
              </w:rPr>
              <w:t> </w:t>
            </w:r>
            <w:r>
              <w:rPr>
                <w:b/>
                <w:spacing w:val="0"/>
              </w:rPr>
              <w:t>(523,923</w:t>
            </w:r>
          </w:p>
        </w:tc>
        <w:tc>
          <w:tcPr>
            <w:tcW w:w="174" w:type="dxa"/>
            <w:tcBorders/>
            <w:shd w:fill="auto" w:val="clear"/>
            <w:vAlign w:val="center"/>
          </w:tcPr>
          <w:p>
            <w:pPr>
              <w:pStyle w:val="TableContents"/>
              <w:spacing w:before="0" w:after="0"/>
              <w:rPr>
                <w:b/>
                <w:spacing w:val="0"/>
              </w:rPr>
            </w:pPr>
            <w:r>
              <w:rPr>
                <w:b/>
                <w:spacing w:val="0"/>
              </w:rPr>
              <w:t>) </w:t>
            </w:r>
          </w:p>
        </w:tc>
      </w:tr>
      <w:tr>
        <w:trPr/>
        <w:tc>
          <w:tcPr>
            <w:tcW w:w="599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8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33"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8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4" w:type="dxa"/>
            <w:tcBorders/>
            <w:shd w:fill="auto" w:val="clear"/>
            <w:vAlign w:val="center"/>
          </w:tcPr>
          <w:p>
            <w:pPr>
              <w:pStyle w:val="TableContents"/>
              <w:spacing w:before="0" w:after="283"/>
              <w:rPr/>
            </w:pPr>
            <w:r>
              <w:rPr/>
              <w:t> </w:t>
            </w:r>
          </w:p>
        </w:tc>
      </w:tr>
      <w:tr>
        <w:trPr/>
        <w:tc>
          <w:tcPr>
            <w:tcW w:w="5992"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Weighted average shares outstanding of Class A ordinary shares subject to possible redemption, basic and diluted</w:t>
            </w:r>
          </w:p>
        </w:tc>
        <w:tc>
          <w:tcPr>
            <w:tcW w:w="12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0"/>
              <w:rPr>
                <w:spacing w:val="0"/>
              </w:rPr>
            </w:pPr>
            <w:r>
              <w:rPr>
                <w:spacing w:val="0"/>
              </w:rPr>
              <w:t> </w:t>
            </w:r>
          </w:p>
        </w:tc>
        <w:tc>
          <w:tcPr>
            <w:tcW w:w="1688" w:type="dxa"/>
            <w:tcBorders/>
            <w:shd w:fill="CCEEFF" w:val="clear"/>
            <w:vAlign w:val="center"/>
          </w:tcPr>
          <w:p>
            <w:pPr>
              <w:pStyle w:val="TableContents"/>
              <w:spacing w:before="0" w:after="0"/>
              <w:jc w:val="right"/>
              <w:rPr>
                <w:b/>
                <w:spacing w:val="0"/>
              </w:rPr>
            </w:pPr>
            <w:r>
              <w:rPr>
                <w:b/>
                <w:spacing w:val="0"/>
              </w:rPr>
              <w:t>32,000,000</w:t>
            </w:r>
          </w:p>
        </w:tc>
        <w:tc>
          <w:tcPr>
            <w:tcW w:w="233" w:type="dxa"/>
            <w:tcBorders/>
            <w:shd w:fill="CCEEFF" w:val="clear"/>
            <w:vAlign w:val="center"/>
          </w:tcPr>
          <w:p>
            <w:pPr>
              <w:pStyle w:val="TableContents"/>
              <w:spacing w:before="0" w:after="0"/>
              <w:rPr>
                <w:spacing w:val="0"/>
              </w:rPr>
            </w:pPr>
            <w:r>
              <w:rPr>
                <w:spacing w:val="0"/>
              </w:rPr>
              <w:t> </w:t>
            </w:r>
          </w:p>
        </w:tc>
        <w:tc>
          <w:tcPr>
            <w:tcW w:w="9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0"/>
              <w:rPr>
                <w:spacing w:val="0"/>
              </w:rPr>
            </w:pPr>
            <w:r>
              <w:rPr>
                <w:spacing w:val="0"/>
              </w:rPr>
              <w:t> </w:t>
            </w:r>
          </w:p>
        </w:tc>
        <w:tc>
          <w:tcPr>
            <w:tcW w:w="1486" w:type="dxa"/>
            <w:tcBorders/>
            <w:shd w:fill="CCEEFF" w:val="clear"/>
            <w:vAlign w:val="center"/>
          </w:tcPr>
          <w:p>
            <w:pPr>
              <w:pStyle w:val="TableContents"/>
              <w:spacing w:before="0" w:after="0"/>
              <w:jc w:val="right"/>
              <w:rPr>
                <w:b/>
                <w:spacing w:val="0"/>
              </w:rPr>
            </w:pPr>
            <w:r>
              <w:rPr>
                <w:b/>
                <w:spacing w:val="0"/>
              </w:rPr>
              <w:t>7,466,667</w:t>
            </w:r>
          </w:p>
        </w:tc>
        <w:tc>
          <w:tcPr>
            <w:tcW w:w="174" w:type="dxa"/>
            <w:tcBorders/>
            <w:shd w:fill="CCEEFF" w:val="clear"/>
            <w:vAlign w:val="center"/>
          </w:tcPr>
          <w:p>
            <w:pPr>
              <w:pStyle w:val="TableContents"/>
              <w:spacing w:before="0" w:after="0"/>
              <w:rPr>
                <w:spacing w:val="0"/>
              </w:rPr>
            </w:pPr>
            <w:r>
              <w:rPr>
                <w:spacing w:val="0"/>
              </w:rPr>
              <w:t> </w:t>
            </w:r>
          </w:p>
        </w:tc>
      </w:tr>
      <w:tr>
        <w:trPr/>
        <w:tc>
          <w:tcPr>
            <w:tcW w:w="599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8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33"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8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4" w:type="dxa"/>
            <w:tcBorders/>
            <w:shd w:fill="auto" w:val="clear"/>
            <w:vAlign w:val="center"/>
          </w:tcPr>
          <w:p>
            <w:pPr>
              <w:pStyle w:val="TableContents"/>
              <w:spacing w:before="0" w:after="283"/>
              <w:rPr/>
            </w:pPr>
            <w:r>
              <w:rPr/>
              <w:t> </w:t>
            </w:r>
          </w:p>
        </w:tc>
      </w:tr>
      <w:tr>
        <w:trPr/>
        <w:tc>
          <w:tcPr>
            <w:tcW w:w="599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68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4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r>
      <w:tr>
        <w:trPr/>
        <w:tc>
          <w:tcPr>
            <w:tcW w:w="5992"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Basic and diluted net loss per ordinary share, Class A ordinary shares subject to possible redemption</w:t>
            </w:r>
          </w:p>
        </w:tc>
        <w:tc>
          <w:tcPr>
            <w:tcW w:w="12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0"/>
              <w:rPr>
                <w:b/>
                <w:spacing w:val="0"/>
              </w:rPr>
            </w:pPr>
            <w:r>
              <w:rPr>
                <w:b/>
                <w:spacing w:val="0"/>
              </w:rPr>
              <w:t>$</w:t>
            </w:r>
          </w:p>
        </w:tc>
        <w:tc>
          <w:tcPr>
            <w:tcW w:w="1688" w:type="dxa"/>
            <w:tcBorders/>
            <w:shd w:fill="CCEEFF" w:val="clear"/>
            <w:vAlign w:val="center"/>
          </w:tcPr>
          <w:p>
            <w:pPr>
              <w:pStyle w:val="TableContents"/>
              <w:spacing w:before="0" w:after="0"/>
              <w:jc w:val="right"/>
              <w:rPr>
                <w:b/>
                <w:spacing w:val="0"/>
              </w:rPr>
            </w:pPr>
            <w:r>
              <w:rPr>
                <w:b/>
                <w:spacing w:val="0"/>
              </w:rPr>
              <w:t>(0.06</w:t>
            </w:r>
          </w:p>
        </w:tc>
        <w:tc>
          <w:tcPr>
            <w:tcW w:w="233" w:type="dxa"/>
            <w:tcBorders/>
            <w:shd w:fill="CCEEFF" w:val="clear"/>
            <w:vAlign w:val="center"/>
          </w:tcPr>
          <w:p>
            <w:pPr>
              <w:pStyle w:val="TableContents"/>
              <w:spacing w:before="0" w:after="0"/>
              <w:rPr>
                <w:b/>
                <w:spacing w:val="0"/>
              </w:rPr>
            </w:pPr>
            <w:r>
              <w:rPr>
                <w:b/>
                <w:spacing w:val="0"/>
              </w:rPr>
              <w:t>) </w:t>
            </w:r>
          </w:p>
        </w:tc>
        <w:tc>
          <w:tcPr>
            <w:tcW w:w="9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0"/>
              <w:rPr>
                <w:b/>
                <w:spacing w:val="0"/>
              </w:rPr>
            </w:pPr>
            <w:r>
              <w:rPr>
                <w:b/>
                <w:spacing w:val="0"/>
              </w:rPr>
              <w:t>$</w:t>
            </w:r>
          </w:p>
        </w:tc>
        <w:tc>
          <w:tcPr>
            <w:tcW w:w="1486" w:type="dxa"/>
            <w:tcBorders/>
            <w:shd w:fill="CCEEFF" w:val="clear"/>
            <w:vAlign w:val="center"/>
          </w:tcPr>
          <w:p>
            <w:pPr>
              <w:pStyle w:val="TableContents"/>
              <w:spacing w:before="0" w:after="0"/>
              <w:jc w:val="right"/>
              <w:rPr>
                <w:b/>
                <w:spacing w:val="0"/>
              </w:rPr>
            </w:pPr>
            <w:r>
              <w:rPr>
                <w:b/>
                <w:spacing w:val="0"/>
              </w:rPr>
              <w:t>(0.04</w:t>
            </w:r>
          </w:p>
        </w:tc>
        <w:tc>
          <w:tcPr>
            <w:tcW w:w="174" w:type="dxa"/>
            <w:tcBorders/>
            <w:shd w:fill="CCEEFF" w:val="clear"/>
            <w:vAlign w:val="center"/>
          </w:tcPr>
          <w:p>
            <w:pPr>
              <w:pStyle w:val="TableContents"/>
              <w:spacing w:before="0" w:after="0"/>
              <w:rPr>
                <w:b/>
                <w:spacing w:val="0"/>
              </w:rPr>
            </w:pPr>
            <w:r>
              <w:rPr>
                <w:b/>
                <w:spacing w:val="0"/>
              </w:rPr>
              <w:t>) </w:t>
            </w:r>
          </w:p>
        </w:tc>
      </w:tr>
      <w:tr>
        <w:trPr/>
        <w:tc>
          <w:tcPr>
            <w:tcW w:w="599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8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33"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8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4" w:type="dxa"/>
            <w:tcBorders/>
            <w:shd w:fill="auto" w:val="clear"/>
            <w:vAlign w:val="center"/>
          </w:tcPr>
          <w:p>
            <w:pPr>
              <w:pStyle w:val="TableContents"/>
              <w:spacing w:before="0" w:after="283"/>
              <w:rPr/>
            </w:pPr>
            <w:r>
              <w:rPr/>
              <w:t> </w:t>
            </w:r>
          </w:p>
        </w:tc>
      </w:tr>
      <w:tr>
        <w:trPr/>
        <w:tc>
          <w:tcPr>
            <w:tcW w:w="599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68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4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r>
      <w:tr>
        <w:trPr/>
        <w:tc>
          <w:tcPr>
            <w:tcW w:w="5992"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 xml:space="preserve">Weighted average shares outstanding of </w:t>
            </w:r>
          </w:p>
          <w:p>
            <w:pPr>
              <w:pStyle w:val="TableContents"/>
              <w:spacing w:before="0" w:after="0"/>
              <w:rPr>
                <w:rFonts w:ascii="Times New Roman" w:hAnsi="Times New Roman"/>
                <w:b/>
                <w:spacing w:val="0"/>
                <w:sz w:val="20"/>
              </w:rPr>
            </w:pPr>
            <w:r>
              <w:rPr>
                <w:rFonts w:ascii="Times New Roman" w:hAnsi="Times New Roman"/>
                <w:b/>
                <w:spacing w:val="0"/>
                <w:sz w:val="20"/>
              </w:rPr>
              <w:t>non-redeemable</w:t>
            </w:r>
          </w:p>
          <w:p>
            <w:pPr>
              <w:pStyle w:val="TableContents"/>
              <w:spacing w:before="0" w:after="0"/>
              <w:rPr>
                <w:rFonts w:ascii="Times New Roman" w:hAnsi="Times New Roman"/>
                <w:b/>
                <w:sz w:val="20"/>
              </w:rPr>
            </w:pPr>
            <w:r>
              <w:rPr>
                <w:rFonts w:ascii="Times New Roman" w:hAnsi="Times New Roman"/>
                <w:b/>
                <w:sz w:val="20"/>
              </w:rPr>
              <w:t>ordinary shares, basic and diluted</w:t>
            </w:r>
          </w:p>
        </w:tc>
        <w:tc>
          <w:tcPr>
            <w:tcW w:w="12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0"/>
              <w:rPr>
                <w:spacing w:val="0"/>
              </w:rPr>
            </w:pPr>
            <w:r>
              <w:rPr>
                <w:spacing w:val="0"/>
              </w:rPr>
              <w:t> </w:t>
            </w:r>
          </w:p>
        </w:tc>
        <w:tc>
          <w:tcPr>
            <w:tcW w:w="1688" w:type="dxa"/>
            <w:tcBorders/>
            <w:shd w:fill="CCEEFF" w:val="clear"/>
            <w:vAlign w:val="center"/>
          </w:tcPr>
          <w:p>
            <w:pPr>
              <w:pStyle w:val="TableContents"/>
              <w:spacing w:before="0" w:after="0"/>
              <w:jc w:val="right"/>
              <w:rPr>
                <w:b/>
                <w:spacing w:val="0"/>
              </w:rPr>
            </w:pPr>
            <w:r>
              <w:rPr>
                <w:b/>
                <w:spacing w:val="0"/>
              </w:rPr>
              <w:t>9,040,000</w:t>
            </w:r>
          </w:p>
        </w:tc>
        <w:tc>
          <w:tcPr>
            <w:tcW w:w="233" w:type="dxa"/>
            <w:tcBorders/>
            <w:shd w:fill="CCEEFF" w:val="clear"/>
            <w:vAlign w:val="center"/>
          </w:tcPr>
          <w:p>
            <w:pPr>
              <w:pStyle w:val="TableContents"/>
              <w:spacing w:before="0" w:after="0"/>
              <w:rPr>
                <w:spacing w:val="0"/>
              </w:rPr>
            </w:pPr>
            <w:r>
              <w:rPr>
                <w:spacing w:val="0"/>
              </w:rPr>
              <w:t> </w:t>
            </w:r>
          </w:p>
        </w:tc>
        <w:tc>
          <w:tcPr>
            <w:tcW w:w="9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0"/>
              <w:rPr>
                <w:spacing w:val="0"/>
              </w:rPr>
            </w:pPr>
            <w:r>
              <w:rPr>
                <w:spacing w:val="0"/>
              </w:rPr>
              <w:t> </w:t>
            </w:r>
          </w:p>
        </w:tc>
        <w:tc>
          <w:tcPr>
            <w:tcW w:w="1486" w:type="dxa"/>
            <w:tcBorders/>
            <w:shd w:fill="CCEEFF" w:val="clear"/>
            <w:vAlign w:val="center"/>
          </w:tcPr>
          <w:p>
            <w:pPr>
              <w:pStyle w:val="TableContents"/>
              <w:spacing w:before="0" w:after="0"/>
              <w:jc w:val="right"/>
              <w:rPr>
                <w:b/>
                <w:spacing w:val="0"/>
              </w:rPr>
            </w:pPr>
            <w:r>
              <w:rPr>
                <w:b/>
                <w:spacing w:val="0"/>
              </w:rPr>
              <w:t>7,476,000</w:t>
            </w:r>
          </w:p>
        </w:tc>
        <w:tc>
          <w:tcPr>
            <w:tcW w:w="174" w:type="dxa"/>
            <w:tcBorders/>
            <w:shd w:fill="CCEEFF" w:val="clear"/>
            <w:vAlign w:val="center"/>
          </w:tcPr>
          <w:p>
            <w:pPr>
              <w:pStyle w:val="TableContents"/>
              <w:spacing w:before="0" w:after="0"/>
              <w:rPr>
                <w:spacing w:val="0"/>
              </w:rPr>
            </w:pPr>
            <w:r>
              <w:rPr>
                <w:spacing w:val="0"/>
              </w:rPr>
              <w:t> </w:t>
            </w:r>
          </w:p>
        </w:tc>
      </w:tr>
      <w:tr>
        <w:trPr/>
        <w:tc>
          <w:tcPr>
            <w:tcW w:w="599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8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33"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8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599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68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1486"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r>
      <w:tr>
        <w:trPr/>
        <w:tc>
          <w:tcPr>
            <w:tcW w:w="5992"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 xml:space="preserve">Basic and diluted net loss per ordinary share, </w:t>
            </w:r>
          </w:p>
          <w:p>
            <w:pPr>
              <w:pStyle w:val="TableContents"/>
              <w:spacing w:before="0" w:after="0"/>
              <w:rPr>
                <w:rFonts w:ascii="Times New Roman" w:hAnsi="Times New Roman"/>
                <w:b/>
                <w:spacing w:val="0"/>
                <w:sz w:val="20"/>
              </w:rPr>
            </w:pPr>
            <w:r>
              <w:rPr>
                <w:rFonts w:ascii="Times New Roman" w:hAnsi="Times New Roman"/>
                <w:b/>
                <w:spacing w:val="0"/>
                <w:sz w:val="20"/>
              </w:rPr>
              <w:t>non-redeemable</w:t>
            </w:r>
          </w:p>
          <w:p>
            <w:pPr>
              <w:pStyle w:val="TableContents"/>
              <w:spacing w:before="0" w:after="0"/>
              <w:rPr>
                <w:rFonts w:ascii="Times New Roman" w:hAnsi="Times New Roman"/>
                <w:b/>
                <w:sz w:val="20"/>
              </w:rPr>
            </w:pPr>
            <w:r>
              <w:rPr>
                <w:rFonts w:ascii="Times New Roman" w:hAnsi="Times New Roman"/>
                <w:b/>
                <w:sz w:val="20"/>
              </w:rPr>
              <w:t>ordinary shares</w:t>
            </w:r>
          </w:p>
        </w:tc>
        <w:tc>
          <w:tcPr>
            <w:tcW w:w="12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0"/>
              <w:rPr>
                <w:b/>
                <w:spacing w:val="0"/>
              </w:rPr>
            </w:pPr>
            <w:r>
              <w:rPr>
                <w:b/>
                <w:spacing w:val="0"/>
              </w:rPr>
              <w:t>$</w:t>
            </w:r>
          </w:p>
        </w:tc>
        <w:tc>
          <w:tcPr>
            <w:tcW w:w="1688" w:type="dxa"/>
            <w:tcBorders/>
            <w:shd w:fill="CCEEFF" w:val="clear"/>
            <w:vAlign w:val="center"/>
          </w:tcPr>
          <w:p>
            <w:pPr>
              <w:pStyle w:val="TableContents"/>
              <w:spacing w:before="0" w:after="0"/>
              <w:jc w:val="right"/>
              <w:rPr>
                <w:b/>
                <w:spacing w:val="0"/>
              </w:rPr>
            </w:pPr>
            <w:r>
              <w:rPr>
                <w:b/>
                <w:spacing w:val="0"/>
              </w:rPr>
              <w:t>(0.06</w:t>
            </w:r>
          </w:p>
        </w:tc>
        <w:tc>
          <w:tcPr>
            <w:tcW w:w="233" w:type="dxa"/>
            <w:tcBorders/>
            <w:shd w:fill="CCEEFF" w:val="clear"/>
            <w:vAlign w:val="center"/>
          </w:tcPr>
          <w:p>
            <w:pPr>
              <w:pStyle w:val="TableContents"/>
              <w:spacing w:before="0" w:after="0"/>
              <w:rPr>
                <w:b/>
                <w:spacing w:val="0"/>
              </w:rPr>
            </w:pPr>
            <w:r>
              <w:rPr>
                <w:b/>
                <w:spacing w:val="0"/>
              </w:rPr>
              <w:t>) </w:t>
            </w:r>
          </w:p>
        </w:tc>
        <w:tc>
          <w:tcPr>
            <w:tcW w:w="9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0"/>
              <w:rPr>
                <w:b/>
                <w:spacing w:val="0"/>
              </w:rPr>
            </w:pPr>
            <w:r>
              <w:rPr>
                <w:b/>
                <w:spacing w:val="0"/>
              </w:rPr>
              <w:t>$</w:t>
            </w:r>
          </w:p>
        </w:tc>
        <w:tc>
          <w:tcPr>
            <w:tcW w:w="1486" w:type="dxa"/>
            <w:tcBorders/>
            <w:shd w:fill="CCEEFF" w:val="clear"/>
            <w:vAlign w:val="center"/>
          </w:tcPr>
          <w:p>
            <w:pPr>
              <w:pStyle w:val="TableContents"/>
              <w:spacing w:before="0" w:after="0"/>
              <w:jc w:val="right"/>
              <w:rPr>
                <w:b/>
                <w:spacing w:val="0"/>
              </w:rPr>
            </w:pPr>
            <w:r>
              <w:rPr>
                <w:b/>
                <w:spacing w:val="0"/>
              </w:rPr>
              <w:t>(0.04</w:t>
            </w:r>
          </w:p>
        </w:tc>
        <w:tc>
          <w:tcPr>
            <w:tcW w:w="174" w:type="dxa"/>
            <w:tcBorders/>
            <w:shd w:fill="CCEEFF" w:val="clear"/>
            <w:vAlign w:val="center"/>
          </w:tcPr>
          <w:p>
            <w:pPr>
              <w:pStyle w:val="TableContents"/>
              <w:spacing w:before="0" w:after="0"/>
              <w:rPr>
                <w:b/>
                <w:spacing w:val="0"/>
              </w:rPr>
            </w:pPr>
            <w:r>
              <w:rPr>
                <w:b/>
                <w:spacing w:val="0"/>
              </w:rPr>
              <w:t>) </w:t>
            </w:r>
          </w:p>
        </w:tc>
      </w:tr>
      <w:tr>
        <w:trPr/>
        <w:tc>
          <w:tcPr>
            <w:tcW w:w="599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8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33"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8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4" w:type="dxa"/>
            <w:tcBorders/>
            <w:shd w:fill="auto" w:val="clear"/>
            <w:vAlign w:val="center"/>
          </w:tcPr>
          <w:p>
            <w:pPr>
              <w:pStyle w:val="TableContents"/>
              <w:spacing w:before="0" w:after="283"/>
              <w:rPr/>
            </w:pPr>
            <w:r>
              <w:rPr/>
              <w:t> </w:t>
            </w:r>
          </w:p>
        </w:tc>
      </w:tr>
    </w:tbl>
    <w:p>
      <w:pPr>
        <w:pStyle w:val="TextBody"/>
        <w:spacing w:before="36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SVF INVESTMENT CORP. 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CONDENSED CONSOLIDATED STATEMENTS OF CHANGES IN SHAREHOLDERS’ DEFICIT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1143"/>
        <w:gridCol w:w="120"/>
        <w:gridCol w:w="60"/>
        <w:gridCol w:w="980"/>
        <w:gridCol w:w="60"/>
        <w:gridCol w:w="120"/>
        <w:gridCol w:w="207"/>
        <w:gridCol w:w="653"/>
        <w:gridCol w:w="60"/>
        <w:gridCol w:w="120"/>
        <w:gridCol w:w="60"/>
        <w:gridCol w:w="980"/>
        <w:gridCol w:w="60"/>
        <w:gridCol w:w="120"/>
        <w:gridCol w:w="207"/>
        <w:gridCol w:w="653"/>
        <w:gridCol w:w="60"/>
        <w:gridCol w:w="120"/>
        <w:gridCol w:w="265"/>
        <w:gridCol w:w="835"/>
        <w:gridCol w:w="60"/>
        <w:gridCol w:w="120"/>
        <w:gridCol w:w="140"/>
        <w:gridCol w:w="1235"/>
        <w:gridCol w:w="155"/>
        <w:gridCol w:w="60"/>
        <w:gridCol w:w="140"/>
        <w:gridCol w:w="1240"/>
        <w:gridCol w:w="172"/>
      </w:tblGrid>
      <w:tr>
        <w:trPr/>
        <w:tc>
          <w:tcPr>
            <w:tcW w:w="114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1143" w:type="dxa"/>
            <w:vMerge w:val="restart"/>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340" w:type="dxa"/>
            <w:gridSpan w:val="14"/>
            <w:tcBorders/>
            <w:shd w:fill="auto" w:val="clear"/>
            <w:vAlign w:val="center"/>
          </w:tcPr>
          <w:p>
            <w:pPr>
              <w:pStyle w:val="TableContents"/>
              <w:spacing w:before="0" w:after="0"/>
              <w:jc w:val="center"/>
              <w:rPr>
                <w:b/>
                <w:spacing w:val="0"/>
              </w:rPr>
            </w:pPr>
            <w:r>
              <w:rPr>
                <w:b/>
                <w:spacing w:val="0"/>
              </w:rPr>
              <w:t>Ordinary 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0"/>
              <w:jc w:val="center"/>
              <w:rPr>
                <w:b/>
                <w:spacing w:val="0"/>
              </w:rPr>
            </w:pPr>
            <w:r>
              <w:rPr>
                <w:b/>
                <w:spacing w:val="0"/>
              </w:rPr>
              <w:t>Additional</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5"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0" w:type="dxa"/>
            <w:gridSpan w:val="2"/>
            <w:tcBorders/>
            <w:shd w:fill="auto" w:val="clear"/>
            <w:vAlign w:val="center"/>
          </w:tcPr>
          <w:p>
            <w:pPr>
              <w:pStyle w:val="TableContents"/>
              <w:spacing w:before="0" w:after="0"/>
              <w:jc w:val="center"/>
              <w:rPr>
                <w:b/>
                <w:spacing w:val="0"/>
              </w:rPr>
            </w:pPr>
            <w:r>
              <w:rPr>
                <w:b/>
                <w:spacing w:val="0"/>
              </w:rPr>
              <w:t>Total</w:t>
            </w:r>
          </w:p>
        </w:tc>
        <w:tc>
          <w:tcPr>
            <w:tcW w:w="172" w:type="dxa"/>
            <w:tcBorders/>
            <w:shd w:fill="auto" w:val="clear"/>
            <w:vAlign w:val="center"/>
          </w:tcPr>
          <w:p>
            <w:pPr>
              <w:pStyle w:val="TableContents"/>
              <w:spacing w:before="0" w:after="283"/>
              <w:rPr/>
            </w:pPr>
            <w:r>
              <w:rPr/>
              <w:t> </w:t>
            </w:r>
          </w:p>
        </w:tc>
      </w:tr>
      <w:tr>
        <w:trPr/>
        <w:tc>
          <w:tcPr>
            <w:tcW w:w="1143"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2080" w:type="dxa"/>
            <w:gridSpan w:val="6"/>
            <w:tcBorders/>
            <w:shd w:fill="auto" w:val="clear"/>
            <w:vAlign w:val="center"/>
          </w:tcPr>
          <w:p>
            <w:pPr>
              <w:pStyle w:val="TableContents"/>
              <w:spacing w:before="0" w:after="0"/>
              <w:jc w:val="center"/>
              <w:rPr>
                <w:b/>
                <w:spacing w:val="0"/>
              </w:rPr>
            </w:pPr>
            <w:r>
              <w:rPr>
                <w:b/>
                <w:spacing w:val="0"/>
              </w:rPr>
              <w:t>Class 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0" w:type="dxa"/>
            <w:gridSpan w:val="6"/>
            <w:tcBorders/>
            <w:shd w:fill="auto" w:val="clear"/>
            <w:vAlign w:val="center"/>
          </w:tcPr>
          <w:p>
            <w:pPr>
              <w:pStyle w:val="TableContents"/>
              <w:spacing w:before="0" w:after="0"/>
              <w:jc w:val="center"/>
              <w:rPr>
                <w:b/>
                <w:spacing w:val="0"/>
              </w:rPr>
            </w:pPr>
            <w:r>
              <w:rPr>
                <w:b/>
                <w:spacing w:val="0"/>
              </w:rPr>
              <w:t>Class B</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0"/>
              <w:jc w:val="center"/>
              <w:rPr>
                <w:b/>
                <w:spacing w:val="0"/>
              </w:rPr>
            </w:pPr>
            <w:r>
              <w:rPr>
                <w:b/>
                <w:spacing w:val="0"/>
              </w:rPr>
              <w:t>Paid-in</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5" w:type="dxa"/>
            <w:gridSpan w:val="2"/>
            <w:tcBorders/>
            <w:shd w:fill="auto" w:val="clear"/>
            <w:vAlign w:val="center"/>
          </w:tcPr>
          <w:p>
            <w:pPr>
              <w:pStyle w:val="TableContents"/>
              <w:spacing w:before="0" w:after="0"/>
              <w:jc w:val="center"/>
              <w:rPr>
                <w:b/>
                <w:spacing w:val="0"/>
              </w:rPr>
            </w:pPr>
            <w:r>
              <w:rPr>
                <w:b/>
                <w:spacing w:val="0"/>
              </w:rPr>
              <w:t>Accumulated</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0" w:type="dxa"/>
            <w:gridSpan w:val="2"/>
            <w:tcBorders/>
            <w:shd w:fill="auto" w:val="clear"/>
            <w:vAlign w:val="center"/>
          </w:tcPr>
          <w:p>
            <w:pPr>
              <w:pStyle w:val="TableContents"/>
              <w:spacing w:before="0" w:after="0"/>
              <w:jc w:val="center"/>
              <w:rPr>
                <w:b/>
                <w:spacing w:val="0"/>
              </w:rPr>
            </w:pPr>
            <w:r>
              <w:rPr>
                <w:b/>
                <w:spacing w:val="0"/>
              </w:rPr>
              <w:t>Shareholders’</w:t>
            </w:r>
          </w:p>
        </w:tc>
        <w:tc>
          <w:tcPr>
            <w:tcW w:w="172" w:type="dxa"/>
            <w:tcBorders/>
            <w:shd w:fill="auto" w:val="clear"/>
            <w:vAlign w:val="center"/>
          </w:tcPr>
          <w:p>
            <w:pPr>
              <w:pStyle w:val="TableContents"/>
              <w:spacing w:before="0" w:after="283"/>
              <w:rPr/>
            </w:pPr>
            <w:r>
              <w:rPr/>
              <w:t> </w:t>
            </w:r>
          </w:p>
        </w:tc>
      </w:tr>
      <w:tr>
        <w:trPr/>
        <w:tc>
          <w:tcPr>
            <w:tcW w:w="1143"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0"/>
              <w:jc w:val="center"/>
              <w:rPr>
                <w:b/>
                <w:spacing w:val="0"/>
              </w:rPr>
            </w:pPr>
            <w:r>
              <w:rPr>
                <w:b/>
                <w:spacing w:val="0"/>
              </w:rPr>
              <w:t>Capital</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5" w:type="dxa"/>
            <w:gridSpan w:val="2"/>
            <w:tcBorders/>
            <w:shd w:fill="auto" w:val="clear"/>
            <w:vAlign w:val="center"/>
          </w:tcPr>
          <w:p>
            <w:pPr>
              <w:pStyle w:val="TableContents"/>
              <w:spacing w:before="0" w:after="0"/>
              <w:jc w:val="center"/>
              <w:rPr>
                <w:b/>
                <w:spacing w:val="0"/>
              </w:rPr>
            </w:pPr>
            <w:r>
              <w:rPr>
                <w:b/>
                <w:spacing w:val="0"/>
              </w:rPr>
              <w:t>Deficit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0" w:type="dxa"/>
            <w:gridSpan w:val="2"/>
            <w:tcBorders/>
            <w:shd w:fill="auto" w:val="clear"/>
            <w:vAlign w:val="center"/>
          </w:tcPr>
          <w:p>
            <w:pPr>
              <w:pStyle w:val="TableContents"/>
              <w:spacing w:before="0" w:after="0"/>
              <w:jc w:val="center"/>
              <w:rPr>
                <w:b/>
                <w:spacing w:val="0"/>
              </w:rPr>
            </w:pPr>
            <w:r>
              <w:rPr>
                <w:b/>
                <w:spacing w:val="0"/>
              </w:rPr>
              <w:t>Deficit</w:t>
            </w:r>
          </w:p>
        </w:tc>
        <w:tc>
          <w:tcPr>
            <w:tcW w:w="172" w:type="dxa"/>
            <w:tcBorders/>
            <w:shd w:fill="auto" w:val="clear"/>
            <w:vAlign w:val="center"/>
          </w:tcPr>
          <w:p>
            <w:pPr>
              <w:pStyle w:val="TableContents"/>
              <w:spacing w:before="0" w:after="283"/>
              <w:rPr/>
            </w:pPr>
            <w:r>
              <w:rPr/>
              <w:t> </w:t>
            </w:r>
          </w:p>
        </w:tc>
      </w:tr>
      <w:tr>
        <w:trPr/>
        <w:tc>
          <w:tcPr>
            <w:tcW w:w="1143"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 December 31, 2021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1,040,000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0"/>
              <w:rPr>
                <w:b/>
                <w:spacing w:val="0"/>
              </w:rPr>
            </w:pPr>
            <w:r>
              <w:rPr>
                <w:b/>
                <w:spacing w:val="0"/>
              </w:rPr>
              <w:t>$</w:t>
            </w:r>
          </w:p>
        </w:tc>
        <w:tc>
          <w:tcPr>
            <w:tcW w:w="653" w:type="dxa"/>
            <w:tcBorders/>
            <w:shd w:fill="CCEEFF" w:val="clear"/>
            <w:vAlign w:val="center"/>
          </w:tcPr>
          <w:p>
            <w:pPr>
              <w:pStyle w:val="TableContents"/>
              <w:spacing w:before="0" w:after="0"/>
              <w:jc w:val="right"/>
              <w:rPr>
                <w:spacing w:val="0"/>
              </w:rPr>
            </w:pPr>
            <w:r>
              <w:rPr>
                <w:spacing w:val="0"/>
              </w:rPr>
              <w:t> </w:t>
            </w:r>
            <w:r>
              <w:rPr>
                <w:b/>
                <w:spacing w:val="0"/>
              </w:rPr>
              <w:t>104</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8,000,000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0"/>
              <w:rPr>
                <w:b/>
                <w:spacing w:val="0"/>
              </w:rPr>
            </w:pPr>
            <w:r>
              <w:rPr>
                <w:b/>
                <w:spacing w:val="0"/>
              </w:rPr>
              <w:t>$</w:t>
            </w:r>
          </w:p>
        </w:tc>
        <w:tc>
          <w:tcPr>
            <w:tcW w:w="653" w:type="dxa"/>
            <w:tcBorders/>
            <w:shd w:fill="CCEEFF" w:val="clear"/>
            <w:vAlign w:val="center"/>
          </w:tcPr>
          <w:p>
            <w:pPr>
              <w:pStyle w:val="TableContents"/>
              <w:spacing w:before="0" w:after="0"/>
              <w:jc w:val="right"/>
              <w:rPr>
                <w:spacing w:val="0"/>
              </w:rPr>
            </w:pPr>
            <w:r>
              <w:rPr>
                <w:spacing w:val="0"/>
              </w:rPr>
              <w:t> </w:t>
            </w:r>
            <w:r>
              <w:rPr>
                <w:b/>
                <w:spacing w:val="0"/>
              </w:rPr>
              <w:t>800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65" w:type="dxa"/>
            <w:tcBorders/>
            <w:shd w:fill="CCEEFF" w:val="clear"/>
            <w:vAlign w:val="center"/>
          </w:tcPr>
          <w:p>
            <w:pPr>
              <w:pStyle w:val="TableContents"/>
              <w:spacing w:before="0" w:after="0"/>
              <w:rPr>
                <w:b/>
                <w:spacing w:val="0"/>
              </w:rPr>
            </w:pPr>
            <w:r>
              <w:rPr>
                <w:b/>
                <w:spacing w:val="0"/>
              </w:rPr>
              <w:t>$</w:t>
            </w:r>
          </w:p>
        </w:tc>
        <w:tc>
          <w:tcPr>
            <w:tcW w:w="835" w:type="dxa"/>
            <w:tcBorders/>
            <w:shd w:fill="CCEEFF" w:val="clear"/>
            <w:vAlign w:val="center"/>
          </w:tcPr>
          <w:p>
            <w:pPr>
              <w:pStyle w:val="TableContents"/>
              <w:spacing w:before="0" w:after="0"/>
              <w:jc w:val="right"/>
              <w:rPr>
                <w:spacing w:val="0"/>
              </w:rPr>
            </w:pPr>
            <w:r>
              <w:rPr>
                <w:spacing w:val="0"/>
              </w:rPr>
              <w:t> —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1235" w:type="dxa"/>
            <w:tcBorders/>
            <w:shd w:fill="CCEEFF" w:val="clear"/>
            <w:vAlign w:val="center"/>
          </w:tcPr>
          <w:p>
            <w:pPr>
              <w:pStyle w:val="TableContents"/>
              <w:spacing w:before="0" w:after="0"/>
              <w:jc w:val="right"/>
              <w:rPr>
                <w:spacing w:val="0"/>
              </w:rPr>
            </w:pPr>
            <w:r>
              <w:rPr>
                <w:spacing w:val="0"/>
              </w:rPr>
              <w:t> </w:t>
            </w:r>
            <w:r>
              <w:rPr>
                <w:b/>
                <w:spacing w:val="0"/>
              </w:rPr>
              <w:t>(13,542,144</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1240" w:type="dxa"/>
            <w:tcBorders/>
            <w:shd w:fill="CCEEFF" w:val="clear"/>
            <w:vAlign w:val="center"/>
          </w:tcPr>
          <w:p>
            <w:pPr>
              <w:pStyle w:val="TableContents"/>
              <w:spacing w:before="0" w:after="0"/>
              <w:jc w:val="right"/>
              <w:rPr>
                <w:spacing w:val="0"/>
              </w:rPr>
            </w:pPr>
            <w:r>
              <w:rPr>
                <w:spacing w:val="0"/>
              </w:rPr>
              <w:t> </w:t>
            </w:r>
            <w:r>
              <w:rPr>
                <w:b/>
                <w:spacing w:val="0"/>
              </w:rPr>
              <w:t>(13,541,240</w:t>
            </w:r>
          </w:p>
        </w:tc>
        <w:tc>
          <w:tcPr>
            <w:tcW w:w="172" w:type="dxa"/>
            <w:tcBorders/>
            <w:shd w:fill="CCEEFF" w:val="clear"/>
            <w:vAlign w:val="center"/>
          </w:tcPr>
          <w:p>
            <w:pPr>
              <w:pStyle w:val="TableContents"/>
              <w:spacing w:before="0" w:after="0"/>
              <w:rPr>
                <w:b/>
                <w:spacing w:val="0"/>
              </w:rPr>
            </w:pPr>
            <w:r>
              <w:rPr>
                <w:b/>
                <w:spacing w:val="0"/>
              </w:rPr>
              <w:t>) </w:t>
            </w:r>
          </w:p>
        </w:tc>
      </w:tr>
      <w:tr>
        <w:trPr/>
        <w:tc>
          <w:tcPr>
            <w:tcW w:w="114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right"/>
              <w:rPr/>
            </w:pPr>
            <w:r>
              <w:rPr/>
              <w:t>(2,303,304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40" w:type="dxa"/>
            <w:tcBorders/>
            <w:shd w:fill="auto" w:val="clear"/>
            <w:vAlign w:val="center"/>
          </w:tcPr>
          <w:p>
            <w:pPr>
              <w:pStyle w:val="TableContents"/>
              <w:spacing w:before="0" w:after="283"/>
              <w:jc w:val="right"/>
              <w:rPr/>
            </w:pPr>
            <w:r>
              <w:rPr/>
              <w:t>(2,303,304</w:t>
            </w:r>
          </w:p>
        </w:tc>
        <w:tc>
          <w:tcPr>
            <w:tcW w:w="172" w:type="dxa"/>
            <w:tcBorders/>
            <w:shd w:fill="auto" w:val="clear"/>
            <w:vAlign w:val="center"/>
          </w:tcPr>
          <w:p>
            <w:pPr>
              <w:pStyle w:val="TableContents"/>
              <w:spacing w:before="0" w:after="283"/>
              <w:rPr/>
            </w:pPr>
            <w:r>
              <w:rPr/>
              <w:t>) </w:t>
            </w:r>
          </w:p>
        </w:tc>
      </w:tr>
      <w:tr>
        <w:trPr/>
        <w:tc>
          <w:tcPr>
            <w:tcW w:w="1143"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2" w:type="dxa"/>
            <w:tcBorders/>
            <w:shd w:fill="auto" w:val="clear"/>
            <w:vAlign w:val="center"/>
          </w:tcPr>
          <w:p>
            <w:pPr>
              <w:pStyle w:val="TableContents"/>
              <w:spacing w:before="0" w:after="283"/>
              <w:rPr/>
            </w:pPr>
            <w:r>
              <w:rPr/>
              <w:t> </w:t>
            </w:r>
          </w:p>
        </w:tc>
      </w:tr>
      <w:tr>
        <w:trPr/>
        <w:tc>
          <w:tcPr>
            <w:tcW w:w="1143"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 March 31,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1,040,000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0"/>
              <w:rPr>
                <w:b/>
                <w:spacing w:val="0"/>
              </w:rPr>
            </w:pPr>
            <w:r>
              <w:rPr>
                <w:b/>
                <w:spacing w:val="0"/>
              </w:rPr>
              <w:t>$</w:t>
            </w:r>
          </w:p>
        </w:tc>
        <w:tc>
          <w:tcPr>
            <w:tcW w:w="653" w:type="dxa"/>
            <w:tcBorders/>
            <w:shd w:fill="CCEEFF" w:val="clear"/>
            <w:vAlign w:val="center"/>
          </w:tcPr>
          <w:p>
            <w:pPr>
              <w:pStyle w:val="TableContents"/>
              <w:spacing w:before="0" w:after="0"/>
              <w:jc w:val="right"/>
              <w:rPr>
                <w:b/>
                <w:spacing w:val="0"/>
              </w:rPr>
            </w:pPr>
            <w:r>
              <w:rPr>
                <w:b/>
                <w:spacing w:val="0"/>
              </w:rPr>
              <w:t>104</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8,000,000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0"/>
              <w:rPr>
                <w:b/>
                <w:spacing w:val="0"/>
              </w:rPr>
            </w:pPr>
            <w:r>
              <w:rPr>
                <w:b/>
                <w:spacing w:val="0"/>
              </w:rPr>
              <w:t>$</w:t>
            </w:r>
          </w:p>
        </w:tc>
        <w:tc>
          <w:tcPr>
            <w:tcW w:w="653" w:type="dxa"/>
            <w:tcBorders/>
            <w:shd w:fill="CCEEFF" w:val="clear"/>
            <w:vAlign w:val="center"/>
          </w:tcPr>
          <w:p>
            <w:pPr>
              <w:pStyle w:val="TableContents"/>
              <w:spacing w:before="0" w:after="0"/>
              <w:jc w:val="right"/>
              <w:rPr>
                <w:b/>
                <w:spacing w:val="0"/>
              </w:rPr>
            </w:pPr>
            <w:r>
              <w:rPr>
                <w:b/>
                <w:spacing w:val="0"/>
              </w:rPr>
              <w:t>800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65" w:type="dxa"/>
            <w:tcBorders/>
            <w:shd w:fill="CCEEFF" w:val="clear"/>
            <w:vAlign w:val="center"/>
          </w:tcPr>
          <w:p>
            <w:pPr>
              <w:pStyle w:val="TableContents"/>
              <w:spacing w:before="0" w:after="0"/>
              <w:rPr>
                <w:b/>
                <w:spacing w:val="0"/>
              </w:rPr>
            </w:pPr>
            <w:r>
              <w:rPr>
                <w:b/>
                <w:spacing w:val="0"/>
              </w:rPr>
              <w:t>$</w:t>
            </w:r>
          </w:p>
        </w:tc>
        <w:tc>
          <w:tcPr>
            <w:tcW w:w="835" w:type="dxa"/>
            <w:tcBorders/>
            <w:shd w:fill="CCEEFF" w:val="clear"/>
            <w:vAlign w:val="center"/>
          </w:tcPr>
          <w:p>
            <w:pPr>
              <w:pStyle w:val="TableContents"/>
              <w:spacing w:before="0" w:after="0"/>
              <w:jc w:val="right"/>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br/>
              <w:t> </w:t>
            </w:r>
          </w:p>
        </w:tc>
        <w:tc>
          <w:tcPr>
            <w:tcW w:w="1235" w:type="dxa"/>
            <w:tcBorders/>
            <w:shd w:fill="CCEEFF" w:val="clear"/>
            <w:vAlign w:val="center"/>
          </w:tcPr>
          <w:p>
            <w:pPr>
              <w:pStyle w:val="TableContents"/>
              <w:spacing w:before="0" w:after="0"/>
              <w:jc w:val="right"/>
              <w:rPr>
                <w:spacing w:val="0"/>
              </w:rPr>
            </w:pPr>
            <w:r>
              <w:rPr>
                <w:spacing w:val="0"/>
              </w:rPr>
              <w:t> </w:t>
            </w:r>
            <w:r>
              <w:rPr>
                <w:b/>
                <w:spacing w:val="0"/>
              </w:rPr>
              <w:br/>
              <w:t>(15,845,448</w:t>
            </w:r>
          </w:p>
        </w:tc>
        <w:tc>
          <w:tcPr>
            <w:tcW w:w="155" w:type="dxa"/>
            <w:tcBorders/>
            <w:shd w:fill="CCEEFF" w:val="clear"/>
            <w:vAlign w:val="center"/>
          </w:tcPr>
          <w:p>
            <w:pPr>
              <w:pStyle w:val="TableContents"/>
              <w:spacing w:before="0" w:after="0"/>
              <w:rPr>
                <w:spacing w:val="0"/>
              </w:rPr>
            </w:pPr>
            <w:r>
              <w:rPr>
                <w:spacing w:val="0"/>
              </w:rPr>
              <w:t> </w:t>
            </w:r>
            <w:r>
              <w:rPr>
                <w:b/>
                <w:spacing w:val="0"/>
              </w:rPr>
              <w:b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br/>
              <w:t> </w:t>
            </w:r>
          </w:p>
        </w:tc>
        <w:tc>
          <w:tcPr>
            <w:tcW w:w="1240" w:type="dxa"/>
            <w:tcBorders/>
            <w:shd w:fill="CCEEFF" w:val="clear"/>
            <w:vAlign w:val="center"/>
          </w:tcPr>
          <w:p>
            <w:pPr>
              <w:pStyle w:val="TableContents"/>
              <w:spacing w:before="0" w:after="0"/>
              <w:jc w:val="right"/>
              <w:rPr>
                <w:spacing w:val="0"/>
              </w:rPr>
            </w:pPr>
            <w:r>
              <w:rPr>
                <w:spacing w:val="0"/>
              </w:rPr>
              <w:t> </w:t>
            </w:r>
            <w:r>
              <w:rPr>
                <w:b/>
                <w:spacing w:val="0"/>
              </w:rPr>
              <w:br/>
              <w:t>(15,844,544</w:t>
            </w:r>
          </w:p>
        </w:tc>
        <w:tc>
          <w:tcPr>
            <w:tcW w:w="172" w:type="dxa"/>
            <w:tcBorders/>
            <w:shd w:fill="CCEEFF" w:val="clear"/>
            <w:vAlign w:val="center"/>
          </w:tcPr>
          <w:p>
            <w:pPr>
              <w:pStyle w:val="TableContents"/>
              <w:spacing w:before="0" w:after="0"/>
              <w:rPr>
                <w:spacing w:val="0"/>
              </w:rPr>
            </w:pPr>
            <w:r>
              <w:rPr>
                <w:spacing w:val="0"/>
              </w:rPr>
              <w:t> </w:t>
            </w:r>
            <w:r>
              <w:rPr>
                <w:b/>
                <w:spacing w:val="0"/>
              </w:rPr>
              <w:br/>
              <w:t>) </w:t>
            </w:r>
          </w:p>
        </w:tc>
      </w:tr>
      <w:tr>
        <w:trPr/>
        <w:tc>
          <w:tcPr>
            <w:tcW w:w="1143"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2"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11730" w:type="dxa"/>
        <w:jc w:val="left"/>
        <w:tblInd w:w="0" w:type="dxa"/>
        <w:tblCellMar>
          <w:top w:w="0" w:type="dxa"/>
          <w:left w:w="0" w:type="dxa"/>
          <w:bottom w:w="0" w:type="dxa"/>
          <w:right w:w="0" w:type="dxa"/>
        </w:tblCellMar>
      </w:tblPr>
      <w:tblGrid>
        <w:gridCol w:w="2435"/>
        <w:gridCol w:w="120"/>
        <w:gridCol w:w="60"/>
        <w:gridCol w:w="980"/>
        <w:gridCol w:w="60"/>
        <w:gridCol w:w="120"/>
        <w:gridCol w:w="207"/>
        <w:gridCol w:w="653"/>
        <w:gridCol w:w="60"/>
        <w:gridCol w:w="120"/>
        <w:gridCol w:w="60"/>
        <w:gridCol w:w="980"/>
        <w:gridCol w:w="60"/>
        <w:gridCol w:w="120"/>
        <w:gridCol w:w="207"/>
        <w:gridCol w:w="653"/>
        <w:gridCol w:w="60"/>
        <w:gridCol w:w="120"/>
        <w:gridCol w:w="140"/>
        <w:gridCol w:w="1175"/>
        <w:gridCol w:w="155"/>
        <w:gridCol w:w="60"/>
        <w:gridCol w:w="152"/>
        <w:gridCol w:w="1218"/>
        <w:gridCol w:w="155"/>
        <w:gridCol w:w="60"/>
        <w:gridCol w:w="145"/>
        <w:gridCol w:w="1225"/>
        <w:gridCol w:w="170"/>
      </w:tblGrid>
      <w:tr>
        <w:trPr/>
        <w:tc>
          <w:tcPr>
            <w:tcW w:w="24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435" w:type="dxa"/>
            <w:vMerge w:val="restart"/>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340" w:type="dxa"/>
            <w:gridSpan w:val="14"/>
            <w:tcBorders/>
            <w:shd w:fill="auto" w:val="clear"/>
            <w:vAlign w:val="center"/>
          </w:tcPr>
          <w:p>
            <w:pPr>
              <w:pStyle w:val="TableContents"/>
              <w:spacing w:before="0" w:after="0"/>
              <w:jc w:val="center"/>
              <w:rPr>
                <w:b/>
                <w:spacing w:val="0"/>
              </w:rPr>
            </w:pPr>
            <w:r>
              <w:rPr>
                <w:b/>
                <w:spacing w:val="0"/>
              </w:rPr>
              <w:t>Ordinary 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15" w:type="dxa"/>
            <w:gridSpan w:val="2"/>
            <w:tcBorders/>
            <w:shd w:fill="auto" w:val="clear"/>
            <w:vAlign w:val="center"/>
          </w:tcPr>
          <w:p>
            <w:pPr>
              <w:pStyle w:val="TableContents"/>
              <w:spacing w:before="0" w:after="0"/>
              <w:jc w:val="center"/>
              <w:rPr>
                <w:b/>
                <w:spacing w:val="0"/>
              </w:rPr>
            </w:pPr>
            <w:r>
              <w:rPr>
                <w:b/>
                <w:spacing w:val="0"/>
              </w:rPr>
              <w:t>Additional</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0"/>
              <w:jc w:val="center"/>
              <w:rPr>
                <w:b/>
                <w:spacing w:val="0"/>
              </w:rPr>
            </w:pPr>
            <w:r>
              <w:rPr>
                <w:b/>
                <w:spacing w:val="0"/>
              </w:rPr>
              <w:t>Total</w:t>
            </w:r>
          </w:p>
        </w:tc>
        <w:tc>
          <w:tcPr>
            <w:tcW w:w="170" w:type="dxa"/>
            <w:tcBorders/>
            <w:shd w:fill="auto" w:val="clear"/>
            <w:vAlign w:val="center"/>
          </w:tcPr>
          <w:p>
            <w:pPr>
              <w:pStyle w:val="TableContents"/>
              <w:spacing w:before="0" w:after="283"/>
              <w:rPr/>
            </w:pPr>
            <w:r>
              <w:rPr/>
              <w:t> </w:t>
            </w:r>
          </w:p>
        </w:tc>
      </w:tr>
      <w:tr>
        <w:trPr/>
        <w:tc>
          <w:tcPr>
            <w:tcW w:w="243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2080" w:type="dxa"/>
            <w:gridSpan w:val="6"/>
            <w:tcBorders/>
            <w:shd w:fill="auto" w:val="clear"/>
            <w:vAlign w:val="center"/>
          </w:tcPr>
          <w:p>
            <w:pPr>
              <w:pStyle w:val="TableContents"/>
              <w:spacing w:before="0" w:after="0"/>
              <w:jc w:val="center"/>
              <w:rPr>
                <w:b/>
                <w:spacing w:val="0"/>
              </w:rPr>
            </w:pPr>
            <w:r>
              <w:rPr>
                <w:b/>
                <w:spacing w:val="0"/>
              </w:rPr>
              <w:t>Class 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0" w:type="dxa"/>
            <w:gridSpan w:val="6"/>
            <w:tcBorders/>
            <w:shd w:fill="auto" w:val="clear"/>
            <w:vAlign w:val="center"/>
          </w:tcPr>
          <w:p>
            <w:pPr>
              <w:pStyle w:val="TableContents"/>
              <w:spacing w:before="0" w:after="0"/>
              <w:jc w:val="center"/>
              <w:rPr>
                <w:b/>
                <w:spacing w:val="0"/>
              </w:rPr>
            </w:pPr>
            <w:r>
              <w:rPr>
                <w:b/>
                <w:spacing w:val="0"/>
              </w:rPr>
              <w:t>Class B</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15" w:type="dxa"/>
            <w:gridSpan w:val="2"/>
            <w:tcBorders/>
            <w:shd w:fill="auto" w:val="clear"/>
            <w:vAlign w:val="center"/>
          </w:tcPr>
          <w:p>
            <w:pPr>
              <w:pStyle w:val="TableContents"/>
              <w:spacing w:before="0" w:after="0"/>
              <w:jc w:val="center"/>
              <w:rPr>
                <w:b/>
                <w:spacing w:val="0"/>
              </w:rPr>
            </w:pPr>
            <w:r>
              <w:rPr>
                <w:b/>
                <w:spacing w:val="0"/>
              </w:rPr>
              <w:t>Paid-in</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0"/>
              <w:jc w:val="center"/>
              <w:rPr>
                <w:b/>
                <w:spacing w:val="0"/>
              </w:rPr>
            </w:pPr>
            <w:r>
              <w:rPr>
                <w:b/>
                <w:spacing w:val="0"/>
              </w:rPr>
              <w:t>Accumulated</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0"/>
              <w:jc w:val="center"/>
              <w:rPr>
                <w:b/>
                <w:spacing w:val="0"/>
              </w:rPr>
            </w:pPr>
            <w:r>
              <w:rPr>
                <w:b/>
                <w:spacing w:val="0"/>
              </w:rPr>
              <w:t>Shareholders’</w:t>
            </w:r>
          </w:p>
        </w:tc>
        <w:tc>
          <w:tcPr>
            <w:tcW w:w="170" w:type="dxa"/>
            <w:tcBorders/>
            <w:shd w:fill="auto" w:val="clear"/>
            <w:vAlign w:val="center"/>
          </w:tcPr>
          <w:p>
            <w:pPr>
              <w:pStyle w:val="TableContents"/>
              <w:spacing w:before="0" w:after="283"/>
              <w:rPr/>
            </w:pPr>
            <w:r>
              <w:rPr/>
              <w:t> </w:t>
            </w:r>
          </w:p>
        </w:tc>
      </w:tr>
      <w:tr>
        <w:trPr/>
        <w:tc>
          <w:tcPr>
            <w:tcW w:w="24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15" w:type="dxa"/>
            <w:gridSpan w:val="2"/>
            <w:tcBorders/>
            <w:shd w:fill="auto" w:val="clear"/>
            <w:vAlign w:val="center"/>
          </w:tcPr>
          <w:p>
            <w:pPr>
              <w:pStyle w:val="TableContents"/>
              <w:spacing w:before="0" w:after="0"/>
              <w:jc w:val="center"/>
              <w:rPr>
                <w:b/>
                <w:spacing w:val="0"/>
              </w:rPr>
            </w:pPr>
            <w:r>
              <w:rPr>
                <w:b/>
                <w:spacing w:val="0"/>
              </w:rPr>
              <w:t>Capital</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0"/>
              <w:jc w:val="center"/>
              <w:rPr>
                <w:b/>
                <w:spacing w:val="0"/>
              </w:rPr>
            </w:pPr>
            <w:r>
              <w:rPr>
                <w:b/>
                <w:spacing w:val="0"/>
              </w:rPr>
              <w:t>Deficit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0"/>
              <w:jc w:val="center"/>
              <w:rPr>
                <w:b/>
                <w:spacing w:val="0"/>
              </w:rPr>
            </w:pPr>
            <w:r>
              <w:rPr>
                <w:b/>
                <w:spacing w:val="0"/>
              </w:rPr>
              <w:t>Deficit</w:t>
            </w:r>
          </w:p>
        </w:tc>
        <w:tc>
          <w:tcPr>
            <w:tcW w:w="170" w:type="dxa"/>
            <w:tcBorders/>
            <w:shd w:fill="auto" w:val="clear"/>
            <w:vAlign w:val="center"/>
          </w:tcPr>
          <w:p>
            <w:pPr>
              <w:pStyle w:val="TableContents"/>
              <w:spacing w:before="0" w:after="283"/>
              <w:rPr/>
            </w:pPr>
            <w:r>
              <w:rPr/>
              <w:t> </w:t>
            </w:r>
          </w:p>
        </w:tc>
      </w:tr>
      <w:tr>
        <w:trPr/>
        <w:tc>
          <w:tcPr>
            <w:tcW w:w="243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 December 31, 2020</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0"/>
              <w:rPr>
                <w:b/>
                <w:spacing w:val="0"/>
              </w:rPr>
            </w:pPr>
            <w:r>
              <w:rPr>
                <w:b/>
                <w:spacing w:val="0"/>
              </w:rPr>
              <w:t>$</w:t>
            </w:r>
          </w:p>
        </w:tc>
        <w:tc>
          <w:tcPr>
            <w:tcW w:w="653" w:type="dxa"/>
            <w:tcBorders/>
            <w:shd w:fill="CCEEFF" w:val="clear"/>
            <w:vAlign w:val="center"/>
          </w:tcPr>
          <w:p>
            <w:pPr>
              <w:pStyle w:val="TableContents"/>
              <w:spacing w:before="0" w:after="0"/>
              <w:jc w:val="right"/>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8,000,000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0"/>
              <w:rPr>
                <w:b/>
                <w:spacing w:val="0"/>
              </w:rPr>
            </w:pPr>
            <w:r>
              <w:rPr>
                <w:b/>
                <w:spacing w:val="0"/>
              </w:rPr>
              <w:t>$</w:t>
            </w:r>
          </w:p>
        </w:tc>
        <w:tc>
          <w:tcPr>
            <w:tcW w:w="653" w:type="dxa"/>
            <w:tcBorders/>
            <w:shd w:fill="CCEEFF" w:val="clear"/>
            <w:vAlign w:val="center"/>
          </w:tcPr>
          <w:p>
            <w:pPr>
              <w:pStyle w:val="TableContents"/>
              <w:spacing w:before="0" w:after="0"/>
              <w:jc w:val="right"/>
              <w:rPr>
                <w:spacing w:val="0"/>
              </w:rPr>
            </w:pPr>
            <w:r>
              <w:rPr>
                <w:spacing w:val="0"/>
              </w:rPr>
              <w:t> </w:t>
            </w:r>
            <w:r>
              <w:rPr>
                <w:b/>
                <w:spacing w:val="0"/>
              </w:rPr>
              <w:t>800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1175" w:type="dxa"/>
            <w:tcBorders/>
            <w:shd w:fill="CCEEFF" w:val="clear"/>
            <w:vAlign w:val="center"/>
          </w:tcPr>
          <w:p>
            <w:pPr>
              <w:pStyle w:val="TableContents"/>
              <w:spacing w:before="0" w:after="0"/>
              <w:jc w:val="right"/>
              <w:rPr>
                <w:spacing w:val="0"/>
              </w:rPr>
            </w:pPr>
            <w:r>
              <w:rPr>
                <w:spacing w:val="0"/>
              </w:rPr>
              <w:t> </w:t>
            </w:r>
            <w:r>
              <w:rPr>
                <w:b/>
                <w:spacing w:val="0"/>
              </w:rPr>
              <w:t>24,200</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0"/>
              <w:rPr>
                <w:b/>
                <w:spacing w:val="0"/>
              </w:rPr>
            </w:pPr>
            <w:r>
              <w:rPr>
                <w:b/>
                <w:spacing w:val="0"/>
              </w:rPr>
              <w:t>$</w:t>
            </w:r>
          </w:p>
        </w:tc>
        <w:tc>
          <w:tcPr>
            <w:tcW w:w="1218" w:type="dxa"/>
            <w:tcBorders/>
            <w:shd w:fill="CCEEFF" w:val="clear"/>
            <w:vAlign w:val="center"/>
          </w:tcPr>
          <w:p>
            <w:pPr>
              <w:pStyle w:val="TableContents"/>
              <w:spacing w:before="0" w:after="0"/>
              <w:jc w:val="right"/>
              <w:rPr>
                <w:b/>
                <w:spacing w:val="0"/>
              </w:rPr>
            </w:pPr>
            <w:r>
              <w:rPr>
                <w:b/>
                <w:spacing w:val="0"/>
              </w:rPr>
              <w:t>(18,846</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0"/>
              <w:rPr>
                <w:b/>
                <w:spacing w:val="0"/>
              </w:rPr>
            </w:pPr>
            <w:r>
              <w:rPr>
                <w:b/>
                <w:spacing w:val="0"/>
              </w:rPr>
              <w:t>$</w:t>
            </w:r>
          </w:p>
        </w:tc>
        <w:tc>
          <w:tcPr>
            <w:tcW w:w="1225" w:type="dxa"/>
            <w:tcBorders/>
            <w:shd w:fill="CCEEFF" w:val="clear"/>
            <w:vAlign w:val="center"/>
          </w:tcPr>
          <w:p>
            <w:pPr>
              <w:pStyle w:val="TableContents"/>
              <w:spacing w:before="0" w:after="0"/>
              <w:jc w:val="right"/>
              <w:rPr>
                <w:spacing w:val="0"/>
              </w:rPr>
            </w:pPr>
            <w:r>
              <w:rPr>
                <w:spacing w:val="0"/>
              </w:rPr>
              <w:t> </w:t>
            </w:r>
            <w:r>
              <w:rPr>
                <w:b/>
                <w:spacing w:val="0"/>
              </w:rPr>
              <w:t>6,154</w:t>
            </w:r>
          </w:p>
        </w:tc>
        <w:tc>
          <w:tcPr>
            <w:tcW w:w="170" w:type="dxa"/>
            <w:tcBorders/>
            <w:shd w:fill="CCEEFF" w:val="clear"/>
            <w:vAlign w:val="center"/>
          </w:tcPr>
          <w:p>
            <w:pPr>
              <w:pStyle w:val="TableContents"/>
              <w:spacing w:before="0" w:after="0"/>
              <w:rPr>
                <w:spacing w:val="0"/>
              </w:rPr>
            </w:pPr>
            <w:r>
              <w:rPr>
                <w:spacing w:val="0"/>
              </w:rPr>
              <w:t> </w:t>
            </w:r>
          </w:p>
        </w:tc>
      </w:tr>
      <w:tr>
        <w:trPr/>
        <w:tc>
          <w:tcPr>
            <w:tcW w:w="24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Sale of private placement shares to Sponsor in private placement, net offering cost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1,040,000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104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10,383,779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1225" w:type="dxa"/>
            <w:tcBorders/>
            <w:shd w:fill="auto" w:val="clear"/>
            <w:vAlign w:val="center"/>
          </w:tcPr>
          <w:p>
            <w:pPr>
              <w:pStyle w:val="TableContents"/>
              <w:spacing w:before="0" w:after="283"/>
              <w:jc w:val="right"/>
              <w:rPr/>
            </w:pPr>
            <w:r>
              <w:rPr/>
              <w:t>10,383,883</w:t>
            </w:r>
          </w:p>
        </w:tc>
        <w:tc>
          <w:tcPr>
            <w:tcW w:w="170" w:type="dxa"/>
            <w:tcBorders/>
            <w:shd w:fill="auto" w:val="clear"/>
            <w:vAlign w:val="center"/>
          </w:tcPr>
          <w:p>
            <w:pPr>
              <w:pStyle w:val="TableContents"/>
              <w:spacing w:before="0" w:after="283"/>
              <w:rPr/>
            </w:pPr>
            <w:r>
              <w:rPr/>
              <w:t> </w:t>
            </w:r>
          </w:p>
        </w:tc>
      </w:tr>
      <w:tr>
        <w:trPr/>
        <w:tc>
          <w:tcPr>
            <w:tcW w:w="24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Accretion of Class A ordinary shares subject to redemption</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rPr/>
            </w:pPr>
            <w:r>
              <w:rPr/>
              <w:t> </w:t>
            </w:r>
          </w:p>
        </w:tc>
        <w:tc>
          <w:tcPr>
            <w:tcW w:w="6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(10,407,979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pPr>
            <w:r>
              <w:rPr/>
              <w:t> </w:t>
            </w:r>
          </w:p>
        </w:tc>
        <w:tc>
          <w:tcPr>
            <w:tcW w:w="1218" w:type="dxa"/>
            <w:tcBorders/>
            <w:shd w:fill="CCEEFF" w:val="clear"/>
            <w:vAlign w:val="center"/>
          </w:tcPr>
          <w:p>
            <w:pPr>
              <w:pStyle w:val="TableContents"/>
              <w:spacing w:before="0" w:after="283"/>
              <w:jc w:val="right"/>
              <w:rPr/>
            </w:pPr>
            <w:r>
              <w:rPr/>
              <w:t>(7,047,545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225" w:type="dxa"/>
            <w:tcBorders/>
            <w:shd w:fill="CCEEFF" w:val="clear"/>
            <w:vAlign w:val="center"/>
          </w:tcPr>
          <w:p>
            <w:pPr>
              <w:pStyle w:val="TableContents"/>
              <w:spacing w:before="0" w:after="283"/>
              <w:jc w:val="right"/>
              <w:rPr/>
            </w:pPr>
            <w:r>
              <w:rPr/>
              <w:t>(17,455,524</w:t>
            </w:r>
          </w:p>
        </w:tc>
        <w:tc>
          <w:tcPr>
            <w:tcW w:w="170" w:type="dxa"/>
            <w:tcBorders/>
            <w:shd w:fill="CCEEFF" w:val="clear"/>
            <w:vAlign w:val="center"/>
          </w:tcPr>
          <w:p>
            <w:pPr>
              <w:pStyle w:val="TableContents"/>
              <w:spacing w:before="0" w:after="283"/>
              <w:rPr/>
            </w:pPr>
            <w:r>
              <w:rPr/>
              <w:t>) </w:t>
            </w:r>
          </w:p>
        </w:tc>
      </w:tr>
      <w:tr>
        <w:trPr/>
        <w:tc>
          <w:tcPr>
            <w:tcW w:w="24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rPr/>
            </w:pPr>
            <w:r>
              <w:rPr/>
              <w:t> </w:t>
            </w:r>
          </w:p>
        </w:tc>
        <w:tc>
          <w:tcPr>
            <w:tcW w:w="1218" w:type="dxa"/>
            <w:tcBorders/>
            <w:shd w:fill="auto" w:val="clear"/>
            <w:vAlign w:val="center"/>
          </w:tcPr>
          <w:p>
            <w:pPr>
              <w:pStyle w:val="TableContents"/>
              <w:spacing w:before="0" w:after="283"/>
              <w:jc w:val="right"/>
              <w:rPr/>
            </w:pPr>
            <w:r>
              <w:rPr/>
              <w:t>(523,923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1225" w:type="dxa"/>
            <w:tcBorders/>
            <w:shd w:fill="auto" w:val="clear"/>
            <w:vAlign w:val="center"/>
          </w:tcPr>
          <w:p>
            <w:pPr>
              <w:pStyle w:val="TableContents"/>
              <w:spacing w:before="0" w:after="283"/>
              <w:jc w:val="right"/>
              <w:rPr/>
            </w:pPr>
            <w:r>
              <w:rPr/>
              <w:t>(523,923</w:t>
            </w:r>
          </w:p>
        </w:tc>
        <w:tc>
          <w:tcPr>
            <w:tcW w:w="170" w:type="dxa"/>
            <w:tcBorders/>
            <w:shd w:fill="auto" w:val="clear"/>
            <w:vAlign w:val="center"/>
          </w:tcPr>
          <w:p>
            <w:pPr>
              <w:pStyle w:val="TableContents"/>
              <w:spacing w:before="0" w:after="283"/>
              <w:rPr/>
            </w:pPr>
            <w:r>
              <w:rPr/>
              <w:t>) </w:t>
            </w:r>
          </w:p>
        </w:tc>
      </w:tr>
      <w:tr>
        <w:trPr/>
        <w:tc>
          <w:tcPr>
            <w:tcW w:w="24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1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43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 March 31, 2021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1,040,000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0"/>
              <w:rPr>
                <w:b/>
                <w:spacing w:val="0"/>
              </w:rPr>
            </w:pPr>
            <w:r>
              <w:rPr>
                <w:b/>
                <w:spacing w:val="0"/>
              </w:rPr>
              <w:t>$</w:t>
            </w:r>
          </w:p>
        </w:tc>
        <w:tc>
          <w:tcPr>
            <w:tcW w:w="653" w:type="dxa"/>
            <w:tcBorders/>
            <w:shd w:fill="CCEEFF" w:val="clear"/>
            <w:vAlign w:val="center"/>
          </w:tcPr>
          <w:p>
            <w:pPr>
              <w:pStyle w:val="TableContents"/>
              <w:spacing w:before="0" w:after="0"/>
              <w:jc w:val="right"/>
              <w:rPr>
                <w:spacing w:val="0"/>
              </w:rPr>
            </w:pPr>
            <w:r>
              <w:rPr>
                <w:spacing w:val="0"/>
              </w:rPr>
              <w:t> </w:t>
            </w:r>
            <w:r>
              <w:rPr>
                <w:b/>
                <w:spacing w:val="0"/>
              </w:rPr>
              <w:t>104</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b/>
                <w:spacing w:val="0"/>
              </w:rPr>
            </w:pPr>
            <w:r>
              <w:rPr>
                <w:b/>
                <w:spacing w:val="0"/>
              </w:rPr>
              <w:t>8,000,000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0"/>
              <w:rPr>
                <w:b/>
                <w:spacing w:val="0"/>
              </w:rPr>
            </w:pPr>
            <w:r>
              <w:rPr>
                <w:b/>
                <w:spacing w:val="0"/>
              </w:rPr>
              <w:t>$</w:t>
            </w:r>
          </w:p>
        </w:tc>
        <w:tc>
          <w:tcPr>
            <w:tcW w:w="653" w:type="dxa"/>
            <w:tcBorders/>
            <w:shd w:fill="CCEEFF" w:val="clear"/>
            <w:vAlign w:val="center"/>
          </w:tcPr>
          <w:p>
            <w:pPr>
              <w:pStyle w:val="TableContents"/>
              <w:spacing w:before="0" w:after="0"/>
              <w:jc w:val="right"/>
              <w:rPr>
                <w:b/>
                <w:spacing w:val="0"/>
              </w:rPr>
            </w:pPr>
            <w:r>
              <w:rPr>
                <w:b/>
                <w:spacing w:val="0"/>
              </w:rPr>
              <w:t>800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1175" w:type="dxa"/>
            <w:tcBorders/>
            <w:shd w:fill="CCEEFF" w:val="clear"/>
            <w:vAlign w:val="center"/>
          </w:tcPr>
          <w:p>
            <w:pPr>
              <w:pStyle w:val="TableContents"/>
              <w:spacing w:before="0" w:after="0"/>
              <w:jc w:val="right"/>
              <w:rPr>
                <w:spacing w:val="0"/>
              </w:rPr>
            </w:pPr>
            <w:r>
              <w:rPr>
                <w:spacing w:val="0"/>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0"/>
              <w:rPr>
                <w:b/>
                <w:spacing w:val="0"/>
              </w:rPr>
            </w:pPr>
            <w:r>
              <w:rPr>
                <w:b/>
                <w:spacing w:val="0"/>
              </w:rPr>
              <w:t>$</w:t>
            </w:r>
          </w:p>
        </w:tc>
        <w:tc>
          <w:tcPr>
            <w:tcW w:w="1218" w:type="dxa"/>
            <w:tcBorders/>
            <w:shd w:fill="CCEEFF" w:val="clear"/>
            <w:vAlign w:val="center"/>
          </w:tcPr>
          <w:p>
            <w:pPr>
              <w:pStyle w:val="TableContents"/>
              <w:spacing w:before="0" w:after="0"/>
              <w:jc w:val="right"/>
              <w:rPr>
                <w:spacing w:val="0"/>
              </w:rPr>
            </w:pPr>
            <w:r>
              <w:rPr>
                <w:spacing w:val="0"/>
              </w:rPr>
              <w:t> </w:t>
            </w:r>
            <w:r>
              <w:rPr>
                <w:b/>
                <w:spacing w:val="0"/>
              </w:rPr>
              <w:t>(7,590,314</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0"/>
              <w:rPr>
                <w:b/>
                <w:spacing w:val="0"/>
              </w:rPr>
            </w:pPr>
            <w:r>
              <w:rPr>
                <w:b/>
                <w:spacing w:val="0"/>
              </w:rPr>
              <w:t>$</w:t>
            </w:r>
          </w:p>
        </w:tc>
        <w:tc>
          <w:tcPr>
            <w:tcW w:w="1225" w:type="dxa"/>
            <w:tcBorders/>
            <w:shd w:fill="CCEEFF" w:val="clear"/>
            <w:vAlign w:val="center"/>
          </w:tcPr>
          <w:p>
            <w:pPr>
              <w:pStyle w:val="TableContents"/>
              <w:spacing w:before="0" w:after="0"/>
              <w:jc w:val="right"/>
              <w:rPr>
                <w:spacing w:val="0"/>
              </w:rPr>
            </w:pPr>
            <w:r>
              <w:rPr>
                <w:spacing w:val="0"/>
              </w:rPr>
              <w:t> </w:t>
            </w:r>
            <w:r>
              <w:rPr>
                <w:b/>
                <w:spacing w:val="0"/>
              </w:rPr>
              <w:t>(7,589,410</w:t>
            </w:r>
          </w:p>
        </w:tc>
        <w:tc>
          <w:tcPr>
            <w:tcW w:w="170" w:type="dxa"/>
            <w:tcBorders/>
            <w:shd w:fill="CCEEFF" w:val="clear"/>
            <w:vAlign w:val="center"/>
          </w:tcPr>
          <w:p>
            <w:pPr>
              <w:pStyle w:val="TableContents"/>
              <w:spacing w:before="0" w:after="0"/>
              <w:rPr>
                <w:b/>
                <w:spacing w:val="0"/>
              </w:rPr>
            </w:pPr>
            <w:r>
              <w:rPr>
                <w:b/>
                <w:spacing w:val="0"/>
              </w:rPr>
              <w:t>) </w:t>
            </w:r>
          </w:p>
        </w:tc>
      </w:tr>
      <w:tr>
        <w:trPr/>
        <w:tc>
          <w:tcPr>
            <w:tcW w:w="24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1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2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The accompanying notes are an int</w:t>
      </w:r>
    </w:p>
    <w:p>
      <w:pPr>
        <w:pStyle w:val="TextBody"/>
        <w:spacing w:before="36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e</w:t>
      </w:r>
    </w:p>
    <w:p>
      <w:pPr>
        <w:pStyle w:val="TextBody"/>
        <w:spacing w:before="36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gral part of these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SVF INVESTMENT CORP. 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CONDENSED STATEMENTS OF CASH FLOWS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5965"/>
        <w:gridCol w:w="120"/>
        <w:gridCol w:w="191"/>
        <w:gridCol w:w="1503"/>
        <w:gridCol w:w="211"/>
        <w:gridCol w:w="82"/>
        <w:gridCol w:w="191"/>
        <w:gridCol w:w="1772"/>
        <w:gridCol w:w="170"/>
      </w:tblGrid>
      <w:tr>
        <w:trPr/>
        <w:tc>
          <w:tcPr>
            <w:tcW w:w="59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77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50" w:type="dxa"/>
            <w:gridSpan w:val="6"/>
            <w:tcBorders/>
            <w:shd w:fill="auto" w:val="clear"/>
            <w:vAlign w:val="center"/>
          </w:tcPr>
          <w:p>
            <w:pPr>
              <w:pStyle w:val="TableContents"/>
              <w:spacing w:before="0" w:after="0"/>
              <w:jc w:val="center"/>
              <w:rPr>
                <w:b/>
                <w:spacing w:val="0"/>
              </w:rPr>
            </w:pPr>
            <w:r>
              <w:rPr>
                <w:b/>
                <w:spacing w:val="0"/>
              </w:rPr>
              <w:t>For the three months ended March, 31</w:t>
            </w:r>
          </w:p>
        </w:tc>
        <w:tc>
          <w:tcPr>
            <w:tcW w:w="170" w:type="dxa"/>
            <w:tcBorders/>
            <w:shd w:fill="auto"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94" w:type="dxa"/>
            <w:gridSpan w:val="2"/>
            <w:tcBorders/>
            <w:shd w:fill="auto" w:val="clear"/>
            <w:vAlign w:val="center"/>
          </w:tcPr>
          <w:p>
            <w:pPr>
              <w:pStyle w:val="TableContents"/>
              <w:spacing w:before="0" w:after="0"/>
              <w:jc w:val="center"/>
              <w:rPr>
                <w:b/>
                <w:spacing w:val="0"/>
              </w:rPr>
            </w:pPr>
            <w:r>
              <w:rPr>
                <w:b/>
                <w:spacing w:val="0"/>
              </w:rPr>
              <w:t>2022</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63" w:type="dxa"/>
            <w:gridSpan w:val="2"/>
            <w:tcBorders/>
            <w:shd w:fill="auto" w:val="clear"/>
            <w:vAlign w:val="center"/>
          </w:tcPr>
          <w:p>
            <w:pPr>
              <w:pStyle w:val="TableContents"/>
              <w:spacing w:before="0" w:after="0"/>
              <w:jc w:val="center"/>
              <w:rPr>
                <w:b/>
                <w:spacing w:val="0"/>
              </w:rPr>
            </w:pPr>
            <w:r>
              <w:rPr>
                <w:b/>
                <w:spacing w:val="0"/>
              </w:rPr>
              <w:t>2021</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772"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w:t>
            </w:r>
          </w:p>
        </w:tc>
        <w:tc>
          <w:tcPr>
            <w:tcW w:w="1503" w:type="dxa"/>
            <w:tcBorders/>
            <w:shd w:fill="auto" w:val="clear"/>
            <w:vAlign w:val="center"/>
          </w:tcPr>
          <w:p>
            <w:pPr>
              <w:pStyle w:val="TableContents"/>
              <w:spacing w:before="0" w:after="283"/>
              <w:jc w:val="right"/>
              <w:rPr/>
            </w:pPr>
            <w:r>
              <w:rPr/>
              <w:t>(2,303,304</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w:t>
            </w:r>
          </w:p>
        </w:tc>
        <w:tc>
          <w:tcPr>
            <w:tcW w:w="1772" w:type="dxa"/>
            <w:tcBorders/>
            <w:shd w:fill="auto" w:val="clear"/>
            <w:vAlign w:val="center"/>
          </w:tcPr>
          <w:p>
            <w:pPr>
              <w:pStyle w:val="TableContents"/>
              <w:spacing w:before="0" w:after="283"/>
              <w:jc w:val="right"/>
              <w:rPr/>
            </w:pPr>
            <w:r>
              <w:rPr/>
              <w:t>(523,923</w:t>
            </w:r>
          </w:p>
        </w:tc>
        <w:tc>
          <w:tcPr>
            <w:tcW w:w="170" w:type="dxa"/>
            <w:tcBorders/>
            <w:shd w:fill="auto"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Adjustments to reconcile net loss to net cash used in operating activities:</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772"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from investments held in Trust Account</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(26,603</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772" w:type="dxa"/>
            <w:tcBorders/>
            <w:shd w:fill="auto" w:val="clear"/>
            <w:vAlign w:val="center"/>
          </w:tcPr>
          <w:p>
            <w:pPr>
              <w:pStyle w:val="TableContents"/>
              <w:spacing w:before="0" w:after="283"/>
              <w:jc w:val="right"/>
              <w:rPr/>
            </w:pPr>
            <w:r>
              <w:rPr/>
              <w:t>(1,069</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 expenses paid by related party under note payable</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  </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772" w:type="dxa"/>
            <w:tcBorders/>
            <w:shd w:fill="CCEEFF" w:val="clear"/>
            <w:vAlign w:val="center"/>
          </w:tcPr>
          <w:p>
            <w:pPr>
              <w:pStyle w:val="TableContents"/>
              <w:spacing w:before="0" w:after="283"/>
              <w:jc w:val="right"/>
              <w:rPr/>
            </w:pPr>
            <w:r>
              <w:rPr/>
              <w:t>44,617</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772"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expenses</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142,218</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772" w:type="dxa"/>
            <w:tcBorders/>
            <w:shd w:fill="CCEEFF" w:val="clear"/>
            <w:vAlign w:val="center"/>
          </w:tcPr>
          <w:p>
            <w:pPr>
              <w:pStyle w:val="TableContents"/>
              <w:spacing w:before="0" w:after="283"/>
              <w:jc w:val="right"/>
              <w:rPr/>
            </w:pPr>
            <w:r>
              <w:rPr/>
              <w:t>(1,422,818</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Due from related party</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772" w:type="dxa"/>
            <w:tcBorders/>
            <w:shd w:fill="auto" w:val="clear"/>
            <w:vAlign w:val="center"/>
          </w:tcPr>
          <w:p>
            <w:pPr>
              <w:pStyle w:val="TableContents"/>
              <w:spacing w:before="0" w:after="283"/>
              <w:jc w:val="right"/>
              <w:rPr/>
            </w:pPr>
            <w:r>
              <w:rPr/>
              <w:t>(84,054</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9,554</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772" w:type="dxa"/>
            <w:tcBorders/>
            <w:shd w:fill="CCEEFF" w:val="clear"/>
            <w:vAlign w:val="center"/>
          </w:tcPr>
          <w:p>
            <w:pPr>
              <w:pStyle w:val="TableContents"/>
              <w:spacing w:before="0" w:after="283"/>
              <w:jc w:val="right"/>
              <w:rPr/>
            </w:pPr>
            <w:r>
              <w:rPr/>
              <w:t>1,029</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expenses</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1,209,519</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772" w:type="dxa"/>
            <w:tcBorders/>
            <w:shd w:fill="auto" w:val="clear"/>
            <w:vAlign w:val="center"/>
          </w:tcPr>
          <w:p>
            <w:pPr>
              <w:pStyle w:val="TableContents"/>
              <w:spacing w:before="0" w:after="283"/>
              <w:jc w:val="right"/>
              <w:rPr/>
            </w:pPr>
            <w:r>
              <w:rPr/>
              <w:t>399,939</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Due to related party</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437,624</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772" w:type="dxa"/>
            <w:tcBorders/>
            <w:shd w:fill="CCEEFF" w:val="clear"/>
            <w:vAlign w:val="center"/>
          </w:tcPr>
          <w:p>
            <w:pPr>
              <w:pStyle w:val="TableContents"/>
              <w:spacing w:before="0" w:after="283"/>
              <w:jc w:val="right"/>
              <w:rPr/>
            </w:pPr>
            <w:r>
              <w:rPr/>
              <w:t>(16,726</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cash used in operating activities</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(530,992</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772" w:type="dxa"/>
            <w:tcBorders/>
            <w:shd w:fill="auto" w:val="clear"/>
            <w:vAlign w:val="center"/>
          </w:tcPr>
          <w:p>
            <w:pPr>
              <w:pStyle w:val="TableContents"/>
              <w:spacing w:before="0" w:after="283"/>
              <w:jc w:val="right"/>
              <w:rPr/>
            </w:pPr>
            <w:r>
              <w:rPr/>
              <w:t>(1,569,553</w:t>
            </w:r>
          </w:p>
        </w:tc>
        <w:tc>
          <w:tcPr>
            <w:tcW w:w="170" w:type="dxa"/>
            <w:tcBorders/>
            <w:shd w:fill="auto"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772"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deposited in Trust Account</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772" w:type="dxa"/>
            <w:tcBorders/>
            <w:shd w:fill="auto" w:val="clear"/>
            <w:vAlign w:val="center"/>
          </w:tcPr>
          <w:p>
            <w:pPr>
              <w:pStyle w:val="TableContents"/>
              <w:spacing w:before="0" w:after="283"/>
              <w:jc w:val="right"/>
              <w:rPr/>
            </w:pPr>
            <w:r>
              <w:rPr/>
              <w:t>(320,000,000</w:t>
            </w:r>
          </w:p>
        </w:tc>
        <w:tc>
          <w:tcPr>
            <w:tcW w:w="170" w:type="dxa"/>
            <w:tcBorders/>
            <w:shd w:fill="auto"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cash used in investing activities</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  </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772" w:type="dxa"/>
            <w:tcBorders/>
            <w:shd w:fill="CCEEFF" w:val="clear"/>
            <w:vAlign w:val="center"/>
          </w:tcPr>
          <w:p>
            <w:pPr>
              <w:pStyle w:val="TableContents"/>
              <w:spacing w:before="0" w:after="283"/>
              <w:jc w:val="right"/>
              <w:rPr/>
            </w:pPr>
            <w:r>
              <w:rPr/>
              <w:t>(320,000,000</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772"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from working capital loan – related party</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3,000,000</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772"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Repayment of note payable to related party</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772" w:type="dxa"/>
            <w:tcBorders/>
            <w:shd w:fill="auto" w:val="clear"/>
            <w:vAlign w:val="center"/>
          </w:tcPr>
          <w:p>
            <w:pPr>
              <w:pStyle w:val="TableContents"/>
              <w:spacing w:before="0" w:after="283"/>
              <w:jc w:val="right"/>
              <w:rPr/>
            </w:pPr>
            <w:r>
              <w:rPr/>
              <w:t>(413,562</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received from initial public offering, gross</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  —</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772" w:type="dxa"/>
            <w:tcBorders/>
            <w:shd w:fill="CCEEFF" w:val="clear"/>
            <w:vAlign w:val="center"/>
          </w:tcPr>
          <w:p>
            <w:pPr>
              <w:pStyle w:val="TableContents"/>
              <w:spacing w:before="0" w:after="283"/>
              <w:jc w:val="right"/>
              <w:rPr/>
            </w:pPr>
            <w:r>
              <w:rPr/>
              <w:t>320,000,000</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received from private placement</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772" w:type="dxa"/>
            <w:tcBorders/>
            <w:shd w:fill="auto" w:val="clear"/>
            <w:vAlign w:val="center"/>
          </w:tcPr>
          <w:p>
            <w:pPr>
              <w:pStyle w:val="TableContents"/>
              <w:spacing w:before="0" w:after="283"/>
              <w:jc w:val="right"/>
              <w:rPr/>
            </w:pPr>
            <w:r>
              <w:rPr/>
              <w:t>10,400,000</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Offering costs paid</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  —</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772" w:type="dxa"/>
            <w:tcBorders/>
            <w:shd w:fill="CCEEFF" w:val="clear"/>
            <w:vAlign w:val="center"/>
          </w:tcPr>
          <w:p>
            <w:pPr>
              <w:pStyle w:val="TableContents"/>
              <w:spacing w:before="0" w:after="283"/>
              <w:jc w:val="right"/>
              <w:rPr/>
            </w:pPr>
            <w:r>
              <w:rPr/>
              <w:t>(6,430,750</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cash provided by financing activities</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3,000,000</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772" w:type="dxa"/>
            <w:tcBorders/>
            <w:shd w:fill="auto" w:val="clear"/>
            <w:vAlign w:val="center"/>
          </w:tcPr>
          <w:p>
            <w:pPr>
              <w:pStyle w:val="TableContents"/>
              <w:spacing w:before="0" w:after="283"/>
              <w:jc w:val="right"/>
              <w:rPr/>
            </w:pPr>
            <w:r>
              <w:rPr/>
              <w:t>323,555,688</w:t>
            </w:r>
          </w:p>
        </w:tc>
        <w:tc>
          <w:tcPr>
            <w:tcW w:w="170" w:type="dxa"/>
            <w:tcBorders/>
            <w:shd w:fill="auto"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increase in cash</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2,469,008</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772" w:type="dxa"/>
            <w:tcBorders/>
            <w:shd w:fill="CCEEFF" w:val="clear"/>
            <w:vAlign w:val="center"/>
          </w:tcPr>
          <w:p>
            <w:pPr>
              <w:pStyle w:val="TableContents"/>
              <w:spacing w:before="0" w:after="283"/>
              <w:jc w:val="right"/>
              <w:rPr/>
            </w:pPr>
            <w:r>
              <w:rPr/>
              <w:t>1,986,135</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 beginning of period</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w:t>
            </w:r>
          </w:p>
        </w:tc>
        <w:tc>
          <w:tcPr>
            <w:tcW w:w="1503" w:type="dxa"/>
            <w:tcBorders/>
            <w:shd w:fill="auto" w:val="clear"/>
            <w:vAlign w:val="center"/>
          </w:tcPr>
          <w:p>
            <w:pPr>
              <w:pStyle w:val="TableContents"/>
              <w:spacing w:before="0" w:after="283"/>
              <w:jc w:val="right"/>
              <w:rPr/>
            </w:pPr>
            <w:r>
              <w:rPr/>
              <w:t>812,884</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w:t>
            </w:r>
          </w:p>
        </w:tc>
        <w:tc>
          <w:tcPr>
            <w:tcW w:w="1772"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 end of period</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w:t>
            </w:r>
          </w:p>
        </w:tc>
        <w:tc>
          <w:tcPr>
            <w:tcW w:w="1503" w:type="dxa"/>
            <w:tcBorders/>
            <w:shd w:fill="CCEEFF" w:val="clear"/>
            <w:vAlign w:val="center"/>
          </w:tcPr>
          <w:p>
            <w:pPr>
              <w:pStyle w:val="TableContents"/>
              <w:spacing w:before="0" w:after="283"/>
              <w:jc w:val="right"/>
              <w:rPr/>
            </w:pPr>
            <w:r>
              <w:rPr/>
              <w:t>3,281,892</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w:t>
            </w:r>
          </w:p>
        </w:tc>
        <w:tc>
          <w:tcPr>
            <w:tcW w:w="1772" w:type="dxa"/>
            <w:tcBorders/>
            <w:shd w:fill="CCEEFF" w:val="clear"/>
            <w:vAlign w:val="center"/>
          </w:tcPr>
          <w:p>
            <w:pPr>
              <w:pStyle w:val="TableContents"/>
              <w:spacing w:before="0" w:after="283"/>
              <w:jc w:val="right"/>
              <w:rPr/>
            </w:pPr>
            <w:r>
              <w:rPr/>
              <w:t>1,986,135</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0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7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Supplemental disclosures of noncash investing and financing activities:</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772"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Offering costs included in accounts payable</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w:t>
            </w:r>
          </w:p>
        </w:tc>
        <w:tc>
          <w:tcPr>
            <w:tcW w:w="1503" w:type="dxa"/>
            <w:tcBorders/>
            <w:shd w:fill="CCEEFF" w:val="clear"/>
            <w:vAlign w:val="center"/>
          </w:tcPr>
          <w:p>
            <w:pPr>
              <w:pStyle w:val="TableContents"/>
              <w:spacing w:before="0" w:after="283"/>
              <w:jc w:val="right"/>
              <w:rPr/>
            </w:pPr>
            <w:r>
              <w:rPr/>
              <w:t>—  </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w:t>
            </w:r>
          </w:p>
        </w:tc>
        <w:tc>
          <w:tcPr>
            <w:tcW w:w="1772" w:type="dxa"/>
            <w:tcBorders/>
            <w:shd w:fill="CCEEFF" w:val="clear"/>
            <w:vAlign w:val="center"/>
          </w:tcPr>
          <w:p>
            <w:pPr>
              <w:pStyle w:val="TableContents"/>
              <w:spacing w:before="0" w:after="283"/>
              <w:jc w:val="right"/>
              <w:rPr/>
            </w:pPr>
            <w:r>
              <w:rPr/>
              <w:t>57,979</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Offering costs included in accrued expenses</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w:t>
            </w:r>
          </w:p>
        </w:tc>
        <w:tc>
          <w:tcPr>
            <w:tcW w:w="1503" w:type="dxa"/>
            <w:tcBorders/>
            <w:shd w:fill="auto" w:val="clear"/>
            <w:vAlign w:val="center"/>
          </w:tcPr>
          <w:p>
            <w:pPr>
              <w:pStyle w:val="TableContents"/>
              <w:spacing w:before="0" w:after="283"/>
              <w:jc w:val="right"/>
              <w:rPr/>
            </w:pPr>
            <w:r>
              <w:rPr/>
              <w:t>70,000</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w:t>
            </w:r>
          </w:p>
        </w:tc>
        <w:tc>
          <w:tcPr>
            <w:tcW w:w="1772" w:type="dxa"/>
            <w:tcBorders/>
            <w:shd w:fill="auto" w:val="clear"/>
            <w:vAlign w:val="center"/>
          </w:tcPr>
          <w:p>
            <w:pPr>
              <w:pStyle w:val="TableContents"/>
              <w:spacing w:before="0" w:after="283"/>
              <w:jc w:val="right"/>
              <w:rPr/>
            </w:pPr>
            <w:r>
              <w:rPr/>
              <w:t>73,567</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Offering costs paid by related party under note payable</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w:t>
            </w:r>
          </w:p>
        </w:tc>
        <w:tc>
          <w:tcPr>
            <w:tcW w:w="1503" w:type="dxa"/>
            <w:tcBorders/>
            <w:shd w:fill="CCEEFF" w:val="clear"/>
            <w:vAlign w:val="center"/>
          </w:tcPr>
          <w:p>
            <w:pPr>
              <w:pStyle w:val="TableContents"/>
              <w:spacing w:before="0" w:after="283"/>
              <w:jc w:val="right"/>
              <w:rPr/>
            </w:pPr>
            <w:r>
              <w:rPr/>
              <w:t>—  </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w:t>
            </w:r>
          </w:p>
        </w:tc>
        <w:tc>
          <w:tcPr>
            <w:tcW w:w="1772" w:type="dxa"/>
            <w:tcBorders/>
            <w:shd w:fill="CCEEFF" w:val="clear"/>
            <w:vAlign w:val="center"/>
          </w:tcPr>
          <w:p>
            <w:pPr>
              <w:pStyle w:val="TableContents"/>
              <w:spacing w:before="0" w:after="283"/>
              <w:jc w:val="right"/>
              <w:rPr/>
            </w:pPr>
            <w:r>
              <w:rPr/>
              <w:t>322,595</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Reversal of offering costs included in accrued expenses in prior year</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w:t>
            </w:r>
          </w:p>
        </w:tc>
        <w:tc>
          <w:tcPr>
            <w:tcW w:w="1503" w:type="dxa"/>
            <w:tcBorders/>
            <w:shd w:fill="auto" w:val="clear"/>
            <w:vAlign w:val="center"/>
          </w:tcPr>
          <w:p>
            <w:pPr>
              <w:pStyle w:val="TableContents"/>
              <w:spacing w:before="0" w:after="283"/>
              <w:jc w:val="right"/>
              <w:rPr/>
            </w:pPr>
            <w:r>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w:t>
            </w:r>
          </w:p>
        </w:tc>
        <w:tc>
          <w:tcPr>
            <w:tcW w:w="1772" w:type="dxa"/>
            <w:tcBorders/>
            <w:shd w:fill="auto" w:val="clear"/>
            <w:vAlign w:val="center"/>
          </w:tcPr>
          <w:p>
            <w:pPr>
              <w:pStyle w:val="TableContents"/>
              <w:spacing w:before="0" w:after="283"/>
              <w:jc w:val="right"/>
              <w:rPr/>
            </w:pPr>
            <w:r>
              <w:rPr/>
              <w:t>100,000</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expenses paid by related party through note payable</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w:t>
            </w:r>
          </w:p>
        </w:tc>
        <w:tc>
          <w:tcPr>
            <w:tcW w:w="1503" w:type="dxa"/>
            <w:tcBorders/>
            <w:shd w:fill="CCEEFF" w:val="clear"/>
            <w:vAlign w:val="center"/>
          </w:tcPr>
          <w:p>
            <w:pPr>
              <w:pStyle w:val="TableContents"/>
              <w:spacing w:before="0" w:after="283"/>
              <w:jc w:val="right"/>
              <w:rPr/>
            </w:pPr>
            <w:r>
              <w:rPr/>
              <w:t>—  </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w:t>
            </w:r>
          </w:p>
        </w:tc>
        <w:tc>
          <w:tcPr>
            <w:tcW w:w="1772" w:type="dxa"/>
            <w:tcBorders/>
            <w:shd w:fill="CCEEFF" w:val="clear"/>
            <w:vAlign w:val="center"/>
          </w:tcPr>
          <w:p>
            <w:pPr>
              <w:pStyle w:val="TableContents"/>
              <w:spacing w:before="0" w:after="283"/>
              <w:jc w:val="right"/>
              <w:rPr/>
            </w:pPr>
            <w:r>
              <w:rPr/>
              <w:t>19,600</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Outstanding accounts payable balance paid by related party under note payable</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w:t>
            </w:r>
          </w:p>
        </w:tc>
        <w:tc>
          <w:tcPr>
            <w:tcW w:w="1503" w:type="dxa"/>
            <w:tcBorders/>
            <w:shd w:fill="auto" w:val="clear"/>
            <w:vAlign w:val="center"/>
          </w:tcPr>
          <w:p>
            <w:pPr>
              <w:pStyle w:val="TableContents"/>
              <w:spacing w:before="0" w:after="283"/>
              <w:jc w:val="right"/>
              <w:rPr/>
            </w:pPr>
            <w:r>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w:t>
            </w:r>
          </w:p>
        </w:tc>
        <w:tc>
          <w:tcPr>
            <w:tcW w:w="1772" w:type="dxa"/>
            <w:tcBorders/>
            <w:shd w:fill="auto" w:val="clear"/>
            <w:vAlign w:val="center"/>
          </w:tcPr>
          <w:p>
            <w:pPr>
              <w:pStyle w:val="TableContents"/>
              <w:spacing w:before="0" w:after="283"/>
              <w:jc w:val="right"/>
              <w:rPr/>
            </w:pPr>
            <w:r>
              <w:rPr/>
              <w:t>9,000</w:t>
            </w:r>
          </w:p>
        </w:tc>
        <w:tc>
          <w:tcPr>
            <w:tcW w:w="170" w:type="dxa"/>
            <w:tcBorders/>
            <w:shd w:fill="auto" w:val="clear"/>
            <w:vAlign w:val="center"/>
          </w:tcPr>
          <w:p>
            <w:pPr>
              <w:pStyle w:val="TableContents"/>
              <w:spacing w:before="0" w:after="283"/>
              <w:rPr/>
            </w:pPr>
            <w:r>
              <w:rPr/>
              <w:t> </w:t>
            </w:r>
          </w:p>
        </w:tc>
      </w:tr>
      <w:tr>
        <w:trPr/>
        <w:tc>
          <w:tcPr>
            <w:tcW w:w="5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underwriting commissions</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w:t>
            </w:r>
          </w:p>
        </w:tc>
        <w:tc>
          <w:tcPr>
            <w:tcW w:w="1503" w:type="dxa"/>
            <w:tcBorders/>
            <w:shd w:fill="CCEEFF" w:val="clear"/>
            <w:vAlign w:val="center"/>
          </w:tcPr>
          <w:p>
            <w:pPr>
              <w:pStyle w:val="TableContents"/>
              <w:spacing w:before="0" w:after="283"/>
              <w:jc w:val="right"/>
              <w:rPr/>
            </w:pPr>
            <w:r>
              <w:rPr/>
              <w:t>11,200,000</w:t>
            </w:r>
          </w:p>
        </w:tc>
        <w:tc>
          <w:tcPr>
            <w:tcW w:w="211"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w:t>
            </w:r>
          </w:p>
        </w:tc>
        <w:tc>
          <w:tcPr>
            <w:tcW w:w="1772" w:type="dxa"/>
            <w:tcBorders/>
            <w:shd w:fill="CCEEFF" w:val="clear"/>
            <w:vAlign w:val="center"/>
          </w:tcPr>
          <w:p>
            <w:pPr>
              <w:pStyle w:val="TableContents"/>
              <w:spacing w:before="0" w:after="283"/>
              <w:jc w:val="right"/>
              <w:rPr/>
            </w:pPr>
            <w:r>
              <w:rPr/>
              <w:t>11,200,000</w:t>
            </w:r>
          </w:p>
        </w:tc>
        <w:tc>
          <w:tcPr>
            <w:tcW w:w="170" w:type="dxa"/>
            <w:tcBorders/>
            <w:shd w:fill="CCEEFF" w:val="clear"/>
            <w:vAlign w:val="center"/>
          </w:tcPr>
          <w:p>
            <w:pPr>
              <w:pStyle w:val="TableContents"/>
              <w:spacing w:before="0" w:after="283"/>
              <w:rPr/>
            </w:pPr>
            <w:r>
              <w:rPr/>
              <w:t> </w:t>
            </w:r>
          </w:p>
        </w:tc>
      </w:tr>
      <w:tr>
        <w:trPr/>
        <w:tc>
          <w:tcPr>
            <w:tcW w:w="59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Underwriters’ reimbursements in connection with the offering in accounts receivable</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w:t>
            </w:r>
          </w:p>
        </w:tc>
        <w:tc>
          <w:tcPr>
            <w:tcW w:w="1503" w:type="dxa"/>
            <w:tcBorders/>
            <w:shd w:fill="auto" w:val="clear"/>
            <w:vAlign w:val="center"/>
          </w:tcPr>
          <w:p>
            <w:pPr>
              <w:pStyle w:val="TableContents"/>
              <w:spacing w:before="0" w:after="283"/>
              <w:jc w:val="right"/>
              <w:rPr/>
            </w:pPr>
            <w:r>
              <w:rPr/>
              <w:t>—  </w:t>
            </w:r>
          </w:p>
        </w:tc>
        <w:tc>
          <w:tcPr>
            <w:tcW w:w="211" w:type="dxa"/>
            <w:tcBorders/>
            <w:shd w:fill="auto" w:val="clear"/>
            <w:vAlign w:val="center"/>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w:t>
            </w:r>
          </w:p>
        </w:tc>
        <w:tc>
          <w:tcPr>
            <w:tcW w:w="1772" w:type="dxa"/>
            <w:tcBorders/>
            <w:shd w:fill="auto" w:val="clear"/>
            <w:vAlign w:val="center"/>
          </w:tcPr>
          <w:p>
            <w:pPr>
              <w:pStyle w:val="TableContents"/>
              <w:spacing w:before="0" w:after="283"/>
              <w:jc w:val="right"/>
              <w:rPr/>
            </w:pPr>
            <w:r>
              <w:rPr/>
              <w:t>640,000</w:t>
            </w:r>
          </w:p>
        </w:tc>
        <w:tc>
          <w:tcPr>
            <w:tcW w:w="170" w:type="dxa"/>
            <w:tcBorders/>
            <w:shd w:fill="auto" w:val="clear"/>
            <w:vAlign w:val="center"/>
          </w:tcPr>
          <w:p>
            <w:pPr>
              <w:pStyle w:val="TableContents"/>
              <w:spacing w:before="0" w:after="283"/>
              <w:rPr/>
            </w:pPr>
            <w:r>
              <w:rPr/>
              <w:t> </w:t>
            </w:r>
          </w:p>
        </w:tc>
      </w:tr>
    </w:tbl>
    <w:p>
      <w:pPr>
        <w:pStyle w:val="TextBody"/>
        <w:spacing w:before="48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SVF INVESTMENT CORP. 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NOTES TO UNAUDITED CONDENSED CONSOLIDATED FINANCIAL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spacing w:val="0"/>
        </w:rPr>
      </w:pPr>
      <w:r>
        <w:rPr>
          <w:spacing w:val="0"/>
        </w:rPr>
        <w:t> </w:t>
      </w:r>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1 – Description of Organization and Business Operations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SVF Investment Corp. 3, formerly known as SVF Investment III Corp., (the “Company”) is a blank check company incorporated as a Cayman Islands exempted company on December 11, 2020. The Company was incorporated for the purpose of effecting a merger, share exchange, asset acquisition, share purchase, reorganization or similar business combination with one or more businesses (“Business Combination”). </w:t>
      </w:r>
    </w:p>
    <w:p>
      <w:pPr>
        <w:pStyle w:val="TextBody"/>
        <w:spacing w:before="240" w:after="0"/>
        <w:jc w:val="left"/>
        <w:rPr>
          <w:rFonts w:ascii="Times New Roman" w:hAnsi="Times New Roman"/>
          <w:sz w:val="20"/>
        </w:rPr>
      </w:pPr>
      <w:r>
        <w:rPr>
          <w:rFonts w:ascii="Times New Roman" w:hAnsi="Times New Roman"/>
          <w:sz w:val="20"/>
        </w:rPr>
        <w:t xml:space="preserve">As of March 31, 2022, the Company had not yet commenced operations. All activities for the period from December 11, 2020 (inception) through March 31, 2022 relates to the Company’s formation and the initial public offering (the “Initial Public Offering”), described below, and, subsequent to the Initial Public Offering, identifying a target company for a Business Combination. The Company will not generate any operating revenues until after the completion of its initial Business Combination, at the earliest. The Company will generate </w:t>
      </w:r>
    </w:p>
    <w:p>
      <w:pPr>
        <w:pStyle w:val="TextBody"/>
        <w:spacing w:before="240" w:after="0"/>
        <w:jc w:val="left"/>
        <w:rPr>
          <w:rFonts w:ascii="Times New Roman" w:hAnsi="Times New Roman"/>
          <w:spacing w:val="0"/>
          <w:sz w:val="20"/>
        </w:rPr>
      </w:pPr>
      <w:r>
        <w:rPr>
          <w:rFonts w:ascii="Times New Roman" w:hAnsi="Times New Roman"/>
          <w:spacing w:val="0"/>
          <w:sz w:val="20"/>
        </w:rPr>
        <w:t>non-operating</w:t>
      </w:r>
    </w:p>
    <w:p>
      <w:pPr>
        <w:pStyle w:val="TextBody"/>
        <w:spacing w:before="240" w:after="0"/>
        <w:jc w:val="left"/>
        <w:rPr>
          <w:rFonts w:ascii="Times New Roman" w:hAnsi="Times New Roman"/>
          <w:sz w:val="20"/>
        </w:rPr>
      </w:pPr>
      <w:r>
        <w:rPr>
          <w:rFonts w:ascii="Times New Roman" w:hAnsi="Times New Roman"/>
          <w:sz w:val="20"/>
        </w:rPr>
        <w:t xml:space="preserve">income in the form of interest income on cash and cash equivalents from the proceeds derived from the Initial Public Offering. The Company’s fiscal year end is December 31.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Company’s sponsor is SVF Sponsor III (DE) LLC, a Delaware limited liability company (“Sponsor”). The registration statement for the Company’s Initial Public Offering was declared effective on March 8, 2021. On March 11, 2021, the Company consummated its Initial Public Offering of 32,000,000 Class A ordinary shares (the “Public Shares”), including the 4,000,000 Public Shares as a result of the underwriters’ full exercise of their over-allotment option, at an offering price of $10.00 per Public Share, generating gross proceeds of $320.0 million, and incurring offering costs of approximately $18.1 million, of which approximately $11.2 million was for deferred underwriting commissions (see Note 5). On April 22, 2021, the underwriters made a payment to the Company in an amount of $640,000 to reimburse certain of the expenses in connection with its Initial Public Offering.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Simultaneously with the closing of the Initial Public Offering, the Company consummated the private placement (“Private Placement”) of 1,040,000 Class A ordinary shares (the “Private Placement Shares”), at a price of $10.00 per Private Placement Share to the Sponsor, generating gross proceeds of $10.4 million (see Note 4). </w:t>
      </w:r>
    </w:p>
    <w:p>
      <w:pPr>
        <w:pStyle w:val="TextBody"/>
        <w:spacing w:before="240" w:after="0"/>
        <w:jc w:val="left"/>
        <w:rPr>
          <w:rFonts w:ascii="Times New Roman" w:hAnsi="Times New Roman"/>
          <w:sz w:val="20"/>
        </w:rPr>
      </w:pPr>
      <w:r>
        <w:rPr>
          <w:rFonts w:ascii="Times New Roman" w:hAnsi="Times New Roman"/>
          <w:sz w:val="20"/>
        </w:rPr>
        <w:t xml:space="preserve">Upon the closing of the Initial Public Offering, management agreed that an amount equal to at least $10.00 per Public Share sold in the Initial Public Offering, including the proceeds of the Private Placement Shares, will be held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w:t>
      </w:r>
    </w:p>
    <w:p>
      <w:pPr>
        <w:pStyle w:val="TextBody"/>
        <w:spacing w:before="240" w:after="0"/>
        <w:jc w:val="left"/>
        <w:rPr>
          <w:rFonts w:ascii="Times New Roman" w:hAnsi="Times New Roman"/>
          <w:spacing w:val="0"/>
          <w:sz w:val="20"/>
        </w:rPr>
      </w:pPr>
      <w:r>
        <w:rPr>
          <w:rFonts w:ascii="Times New Roman" w:hAnsi="Times New Roman"/>
          <w:spacing w:val="0"/>
          <w:sz w:val="20"/>
        </w:rPr>
        <w:t>2a-7</w:t>
      </w:r>
    </w:p>
    <w:p>
      <w:pPr>
        <w:pStyle w:val="TextBody"/>
        <w:spacing w:before="240" w:after="0"/>
        <w:jc w:val="left"/>
        <w:rPr>
          <w:rFonts w:ascii="Times New Roman" w:hAnsi="Times New Roman"/>
          <w:sz w:val="20"/>
        </w:rPr>
      </w:pPr>
      <w:r>
        <w:rPr>
          <w:rFonts w:ascii="Times New Roman" w:hAnsi="Times New Roman"/>
          <w:sz w:val="20"/>
        </w:rPr>
        <w:t xml:space="preserve">promulgated under the Investment Company Act which invest only in direct U.S. government treasury obligations, as determined by the Company, until the earlier of: (i) the completion of a Business Combination and (ii) the distribution of the Trust Account as described below.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provides its holders of the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a pro rata portion of the amount then in the Trust Account (at $10.00 per share, plus any pro rata interest earned on the funds held in the Trust Account and not previously released to the Company to pay its tax obligations). The </w:t>
      </w:r>
    </w:p>
    <w:p>
      <w:pPr>
        <w:pStyle w:val="TextBody"/>
        <w:spacing w:before="0" w:after="0"/>
        <w:jc w:val="left"/>
        <w:rPr>
          <w:rFonts w:ascii="Times New Roman" w:hAnsi="Times New Roman"/>
          <w:spacing w:val="0"/>
          <w:sz w:val="20"/>
        </w:rPr>
      </w:pPr>
      <w:r>
        <w:rPr>
          <w:rFonts w:ascii="Times New Roman" w:hAnsi="Times New Roman"/>
          <w:spacing w:val="0"/>
          <w:sz w:val="20"/>
        </w:rPr>
        <w:t>per-share</w:t>
      </w:r>
    </w:p>
    <w:p>
      <w:pPr>
        <w:pStyle w:val="TextBody"/>
        <w:spacing w:before="0" w:after="0"/>
        <w:jc w:val="left"/>
        <w:rPr>
          <w:rFonts w:ascii="Times New Roman" w:hAnsi="Times New Roman"/>
          <w:sz w:val="20"/>
        </w:rPr>
      </w:pPr>
      <w:r>
        <w:rPr>
          <w:rFonts w:ascii="Times New Roman" w:hAnsi="Times New Roman"/>
          <w:sz w:val="20"/>
        </w:rPr>
        <w:t xml:space="preserve">amount to be distributed to Public Shareholders who redeem their Public Shares will not be reduced by the deferred underwriting commissions the Company will pay to the underwriters (as discussed in Note 6).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All of the Public Shares contain a redemption feature which allows for the redemption of such Public Shares in connection with the Company’s liquidation, if there is a shareholder vote or tender offer in connection with the initial Business Combination and in connection with certain amendments to the Company’s Amended and Restated Memorandum and Articles of Association. </w:t>
      </w:r>
    </w:p>
    <w:p>
      <w:pPr>
        <w:pStyle w:val="TextBody"/>
        <w:spacing w:before="240" w:after="0"/>
        <w:jc w:val="left"/>
        <w:rPr>
          <w:rFonts w:ascii="Times New Roman" w:hAnsi="Times New Roman"/>
          <w:sz w:val="20"/>
        </w:rPr>
      </w:pPr>
      <w:r>
        <w:rPr>
          <w:rFonts w:ascii="Times New Roman" w:hAnsi="Times New Roman"/>
          <w:sz w:val="20"/>
        </w:rPr>
        <w:t xml:space="preserve">In accordance with SEC and its guidance on redeemable equity instruments, which has been codified in Financial Accounting Standards Board (“FASB”) Accounting Standards Codification (“ASC”) Topic </w:t>
      </w:r>
    </w:p>
    <w:p>
      <w:pPr>
        <w:pStyle w:val="TextBody"/>
        <w:spacing w:before="240" w:after="0"/>
        <w:jc w:val="left"/>
        <w:rPr>
          <w:rFonts w:ascii="Times New Roman" w:hAnsi="Times New Roman"/>
          <w:spacing w:val="0"/>
          <w:sz w:val="20"/>
        </w:rPr>
      </w:pPr>
      <w:r>
        <w:rPr>
          <w:rFonts w:ascii="Times New Roman" w:hAnsi="Times New Roman"/>
          <w:spacing w:val="0"/>
          <w:sz w:val="20"/>
        </w:rPr>
        <w:t>480-10-S99,</w:t>
      </w:r>
    </w:p>
    <w:p>
      <w:pPr>
        <w:pStyle w:val="TextBody"/>
        <w:spacing w:before="240" w:after="0"/>
        <w:jc w:val="left"/>
        <w:rPr>
          <w:rFonts w:ascii="Times New Roman" w:hAnsi="Times New Roman"/>
          <w:sz w:val="20"/>
        </w:rPr>
      </w:pPr>
      <w:r>
        <w:rPr>
          <w:rFonts w:ascii="Times New Roman" w:hAnsi="Times New Roman"/>
          <w:sz w:val="20"/>
        </w:rPr>
        <w:t xml:space="preserve">redemption provisions not solely within the control of a company require ordinary shares subject to redemption to be classified outside of permanent equity. Given that the Public Shares will be issued with Public Warrants, the initial carrying value of ordinary shares classified as temporary equity will be the allocated proceeds determined in accordance with FASB ASC </w:t>
      </w:r>
    </w:p>
    <w:p>
      <w:pPr>
        <w:pStyle w:val="TextBody"/>
        <w:spacing w:before="240" w:after="0"/>
        <w:jc w:val="left"/>
        <w:rPr>
          <w:rFonts w:ascii="Times New Roman" w:hAnsi="Times New Roman"/>
          <w:spacing w:val="0"/>
          <w:sz w:val="20"/>
        </w:rPr>
      </w:pPr>
      <w:r>
        <w:rPr>
          <w:rFonts w:ascii="Times New Roman" w:hAnsi="Times New Roman"/>
          <w:spacing w:val="0"/>
          <w:sz w:val="20"/>
        </w:rPr>
        <w:t>470-20.</w:t>
      </w:r>
    </w:p>
    <w:p>
      <w:pPr>
        <w:pStyle w:val="TextBody"/>
        <w:spacing w:before="240" w:after="0"/>
        <w:jc w:val="left"/>
        <w:rPr>
          <w:rFonts w:ascii="Times New Roman" w:hAnsi="Times New Roman"/>
          <w:sz w:val="20"/>
        </w:rPr>
      </w:pPr>
      <w:r>
        <w:rPr>
          <w:rFonts w:ascii="Times New Roman" w:hAnsi="Times New Roman"/>
          <w:sz w:val="20"/>
        </w:rPr>
        <w:t xml:space="preserve">The Public Shares are subject to FASB ASC </w:t>
      </w:r>
    </w:p>
    <w:p>
      <w:pPr>
        <w:pStyle w:val="TextBody"/>
        <w:spacing w:before="240" w:after="0"/>
        <w:jc w:val="left"/>
        <w:rPr>
          <w:rFonts w:ascii="Times New Roman" w:hAnsi="Times New Roman"/>
          <w:spacing w:val="0"/>
          <w:sz w:val="20"/>
        </w:rPr>
      </w:pPr>
      <w:r>
        <w:rPr>
          <w:rFonts w:ascii="Times New Roman" w:hAnsi="Times New Roman"/>
          <w:spacing w:val="0"/>
          <w:sz w:val="20"/>
        </w:rPr>
        <w:t>480-10-S99.</w:t>
      </w:r>
    </w:p>
    <w:p>
      <w:pPr>
        <w:pStyle w:val="TextBody"/>
        <w:spacing w:before="240" w:after="0"/>
        <w:jc w:val="left"/>
        <w:rPr>
          <w:rFonts w:ascii="Times New Roman" w:hAnsi="Times New Roman"/>
          <w:sz w:val="20"/>
        </w:rPr>
      </w:pPr>
      <w:r>
        <w:rPr>
          <w:rFonts w:ascii="Times New Roman" w:hAnsi="Times New Roman"/>
          <w:sz w:val="20"/>
        </w:rPr>
        <w:t xml:space="preserve">If it is probable that the equity instrument will become redeemable, the Company has the option to either (i) accrete changes in the redemption value over the period from the date of issuance (or from the date that it becomes probable that the instrument will become redeemable, if later) to the earliest redemption date of the instrument or (ii) recognize changes in the redemption value immediately as they occur and adjust the carrying amount of the instrument to equal the redemption value at the end of each reporting period. The Company has elected to recognize the changes immediately.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ordinary shares subject to possible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4)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 </w:t>
      </w:r>
    </w:p>
    <w:p>
      <w:pPr>
        <w:pStyle w:val="TextBody"/>
        <w:spacing w:before="240" w:after="0"/>
        <w:jc w:val="left"/>
        <w:rPr>
          <w:rFonts w:ascii="Times New Roman" w:hAnsi="Times New Roman"/>
          <w:spacing w:val="0"/>
          <w:sz w:val="20"/>
        </w:rPr>
      </w:pPr>
      <w:r>
        <w:rPr>
          <w:rFonts w:ascii="Times New Roman" w:hAnsi="Times New Roman"/>
          <w:spacing w:val="0"/>
          <w:sz w:val="20"/>
        </w:rPr>
        <w:t>Notwithstanding the foregoing, the Company’s Amended and Restated Memorandum and Articles of Association will provide that a Public Shareholder, together with any affiliate of such shareholder or any other person wit</w:t>
      </w:r>
    </w:p>
    <w:p>
      <w:pPr>
        <w:pStyle w:val="TextBody"/>
        <w:spacing w:before="240" w:after="0"/>
        <w:jc w:val="left"/>
        <w:rPr>
          <w:rFonts w:ascii="Times New Roman" w:hAnsi="Times New Roman"/>
          <w:spacing w:val="0"/>
          <w:sz w:val="20"/>
        </w:rPr>
      </w:pPr>
      <w:r>
        <w:rPr>
          <w:rFonts w:ascii="Times New Roman" w:hAnsi="Times New Roman"/>
          <w:spacing w:val="0"/>
          <w:sz w:val="20"/>
        </w:rPr>
        <w:t>h</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Company’s Sponsor, executive officers, directors and director nominees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6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the Company is unable to complete a Business Combination within 24 months from the closing of the Initial Public Offering, or March 11, 2023 (the “Combination Period”), the Company will (i) cease all operations except for the purpose of winding up; (ii) as promptly as reasonably possible but not more than ten business days thereafter, redeem the public Shares, at a </w:t>
      </w:r>
    </w:p>
    <w:p>
      <w:pPr>
        <w:pStyle w:val="TextBody"/>
        <w:spacing w:before="0" w:after="0"/>
        <w:jc w:val="left"/>
        <w:rPr>
          <w:rFonts w:ascii="Times New Roman" w:hAnsi="Times New Roman"/>
          <w:spacing w:val="0"/>
          <w:sz w:val="20"/>
        </w:rPr>
      </w:pPr>
      <w:r>
        <w:rPr>
          <w:rFonts w:ascii="Times New Roman" w:hAnsi="Times New Roman"/>
          <w:spacing w:val="0"/>
          <w:sz w:val="20"/>
        </w:rPr>
        <w:t>per-share</w:t>
      </w:r>
    </w:p>
    <w:p>
      <w:pPr>
        <w:pStyle w:val="TextBody"/>
        <w:spacing w:before="0" w:after="0"/>
        <w:jc w:val="left"/>
        <w:rPr>
          <w:rFonts w:ascii="Times New Roman" w:hAnsi="Times New Roman"/>
          <w:sz w:val="20"/>
        </w:rPr>
      </w:pPr>
      <w:r>
        <w:rPr>
          <w:rFonts w:ascii="Times New Roman" w:hAnsi="Times New Roman"/>
          <w:sz w:val="20"/>
        </w:rPr>
        <w:t xml:space="preserve">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5)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Proposed Business Combination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December 12, 2021, (a) the Company and Saturn Acquisition (DE) Corp. (“Merger Sub”), a wholly owned subsidiary of the Company, entered into an Agreement and Plan of Merger (as it may be amended, restated, supplemented or otherwise modified from time to time, the “Merger Agreement”) with Warehouse Technologies LLC (“Warehouse”) and Symbotic Holdings LLC, a wholly owned subsidiary of Warehouse (“Symbotic Holdings”), and (b) Warehouse and Symbotic Holdings entered into an Agreement and Plan of Merger (as it may be amended, restated, supplemented or otherwise modified from time to time, the “Company Merger Agreement”). If the Company Merger Agreement, the Merger Agreement, the transactions contemplated thereby are adopted by the Company’s shareholders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and Warehouse’s unitholders, as applicable, (i) Warehouse will merge with and into Symbotic Holdings, with Symbotic Holdings surviving the merger (sometimes hereinafter referred to as “Interim Symbotic”) and (ii) immediately thereafter, Merger Sub will merge with and into Interim Symbotic (the “Merger,” and, together with the Domestication and the other transactions contemplated by the Merger Agreement, the “Business Combination”), with Interim Symbotic surviving the merger as a subsidiary of the Post-Combination Company (“New Symbotic Holdings”). Prior to the consummation of the Merger, the Company will transfer by way of continuation from the Cayman Islands and domesticate as a Delaware corporation (the “Domestication”). Following the Domestication and simultaneously with the Business Combination, the Company will change its corporate name to “Symbotic Inc.” (the “Post-Combination Company” or “Symbotic Inc.”).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connection with the execution of the Merger Agreement, the Company entered into Subscription Agreements (the “Subscription Agreements”) with certain parties subscribing for shares of the Post-Combination Company’s Class A ordinary share (the “Subscribers”) pursuant to which the Subscribers have agreed to purchase, and the Company has agreed to sell the Subscribers, an aggregate of 20,500,000 shares of the Post-Combination Company’s Class A ordinary share, at a purchase price of $10.00 per share for an aggregate purchase price of $205,000,000. The obligations to consummate the transactions contemplated by the Subscription Agreements are conditioned upon, among other things, customary closing conditions and the consummation of the transactions contemplated by the Merger Agreement. </w:t>
      </w:r>
    </w:p>
    <w:p>
      <w:pPr>
        <w:pStyle w:val="TextBody"/>
        <w:spacing w:before="240" w:after="0"/>
        <w:jc w:val="left"/>
        <w:rPr>
          <w:rFonts w:ascii="Times New Roman" w:hAnsi="Times New Roman"/>
          <w:sz w:val="20"/>
        </w:rPr>
      </w:pPr>
      <w:r>
        <w:rPr>
          <w:rFonts w:ascii="Times New Roman" w:hAnsi="Times New Roman"/>
          <w:sz w:val="20"/>
        </w:rPr>
        <w:t xml:space="preserve">Each Surviving Company Common Unit may be redeemed by the holder for shares of Surviving Pubco Class A Ordinary share (or an equivalent amount in cash, at the option of the Surviving Company, subject to the provisions of the limited liability company agreement of the Surviving Company) at a value equal to the arithmetic mean of the volume-weighted average price of a share of Surviving Pubco Class A Ordinary share for the full five trading days ending prior to the redemption date, subject to certain exceptions. Upon such redemption, a number of shares of Surviving Pubco </w:t>
      </w:r>
    </w:p>
    <w:p>
      <w:pPr>
        <w:pStyle w:val="TextBody"/>
        <w:spacing w:before="240" w:after="0"/>
        <w:jc w:val="left"/>
        <w:rPr>
          <w:rFonts w:ascii="Times New Roman" w:hAnsi="Times New Roman"/>
          <w:spacing w:val="0"/>
          <w:sz w:val="20"/>
        </w:rPr>
      </w:pPr>
      <w:r>
        <w:rPr>
          <w:rFonts w:ascii="Times New Roman" w:hAnsi="Times New Roman"/>
          <w:spacing w:val="0"/>
          <w:sz w:val="20"/>
        </w:rPr>
        <w:t>Class V-3</w:t>
      </w:r>
    </w:p>
    <w:p>
      <w:pPr>
        <w:pStyle w:val="TextBody"/>
        <w:spacing w:before="240" w:after="0"/>
        <w:jc w:val="left"/>
        <w:rPr>
          <w:rFonts w:ascii="Times New Roman" w:hAnsi="Times New Roman"/>
          <w:sz w:val="20"/>
        </w:rPr>
      </w:pPr>
      <w:r>
        <w:rPr>
          <w:rFonts w:ascii="Times New Roman" w:hAnsi="Times New Roman"/>
          <w:sz w:val="20"/>
        </w:rPr>
        <w:t xml:space="preserve">Ordinary share or Surviving Pubco </w:t>
      </w:r>
    </w:p>
    <w:p>
      <w:pPr>
        <w:pStyle w:val="TextBody"/>
        <w:spacing w:before="240" w:after="0"/>
        <w:jc w:val="left"/>
        <w:rPr>
          <w:rFonts w:ascii="Times New Roman" w:hAnsi="Times New Roman"/>
          <w:spacing w:val="0"/>
          <w:sz w:val="20"/>
        </w:rPr>
      </w:pPr>
      <w:r>
        <w:rPr>
          <w:rFonts w:ascii="Times New Roman" w:hAnsi="Times New Roman"/>
          <w:spacing w:val="0"/>
          <w:sz w:val="20"/>
        </w:rPr>
        <w:t>Class V-1</w:t>
      </w:r>
    </w:p>
    <w:p>
      <w:pPr>
        <w:pStyle w:val="TextBody"/>
        <w:spacing w:before="240" w:after="0"/>
        <w:jc w:val="left"/>
        <w:rPr>
          <w:rFonts w:ascii="Times New Roman" w:hAnsi="Times New Roman"/>
          <w:sz w:val="20"/>
        </w:rPr>
      </w:pPr>
      <w:r>
        <w:rPr>
          <w:rFonts w:ascii="Times New Roman" w:hAnsi="Times New Roman"/>
          <w:sz w:val="20"/>
        </w:rPr>
        <w:t xml:space="preserve">Ordinary share, as applicable, equal to the number of redeemed Surviving Company Common Units, will be transferred to the Surviving Pubco and cancelled by the Surviving Pubco.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Pursuant to the terms of the Merger Agreement, the Company is required to cause the shares of Surviving Pubco Class A Ordinary share to be issued in connection with the transactions contemplated by the Merger Agreement (the “Transactions”) to be listed on the NASDAQ prior to the date of the Closing and to be eligible for continued listing on NASDAQ immediately following the Closing (as if the listing were a new initial listing by an issuer that had never been listed prior to the Closing). </w:t>
      </w:r>
    </w:p>
    <w:p>
      <w:pPr>
        <w:pStyle w:val="TextBody"/>
        <w:spacing w:before="240" w:after="0"/>
        <w:jc w:val="left"/>
        <w:rPr>
          <w:rFonts w:ascii="Times New Roman" w:hAnsi="Times New Roman"/>
          <w:sz w:val="20"/>
        </w:rPr>
      </w:pPr>
      <w:r>
        <w:rPr>
          <w:rFonts w:ascii="Times New Roman" w:hAnsi="Times New Roman"/>
          <w:sz w:val="20"/>
        </w:rPr>
        <w:t xml:space="preserve">Refer to the Current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8-K,</w:t>
      </w:r>
    </w:p>
    <w:p>
      <w:pPr>
        <w:pStyle w:val="TextBody"/>
        <w:spacing w:before="240" w:after="0"/>
        <w:jc w:val="left"/>
        <w:rPr>
          <w:rFonts w:ascii="Times New Roman" w:hAnsi="Times New Roman"/>
          <w:sz w:val="20"/>
        </w:rPr>
      </w:pPr>
      <w:r>
        <w:rPr>
          <w:rFonts w:ascii="Times New Roman" w:hAnsi="Times New Roman"/>
          <w:sz w:val="20"/>
        </w:rPr>
        <w:t xml:space="preserve">filed with the SEC on December 13, 2021 for additional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information.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On May 9, 2022, the U.S. Securities and Exchange Commission (the “SEC”), declared the registration statement on Form S-4 (as amended, the “Registration Statement”), which includes a proxy statement/prospectus in connection with the Transactions effective and the Company has scheduled an extraordinary general meeting on June 3, 2022 at 9:00 am to approve the Business Combination and related proposals. SVF and Symbotic expect to close the Business Combination promptly after the Special Meeting, subject to SVF’s shareholder approval and other customary closing conditions.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For additional information related to the Transactions, please see final proxy/statement/prospectus filed with the SEC on May 9, 2022.</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Liquidity and Going Concern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March 31, 2022, the Company had approximately $3.3 million in its operating bank account and working capital deficit of approximately $4.7 million.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Prior to the completion of the Initial Public Offering, the Company’s liquidity needs were satisfied through the payment by the Company’s Sponsor of $25,000 for certain offering costs on the Company’s behalf in exchange for the issuance of the Founder Shares, and borrowings under the Company’s promissory note with its Sponsor of $300,000 as well as additional advances of approximately $114,000. The Company fully repaid the Note balance and the advance from the Sponsor as of March 15, 2021. Subsequent to the consummation of the Initial Public Offering and Private Placement, the Company’s liquidity needs were satisfied with a portion of the proceeds of $10.4 million from the consummation of the Private Placement not held in the Trust Account. In addition, in order to finance transaction costs in connection with a Business Combination, the Sponsor may, but is not obligated to, provide the Company Working Capital Loans (see Note 4). On August 10, 2021 the Sponsor agreed to loan the Company $2.0 million as the Working Capital Loan. On November 9, 2021 the Sponsor and the Company agreed to amend this loan to increase the commitment by $1.0 million. As of March 31, 2022 there was $3.0 million drawn on the Working Capital Loan. As of December 31, 2021 there were no amounts outstanding under any Working Capital Loans.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8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In connection with the Company’s assessment of going concern considerations management has determined that the mandatory liquidation and subsequent dissolution if the Company is unable to complete a Business Combination with 24 months from closing of the Initial Public Offering, or March 11, 2023, raises substantial doubt about the Company’s ability to continue as a going concern for a period of time which is considered to be one year from the issuance of these financial statements. The condensed consolidated financial statements do not include any adjustment that might be necessary if the Company is unable to continue as a going concern.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Risks and Uncertainties </w:t>
      </w:r>
    </w:p>
    <w:p>
      <w:pPr>
        <w:pStyle w:val="TextBody"/>
        <w:spacing w:before="120" w:after="0"/>
        <w:jc w:val="left"/>
        <w:rPr>
          <w:rFonts w:ascii="Times New Roman" w:hAnsi="Times New Roman"/>
          <w:sz w:val="20"/>
        </w:rPr>
      </w:pPr>
      <w:r>
        <w:rPr>
          <w:rFonts w:ascii="Times New Roman" w:hAnsi="Times New Roman"/>
          <w:sz w:val="20"/>
        </w:rPr>
        <w:t xml:space="preserve">Management is continuing to evaluate the impact of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and has concluded that while it is reasonably possible that the virus could have a negative effect on the Company’s financial position and/or search for a target company, the specific impact is not readily determinable as of the date of the condensed consolidated financial statements. The condensed consolidated financial statements do not include any adjustments that might result from the outcome of this uncertainty.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2 — Basis of Presentation and Summary of Significant Policies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Basis of Presentation</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accompanying unaudited condensed consolidated financial statements are presented in U.S. dollars and in conformity with accounting principles generally accepted in the United States of America (“GAAP”) for financial information and pursuant to the rules and regulations of the U.S. Securities and Exchange Commission (“SEC”). Accordingly, they do not include all of the information and footnotes required by GAAP. In the opinion of management, the condensed consolidated financial statements reflect all adjustments, which include only normal recurring adjustments, necessary for the fair statement of the balances and results for the periods presented. Operating results for the three months ended March 31, 2022 are not necessarily indicative of the results that may be expected through December 31, 2022. </w:t>
      </w:r>
    </w:p>
    <w:p>
      <w:pPr>
        <w:pStyle w:val="TextBody"/>
        <w:spacing w:before="240" w:after="0"/>
        <w:jc w:val="left"/>
        <w:rPr>
          <w:rFonts w:ascii="Times New Roman" w:hAnsi="Times New Roman"/>
          <w:sz w:val="20"/>
        </w:rPr>
      </w:pPr>
      <w:r>
        <w:rPr>
          <w:rFonts w:ascii="Times New Roman" w:hAnsi="Times New Roman"/>
          <w:sz w:val="20"/>
        </w:rPr>
        <w:t xml:space="preserve">The accompanying condensed consolidated financial statements should be read in conjunction with the audited financial statements and notes thereto included in the Annual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10-K</w:t>
      </w:r>
    </w:p>
    <w:p>
      <w:pPr>
        <w:pStyle w:val="TextBody"/>
        <w:spacing w:before="240" w:after="0"/>
        <w:jc w:val="left"/>
        <w:rPr>
          <w:rFonts w:ascii="Times New Roman" w:hAnsi="Times New Roman"/>
          <w:sz w:val="20"/>
        </w:rPr>
      </w:pPr>
      <w:r>
        <w:rPr>
          <w:rFonts w:ascii="Times New Roman" w:hAnsi="Times New Roman"/>
          <w:sz w:val="20"/>
        </w:rPr>
        <w:t>filed by the Company with the SEC on March 23, 2022.</w:t>
      </w:r>
    </w:p>
    <w:p>
      <w:pPr>
        <w:pStyle w:val="TextBody"/>
        <w:spacing w:before="240" w:after="0"/>
        <w:jc w:val="left"/>
        <w:rPr>
          <w:caps w:val="false"/>
          <w:smallCaps w:val="false"/>
          <w:spacing w:val="0"/>
        </w:rPr>
      </w:pPr>
      <w:r>
        <w:rPr>
          <w:caps w:val="false"/>
          <w:smallCaps w:val="false"/>
          <w:spacing w:val="0"/>
        </w:rPr>
        <w:t>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Emerging Growth Company Status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w:t>
      </w:r>
    </w:p>
    <w:p>
      <w:pPr>
        <w:pStyle w:val="TextBody"/>
        <w:spacing w:before="240" w:after="0"/>
        <w:jc w:val="left"/>
        <w:rPr>
          <w:rFonts w:ascii="Times New Roman" w:hAnsi="Times New Roman"/>
          <w:spacing w:val="0"/>
          <w:sz w:val="20"/>
        </w:rPr>
      </w:pPr>
      <w:r>
        <w:rPr>
          <w:rFonts w:ascii="Times New Roman" w:hAnsi="Times New Roman"/>
          <w:spacing w:val="0"/>
          <w:sz w:val="20"/>
        </w:rPr>
        <w:t>non-emerging</w:t>
      </w:r>
    </w:p>
    <w:p>
      <w:pPr>
        <w:pStyle w:val="TextBody"/>
        <w:spacing w:before="240" w:after="0"/>
        <w:jc w:val="left"/>
        <w:rPr>
          <w:rFonts w:ascii="Times New Roman" w:hAnsi="Times New Roman"/>
          <w:sz w:val="20"/>
        </w:rPr>
      </w:pPr>
      <w:r>
        <w:rPr>
          <w:rFonts w:ascii="Times New Roman" w:hAnsi="Times New Roman"/>
          <w:sz w:val="20"/>
        </w:rPr>
        <w:t xml:space="preserve">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preparation of condensed financial statements in conformity with GAAP requires the Company’s management to make estimates and assumptions that affect the reported amounts of assets and liabilities and disclosure of contingent assets, liabilities and expenses at the date of the condensed financial statements. Making estimates requires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management to exercise significant judgment. It is at least reasonably possible that the estimate of the effect of a condition, situation or set of circumstances that existed at the date of the condensed financial statements, which management considered in formulating its estimate, could change in the near term due to one or more future confirming events. Accordingly, the actual results could differ significantly from those estimates.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and Cash Equivalents </w:t>
      </w:r>
    </w:p>
    <w:p>
      <w:pPr>
        <w:pStyle w:val="TextBody"/>
        <w:spacing w:before="120" w:after="0"/>
        <w:jc w:val="left"/>
        <w:rPr>
          <w:rFonts w:ascii="Times New Roman" w:hAnsi="Times New Roman"/>
          <w:spacing w:val="0"/>
          <w:sz w:val="20"/>
        </w:rPr>
      </w:pPr>
      <w:r>
        <w:rPr>
          <w:rFonts w:ascii="Times New Roman" w:hAnsi="Times New Roman"/>
          <w:spacing w:val="0"/>
          <w:sz w:val="20"/>
        </w:rPr>
        <w:t>The Company considers all short-term investments with an original maturity of three months or less when purchased to be cash equivalents. The Company had no cash equivalents held outside the Trust Account as of March 31, 2022 and December 31, 2021.</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 of Credit Risk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Financial instruments that potentially subject the Company to concentrations of credit risk consist of cash accounts in a financial institution, which, at times, may exceed the Federal Depository Insurance Corporation coverage limit of $250,000 and investments held in the Trust Account. As of March 31, 2022 and December 31, 2021, the Company had not experienced losses on these accounts and management believes the Company is not exposed to significant risks on such accounts.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Investments Held in the Trust Account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accompanying balance sheets at fair value at the end of each reporting period. Gains and losses resulting from the change in fair value of these securities is included in income from investments held in Trust Account in the accompanying statements of operations. The estimated fair values of investments held in the Trust Account are determined using available market information.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of Financial Instruments </w:t>
      </w:r>
    </w:p>
    <w:p>
      <w:pPr>
        <w:pStyle w:val="TextBody"/>
        <w:spacing w:before="120" w:after="0"/>
        <w:jc w:val="left"/>
        <w:rPr>
          <w:rFonts w:ascii="Times New Roman" w:hAnsi="Times New Roman"/>
          <w:spacing w:val="0"/>
          <w:sz w:val="20"/>
        </w:rPr>
      </w:pPr>
      <w:r>
        <w:rPr>
          <w:rFonts w:ascii="Times New Roman" w:hAnsi="Times New Roman"/>
          <w:spacing w:val="0"/>
          <w:sz w:val="20"/>
        </w:rPr>
        <w:t>The fair value of the Company’s assets and liabilities equal or approximate the carrying amounts represented in the accompanying condensed balance sheets.</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Measurements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 </w:t>
      </w:r>
    </w:p>
    <w:p>
      <w:pPr>
        <w:pStyle w:val="TextBody"/>
        <w:spacing w:before="0" w:after="0"/>
        <w:jc w:val="left"/>
        <w:rPr>
          <w:spacing w:val="0"/>
        </w:rPr>
      </w:pPr>
      <w:r>
        <w:rPr>
          <w:spacing w:val="0"/>
        </w:rPr>
        <w:t> </w:t>
      </w:r>
    </w:p>
    <w:tbl>
      <w:tblPr>
        <w:tblW w:w="8620" w:type="dxa"/>
        <w:jc w:val="left"/>
        <w:tblInd w:w="0" w:type="dxa"/>
        <w:tblCellMar>
          <w:top w:w="0" w:type="dxa"/>
          <w:left w:w="0" w:type="dxa"/>
          <w:bottom w:w="0" w:type="dxa"/>
          <w:right w:w="0" w:type="dxa"/>
        </w:tblCellMar>
      </w:tblPr>
      <w:tblGrid>
        <w:gridCol w:w="75"/>
        <w:gridCol w:w="110"/>
        <w:gridCol w:w="60"/>
        <w:gridCol w:w="83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1, defined as observable inputs such as quoted prices for identical instruments in active markets;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2, defined as inputs other than quoted prices in active markets that are either directly or indirectly observable such as quoted prices for similar instruments in active markets or quoted prices for identical or similar instruments in markets that are not active;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3, defined as unobservable inputs in which little or no market data exists, therefore requiring an entity to develop its own assumptions, such as valuations derived from valuation techniques in which one or more significant inputs or significant value drivers are unobservable. </w:t>
            </w:r>
          </w:p>
        </w:tc>
      </w:tr>
    </w:tbl>
    <w:p>
      <w:pPr>
        <w:pStyle w:val="TextBody"/>
        <w:spacing w:before="240" w:after="0"/>
        <w:jc w:val="left"/>
        <w:rPr>
          <w:rFonts w:ascii="Times New Roman" w:hAnsi="Times New Roman"/>
          <w:spacing w:val="0"/>
          <w:sz w:val="20"/>
        </w:rPr>
      </w:pPr>
      <w:r>
        <w:rPr>
          <w:rFonts w:ascii="Times New Roman" w:hAnsi="Times New Roman"/>
          <w:spacing w:val="0"/>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As of March 31, 2022 and December 31, 2021 the carrying values of cash, prepaid expense, due from related party, accounts payable, accrued expenses, and working capital loan—related party approximate their fair values due to the short-term nature of the instruments. The fair value of investments held in Trust Account is determined using quoted prices in active markets.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Offering Costs Associated with the Initial Public Offering </w:t>
      </w:r>
    </w:p>
    <w:p>
      <w:pPr>
        <w:pStyle w:val="TextBody"/>
        <w:spacing w:before="120" w:after="0"/>
        <w:jc w:val="left"/>
        <w:rPr>
          <w:rFonts w:ascii="Times New Roman" w:hAnsi="Times New Roman"/>
          <w:sz w:val="20"/>
        </w:rPr>
      </w:pPr>
      <w:r>
        <w:rPr>
          <w:rFonts w:ascii="Times New Roman" w:hAnsi="Times New Roman"/>
          <w:sz w:val="20"/>
        </w:rPr>
        <w:t xml:space="preserve">Offering costs consist of legal, accounting, underwriting and other costs incurred that were directly related to the Initial Public Offering. Offering costs were allocated between the Private Placement Shares and the Public Shares based on a relative fair value basis, compared to total proceeds received. Additionally, at the Initial Public Offering, offering costs allocated to the Public Shares were charged against temporary equity and offering costs allocated to the Private Placement Shares were charged against shareholders’ deficit. Deferred underwriting commissions are classified as </w:t>
      </w:r>
    </w:p>
    <w:p>
      <w:pPr>
        <w:pStyle w:val="TextBody"/>
        <w:spacing w:before="120" w:after="0"/>
        <w:jc w:val="left"/>
        <w:rPr>
          <w:rFonts w:ascii="Times New Roman" w:hAnsi="Times New Roman"/>
          <w:spacing w:val="0"/>
          <w:sz w:val="20"/>
        </w:rPr>
      </w:pPr>
      <w:r>
        <w:rPr>
          <w:rFonts w:ascii="Times New Roman" w:hAnsi="Times New Roman"/>
          <w:spacing w:val="0"/>
          <w:sz w:val="20"/>
        </w:rPr>
        <w:t>non-current</w:t>
      </w:r>
    </w:p>
    <w:p>
      <w:pPr>
        <w:pStyle w:val="TextBody"/>
        <w:spacing w:before="120" w:after="0"/>
        <w:jc w:val="left"/>
        <w:rPr>
          <w:rFonts w:ascii="Times New Roman" w:hAnsi="Times New Roman"/>
          <w:sz w:val="20"/>
        </w:rPr>
      </w:pPr>
      <w:r>
        <w:rPr>
          <w:rFonts w:ascii="Times New Roman" w:hAnsi="Times New Roman"/>
          <w:sz w:val="20"/>
        </w:rPr>
        <w:t xml:space="preserve">liabilities as their liquidation is not reasonably expected to require the use of current assets or require the creation of current liabilities.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Class A Ordinary Shares Subject to Possible Redemption </w:t>
      </w:r>
    </w:p>
    <w:p>
      <w:pPr>
        <w:pStyle w:val="TextBody"/>
        <w:spacing w:before="120" w:after="0"/>
        <w:jc w:val="left"/>
        <w:rPr>
          <w:rFonts w:ascii="Times New Roman" w:hAnsi="Times New Roman"/>
          <w:spacing w:val="0"/>
          <w:sz w:val="20"/>
        </w:rPr>
      </w:pPr>
      <w:r>
        <w:rPr>
          <w:rFonts w:ascii="Times New Roman" w:hAnsi="Times New Roman"/>
          <w:spacing w:val="0"/>
          <w:sz w:val="20"/>
        </w:rPr>
        <w:t>The Company accounts for its Class A ordinary shares subject to possible redemption in accordance with the guidance in ASC 480.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deficit. The Company’s Class A ordinary shares feature certain redemption rights that are considered to be outside of the Company’s control and subject to the occurrence of uncertain future events. Accordingly, at the Initial Public Offering and as of March 31, 2022 and December 31, 2021, 32,000,000 Class A ordinary shares subject to possible redemption are presented as temporary equity, outside of the shareholders’ deficit section of the Company’s condensed balance sheets.</w:t>
      </w:r>
    </w:p>
    <w:p>
      <w:pPr>
        <w:pStyle w:val="TextBody"/>
        <w:spacing w:before="240" w:after="0"/>
        <w:jc w:val="left"/>
        <w:rPr>
          <w:rFonts w:ascii="Times New Roman" w:hAnsi="Times New Roman"/>
          <w:sz w:val="20"/>
        </w:rPr>
      </w:pPr>
      <w:r>
        <w:rPr>
          <w:rFonts w:ascii="Times New Roman" w:hAnsi="Times New Roman"/>
          <w:sz w:val="20"/>
        </w:rPr>
        <w:t xml:space="preserve">The Company recognizes changes in redemption value immediately as they occur and adjusts the carrying value of the Class A ordinary shares subject to possible redemption to equal the redemption value at the end of each reporting period. Effective with the closing of the Initial Public Offering, the Company recognized the accretion from initial book value to redemption amount value. The change in the carrying value of redeemable shares of Class A ordinary shares resulted in charges against additional </w:t>
      </w:r>
    </w:p>
    <w:p>
      <w:pPr>
        <w:pStyle w:val="TextBody"/>
        <w:spacing w:before="240" w:after="0"/>
        <w:jc w:val="left"/>
        <w:rPr>
          <w:rFonts w:ascii="Times New Roman" w:hAnsi="Times New Roman"/>
          <w:spacing w:val="0"/>
          <w:sz w:val="20"/>
        </w:rPr>
      </w:pPr>
      <w:r>
        <w:rPr>
          <w:rFonts w:ascii="Times New Roman" w:hAnsi="Times New Roman"/>
          <w:spacing w:val="0"/>
          <w:sz w:val="20"/>
        </w:rPr>
        <w:t>paid-in</w:t>
      </w:r>
    </w:p>
    <w:p>
      <w:pPr>
        <w:pStyle w:val="TextBody"/>
        <w:spacing w:before="240" w:after="0"/>
        <w:jc w:val="left"/>
        <w:rPr>
          <w:rFonts w:ascii="Times New Roman" w:hAnsi="Times New Roman"/>
          <w:sz w:val="20"/>
        </w:rPr>
      </w:pPr>
      <w:r>
        <w:rPr>
          <w:rFonts w:ascii="Times New Roman" w:hAnsi="Times New Roman"/>
          <w:sz w:val="20"/>
        </w:rPr>
        <w:t xml:space="preserve">capital and accumulated deficit.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complies with the accounting and reporting requirements of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w:t>
      </w:r>
    </w:p>
    <w:p>
      <w:pPr>
        <w:pStyle w:val="TextBody"/>
        <w:spacing w:before="240" w:after="0"/>
        <w:jc w:val="left"/>
        <w:rPr>
          <w:rFonts w:ascii="Times New Roman" w:hAnsi="Times New Roman"/>
          <w:sz w:val="20"/>
        </w:rPr>
      </w:pPr>
      <w:r>
        <w:rPr>
          <w:rFonts w:ascii="Times New Roman" w:hAnsi="Times New Roman"/>
          <w:sz w:val="20"/>
        </w:rPr>
        <w:t xml:space="preserve">ASC 740 prescribes a recognition threshold and a measurement attribute for the financial statement recognition and measurement of tax positions taken or expected to be taken in a tax return. For those benefits to be recognized, a tax position must be </w:t>
      </w:r>
    </w:p>
    <w:p>
      <w:pPr>
        <w:pStyle w:val="TextBody"/>
        <w:spacing w:before="240" w:after="0"/>
        <w:jc w:val="left"/>
        <w:rPr>
          <w:rFonts w:ascii="Times New Roman" w:hAnsi="Times New Roman"/>
          <w:spacing w:val="0"/>
          <w:sz w:val="20"/>
        </w:rPr>
      </w:pPr>
      <w:r>
        <w:rPr>
          <w:rFonts w:ascii="Times New Roman" w:hAnsi="Times New Roman"/>
          <w:spacing w:val="0"/>
          <w:sz w:val="20"/>
        </w:rPr>
        <w:t>more-likely-than-not</w:t>
      </w:r>
    </w:p>
    <w:p>
      <w:pPr>
        <w:pStyle w:val="TextBody"/>
        <w:spacing w:before="240" w:after="0"/>
        <w:jc w:val="left"/>
        <w:rPr>
          <w:rFonts w:ascii="Times New Roman" w:hAnsi="Times New Roman"/>
          <w:sz w:val="20"/>
        </w:rPr>
      </w:pPr>
      <w:r>
        <w:rPr>
          <w:rFonts w:ascii="Times New Roman" w:hAnsi="Times New Roman"/>
          <w:sz w:val="20"/>
        </w:rPr>
        <w:t xml:space="preserve">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March 31, 2022 and December 31, 2021. The Company is currently not aware of any issues under review that could result in significant payments, accruals or material deviation from its position.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is considered an exempted Cayman Islands Company and is presently not subject to income taxes or income tax filing requirements in the Cayman Islands or the United States. As such, the Company’s tax provision was zero for the period presented.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Per Ordinary Share </w:t>
      </w:r>
    </w:p>
    <w:p>
      <w:pPr>
        <w:pStyle w:val="TextBody"/>
        <w:spacing w:before="120" w:after="0"/>
        <w:jc w:val="left"/>
        <w:rPr>
          <w:rFonts w:ascii="Times New Roman" w:hAnsi="Times New Roman"/>
          <w:sz w:val="20"/>
        </w:rPr>
      </w:pPr>
      <w:r>
        <w:rPr>
          <w:rFonts w:ascii="Times New Roman" w:hAnsi="Times New Roman"/>
          <w:sz w:val="20"/>
        </w:rPr>
        <w:t xml:space="preserve">The Company complies with accounting and disclosure requirements of FASB ASC Topic 260, “Earnings Per Share.” Income and losses are shared pro rata between Class A ordinary shares subject to possible redemption and </w:t>
      </w:r>
    </w:p>
    <w:p>
      <w:pPr>
        <w:pStyle w:val="TextBody"/>
        <w:spacing w:before="120" w:after="0"/>
        <w:jc w:val="left"/>
        <w:rPr>
          <w:rFonts w:ascii="Times New Roman" w:hAnsi="Times New Roman"/>
          <w:spacing w:val="0"/>
          <w:sz w:val="20"/>
        </w:rPr>
      </w:pPr>
      <w:r>
        <w:rPr>
          <w:rFonts w:ascii="Times New Roman" w:hAnsi="Times New Roman"/>
          <w:spacing w:val="0"/>
          <w:sz w:val="20"/>
        </w:rPr>
        <w:t>non-redeemable</w:t>
      </w:r>
    </w:p>
    <w:p>
      <w:pPr>
        <w:pStyle w:val="TextBody"/>
        <w:spacing w:before="120" w:after="0"/>
        <w:jc w:val="left"/>
        <w:rPr>
          <w:rFonts w:ascii="Times New Roman" w:hAnsi="Times New Roman"/>
          <w:sz w:val="20"/>
        </w:rPr>
      </w:pPr>
      <w:r>
        <w:rPr>
          <w:rFonts w:ascii="Times New Roman" w:hAnsi="Times New Roman"/>
          <w:sz w:val="20"/>
        </w:rPr>
        <w:t xml:space="preserve">ordinary shares. Net loss per ordinary share is calculated by dividing the net loss by the weighted-average number of ordinary shares outstanding for the respective period. </w:t>
      </w:r>
    </w:p>
    <w:p>
      <w:pPr>
        <w:pStyle w:val="TextBody"/>
        <w:spacing w:before="120" w:after="0"/>
        <w:jc w:val="left"/>
        <w:rPr>
          <w:rFonts w:ascii="Times New Roman" w:hAnsi="Times New Roman"/>
          <w:spacing w:val="0"/>
          <w:sz w:val="20"/>
        </w:rPr>
      </w:pPr>
      <w:r>
        <w:rPr>
          <w:rFonts w:ascii="Times New Roman" w:hAnsi="Times New Roman"/>
          <w:spacing w:val="0"/>
          <w:sz w:val="20"/>
        </w:rPr>
        <w:t>Non-redeemable</w:t>
      </w:r>
    </w:p>
    <w:p>
      <w:pPr>
        <w:pStyle w:val="TextBody"/>
        <w:spacing w:before="120" w:after="0"/>
        <w:jc w:val="left"/>
        <w:rPr>
          <w:rFonts w:ascii="Times New Roman" w:hAnsi="Times New Roman"/>
          <w:sz w:val="20"/>
        </w:rPr>
      </w:pPr>
      <w:r>
        <w:rPr>
          <w:rFonts w:ascii="Times New Roman" w:hAnsi="Times New Roman"/>
          <w:sz w:val="20"/>
        </w:rPr>
        <w:t xml:space="preserve">ordinary shares include Founder Shares and Private Placement Shares as these shares do not have any redemption features. Diluted net loss per share is the same as basic net loss per share for the three months ended March 31, 2022 and 2021. Accretion associated with the redeemable Class A ordinary shares is excluded from earnings per share as the redemption value approximates fair value.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table below presents a reconciliation of the numerator and denominator used to compute basic and diluted net loss per of ordinary share: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3575"/>
        <w:gridCol w:w="120"/>
        <w:gridCol w:w="162"/>
        <w:gridCol w:w="1283"/>
        <w:gridCol w:w="177"/>
        <w:gridCol w:w="137"/>
        <w:gridCol w:w="160"/>
        <w:gridCol w:w="1126"/>
        <w:gridCol w:w="155"/>
        <w:gridCol w:w="120"/>
        <w:gridCol w:w="168"/>
        <w:gridCol w:w="1176"/>
        <w:gridCol w:w="186"/>
        <w:gridCol w:w="144"/>
        <w:gridCol w:w="168"/>
        <w:gridCol w:w="1178"/>
        <w:gridCol w:w="170"/>
      </w:tblGrid>
      <w:tr>
        <w:trPr/>
        <w:tc>
          <w:tcPr>
            <w:tcW w:w="35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5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5" w:type="dxa"/>
            <w:gridSpan w:val="6"/>
            <w:tcBorders/>
            <w:shd w:fill="auto" w:val="clear"/>
            <w:vAlign w:val="center"/>
          </w:tcPr>
          <w:p>
            <w:pPr>
              <w:pStyle w:val="TableContents"/>
              <w:spacing w:before="0" w:after="0"/>
              <w:jc w:val="center"/>
              <w:rPr>
                <w:b/>
                <w:spacing w:val="0"/>
              </w:rPr>
            </w:pPr>
            <w:r>
              <w:rPr>
                <w:b/>
                <w:spacing w:val="0"/>
              </w:rPr>
              <w:t>For the Three Months Ended</w:t>
              <w:br/>
              <w:t>March 31, 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20" w:type="dxa"/>
            <w:gridSpan w:val="6"/>
            <w:tcBorders/>
            <w:shd w:fill="auto" w:val="clear"/>
            <w:vAlign w:val="center"/>
          </w:tcPr>
          <w:p>
            <w:pPr>
              <w:pStyle w:val="TableContents"/>
              <w:spacing w:before="0" w:after="0"/>
              <w:jc w:val="center"/>
              <w:rPr>
                <w:b/>
                <w:spacing w:val="0"/>
              </w:rPr>
            </w:pPr>
            <w:r>
              <w:rPr>
                <w:b/>
                <w:spacing w:val="0"/>
              </w:rPr>
              <w:t>For the Three Months Ended</w:t>
              <w:br/>
              <w:t>March 31, 2021</w:t>
            </w:r>
          </w:p>
        </w:tc>
        <w:tc>
          <w:tcPr>
            <w:tcW w:w="170" w:type="dxa"/>
            <w:tcBorders/>
            <w:shd w:fill="auto" w:val="clear"/>
            <w:vAlign w:val="center"/>
          </w:tcPr>
          <w:p>
            <w:pPr>
              <w:pStyle w:val="TableContents"/>
              <w:spacing w:before="0" w:after="283"/>
              <w:rPr/>
            </w:pPr>
            <w:r>
              <w:rPr/>
              <w:t> </w:t>
            </w:r>
          </w:p>
        </w:tc>
      </w:tr>
      <w:tr>
        <w:trPr/>
        <w:tc>
          <w:tcPr>
            <w:tcW w:w="35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0"/>
              <w:jc w:val="center"/>
              <w:rPr>
                <w:b/>
                <w:spacing w:val="0"/>
              </w:rPr>
            </w:pPr>
            <w:r>
              <w:rPr>
                <w:b/>
                <w:spacing w:val="0"/>
              </w:rPr>
              <w:t>Class A</w:t>
              <w:br/>
              <w:t>ordinary</w:t>
              <w:br/>
              <w:t>shares subject</w:t>
              <w:br/>
              <w:t>to possible</w:t>
              <w:br/>
              <w:t>redemption</w:t>
            </w:r>
          </w:p>
        </w:tc>
        <w:tc>
          <w:tcPr>
            <w:tcW w:w="177"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286" w:type="dxa"/>
            <w:gridSpan w:val="2"/>
            <w:tcBorders/>
            <w:shd w:fill="auto" w:val="clear"/>
            <w:vAlign w:val="center"/>
          </w:tcPr>
          <w:p>
            <w:pPr>
              <w:pStyle w:val="TableContents"/>
              <w:spacing w:before="0" w:after="0"/>
              <w:jc w:val="center"/>
              <w:rPr>
                <w:b/>
                <w:spacing w:val="0"/>
              </w:rPr>
            </w:pPr>
            <w:r>
              <w:rPr>
                <w:b/>
                <w:spacing w:val="0"/>
              </w:rPr>
              <w:t>Non-</w:t>
            </w:r>
          </w:p>
          <w:p>
            <w:pPr>
              <w:pStyle w:val="TableContents"/>
              <w:spacing w:before="0" w:after="0"/>
              <w:jc w:val="center"/>
              <w:rPr>
                <w:b/>
                <w:spacing w:val="0"/>
              </w:rPr>
            </w:pPr>
            <w:r>
              <w:rPr>
                <w:b/>
                <w:spacing w:val="0"/>
              </w:rPr>
              <w:br/>
              <w:t>redeemable</w:t>
              <w:br/>
              <w:t>ordinary</w:t>
              <w:br/>
              <w:t>shares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4" w:type="dxa"/>
            <w:gridSpan w:val="2"/>
            <w:tcBorders/>
            <w:shd w:fill="auto" w:val="clear"/>
            <w:vAlign w:val="center"/>
          </w:tcPr>
          <w:p>
            <w:pPr>
              <w:pStyle w:val="TableContents"/>
              <w:spacing w:before="0" w:after="0"/>
              <w:jc w:val="center"/>
              <w:rPr>
                <w:b/>
                <w:spacing w:val="0"/>
              </w:rPr>
            </w:pPr>
            <w:r>
              <w:rPr>
                <w:b/>
                <w:spacing w:val="0"/>
              </w:rPr>
              <w:t>Class A</w:t>
              <w:br/>
              <w:t>ordinary</w:t>
              <w:br/>
              <w:t>shares</w:t>
              <w:br/>
              <w:t>subject to</w:t>
              <w:br/>
              <w:t>possible</w:t>
              <w:br/>
              <w:t>redemption</w:t>
            </w:r>
          </w:p>
        </w:tc>
        <w:tc>
          <w:tcPr>
            <w:tcW w:w="186"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346" w:type="dxa"/>
            <w:gridSpan w:val="2"/>
            <w:tcBorders/>
            <w:shd w:fill="auto" w:val="clear"/>
            <w:vAlign w:val="center"/>
          </w:tcPr>
          <w:p>
            <w:pPr>
              <w:pStyle w:val="TableContents"/>
              <w:spacing w:before="0" w:after="0"/>
              <w:jc w:val="center"/>
              <w:rPr>
                <w:b/>
                <w:spacing w:val="0"/>
              </w:rPr>
            </w:pPr>
            <w:r>
              <w:rPr>
                <w:b/>
                <w:spacing w:val="0"/>
              </w:rPr>
              <w:t>Non-</w:t>
            </w:r>
          </w:p>
          <w:p>
            <w:pPr>
              <w:pStyle w:val="TableContents"/>
              <w:spacing w:before="0" w:after="0"/>
              <w:jc w:val="center"/>
              <w:rPr>
                <w:b/>
                <w:spacing w:val="0"/>
              </w:rPr>
            </w:pPr>
            <w:r>
              <w:rPr>
                <w:b/>
                <w:spacing w:val="0"/>
              </w:rPr>
              <w:br/>
              <w:t>redeemable</w:t>
              <w:br/>
              <w:t>ordinary</w:t>
              <w:br/>
              <w:t>shares</w:t>
            </w:r>
          </w:p>
        </w:tc>
        <w:tc>
          <w:tcPr>
            <w:tcW w:w="170" w:type="dxa"/>
            <w:tcBorders/>
            <w:shd w:fill="auto" w:val="clear"/>
            <w:vAlign w:val="center"/>
          </w:tcPr>
          <w:p>
            <w:pPr>
              <w:pStyle w:val="TableContents"/>
              <w:spacing w:before="0" w:after="283"/>
              <w:rPr/>
            </w:pPr>
            <w:r>
              <w:rPr/>
              <w:t> </w:t>
            </w:r>
          </w:p>
        </w:tc>
      </w:tr>
      <w:tr>
        <w:trPr/>
        <w:tc>
          <w:tcPr>
            <w:tcW w:w="35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 and diluted net loss per ordinary share:</w:t>
            </w:r>
          </w:p>
        </w:tc>
        <w:tc>
          <w:tcPr>
            <w:tcW w:w="12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pPr>
            <w:r>
              <w:rPr/>
              <w:t> </w:t>
            </w:r>
          </w:p>
        </w:tc>
        <w:tc>
          <w:tcPr>
            <w:tcW w:w="1283"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12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176"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178"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575" w:type="dxa"/>
            <w:tcBorders/>
            <w:shd w:fill="auto" w:val="clear"/>
            <w:vAlign w:val="center"/>
          </w:tcPr>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Numerator:</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12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178"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5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Allocation of net loss</w:t>
            </w:r>
          </w:p>
        </w:tc>
        <w:tc>
          <w:tcPr>
            <w:tcW w:w="12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pPr>
            <w:r>
              <w:rPr/>
              <w:t>$</w:t>
            </w:r>
          </w:p>
        </w:tc>
        <w:tc>
          <w:tcPr>
            <w:tcW w:w="1283" w:type="dxa"/>
            <w:tcBorders/>
            <w:shd w:fill="CCEEFF" w:val="clear"/>
            <w:vAlign w:val="center"/>
          </w:tcPr>
          <w:p>
            <w:pPr>
              <w:pStyle w:val="TableContents"/>
              <w:spacing w:before="0" w:after="283"/>
              <w:jc w:val="right"/>
              <w:rPr/>
            </w:pPr>
            <w:r>
              <w:rPr/>
              <w:t>(1,795,949</w:t>
            </w:r>
          </w:p>
        </w:tc>
        <w:tc>
          <w:tcPr>
            <w:tcW w:w="177"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w:t>
            </w:r>
          </w:p>
        </w:tc>
        <w:tc>
          <w:tcPr>
            <w:tcW w:w="1126" w:type="dxa"/>
            <w:tcBorders/>
            <w:shd w:fill="CCEEFF" w:val="clear"/>
            <w:vAlign w:val="center"/>
          </w:tcPr>
          <w:p>
            <w:pPr>
              <w:pStyle w:val="TableContents"/>
              <w:spacing w:before="0" w:after="283"/>
              <w:jc w:val="right"/>
              <w:rPr/>
            </w:pPr>
            <w:r>
              <w:rPr/>
              <w:t>(507,355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w:t>
            </w:r>
          </w:p>
        </w:tc>
        <w:tc>
          <w:tcPr>
            <w:tcW w:w="1176" w:type="dxa"/>
            <w:tcBorders/>
            <w:shd w:fill="CCEEFF" w:val="clear"/>
            <w:vAlign w:val="center"/>
          </w:tcPr>
          <w:p>
            <w:pPr>
              <w:pStyle w:val="TableContents"/>
              <w:spacing w:before="0" w:after="283"/>
              <w:jc w:val="right"/>
              <w:rPr/>
            </w:pPr>
            <w:r>
              <w:rPr/>
              <w:t>(261,798</w:t>
            </w:r>
          </w:p>
        </w:tc>
        <w:tc>
          <w:tcPr>
            <w:tcW w:w="186"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w:t>
            </w:r>
          </w:p>
        </w:tc>
        <w:tc>
          <w:tcPr>
            <w:tcW w:w="1178" w:type="dxa"/>
            <w:tcBorders/>
            <w:shd w:fill="CCEEFF" w:val="clear"/>
            <w:vAlign w:val="center"/>
          </w:tcPr>
          <w:p>
            <w:pPr>
              <w:pStyle w:val="TableContents"/>
              <w:spacing w:before="0" w:after="283"/>
              <w:jc w:val="right"/>
              <w:rPr/>
            </w:pPr>
            <w:r>
              <w:rPr/>
              <w:t>(262,125</w:t>
            </w:r>
          </w:p>
        </w:tc>
        <w:tc>
          <w:tcPr>
            <w:tcW w:w="170" w:type="dxa"/>
            <w:tcBorders/>
            <w:shd w:fill="CCEEFF" w:val="clear"/>
            <w:vAlign w:val="center"/>
          </w:tcPr>
          <w:p>
            <w:pPr>
              <w:pStyle w:val="TableContents"/>
              <w:spacing w:before="0" w:after="283"/>
              <w:rPr/>
            </w:pPr>
            <w:r>
              <w:rPr/>
              <w:t>) </w:t>
            </w:r>
          </w:p>
        </w:tc>
      </w:tr>
      <w:tr>
        <w:trPr/>
        <w:tc>
          <w:tcPr>
            <w:tcW w:w="3575" w:type="dxa"/>
            <w:tcBorders/>
            <w:shd w:fill="auto" w:val="clear"/>
            <w:vAlign w:val="center"/>
          </w:tcPr>
          <w:p>
            <w:pPr>
              <w:pStyle w:val="TableContents"/>
              <w:spacing w:before="0" w:after="0"/>
              <w:rPr>
                <w:rFonts w:ascii="Times New Roman" w:hAnsi="Times New Roman"/>
                <w:i/>
                <w:caps w:val="false"/>
                <w:smallCaps w:val="false"/>
                <w:spacing w:val="0"/>
                <w:sz w:val="20"/>
              </w:rPr>
            </w:pPr>
            <w:r>
              <w:rPr>
                <w:rFonts w:ascii="Times New Roman" w:hAnsi="Times New Roman"/>
                <w:i/>
                <w:caps w:val="false"/>
                <w:smallCaps w:val="false"/>
                <w:spacing w:val="0"/>
                <w:sz w:val="20"/>
              </w:rPr>
              <w:t>Denominator:</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12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178"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5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 and diluted weighted average ordinary share outstanding</w:t>
            </w:r>
          </w:p>
        </w:tc>
        <w:tc>
          <w:tcPr>
            <w:tcW w:w="12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pPr>
            <w:r>
              <w:rPr/>
              <w:t> </w:t>
            </w:r>
          </w:p>
        </w:tc>
        <w:tc>
          <w:tcPr>
            <w:tcW w:w="1283" w:type="dxa"/>
            <w:tcBorders/>
            <w:shd w:fill="CCEEFF" w:val="clear"/>
            <w:vAlign w:val="center"/>
          </w:tcPr>
          <w:p>
            <w:pPr>
              <w:pStyle w:val="TableContents"/>
              <w:spacing w:before="0" w:after="283"/>
              <w:jc w:val="right"/>
              <w:rPr/>
            </w:pPr>
            <w:r>
              <w:rPr/>
              <w:t>32,000,000</w:t>
            </w:r>
          </w:p>
        </w:tc>
        <w:tc>
          <w:tcPr>
            <w:tcW w:w="177"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126" w:type="dxa"/>
            <w:tcBorders/>
            <w:shd w:fill="CCEEFF" w:val="clear"/>
            <w:vAlign w:val="center"/>
          </w:tcPr>
          <w:p>
            <w:pPr>
              <w:pStyle w:val="TableContents"/>
              <w:spacing w:before="0" w:after="283"/>
              <w:jc w:val="right"/>
              <w:rPr/>
            </w:pPr>
            <w:r>
              <w:rPr/>
              <w:t>9,040,000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176" w:type="dxa"/>
            <w:tcBorders/>
            <w:shd w:fill="CCEEFF" w:val="clear"/>
            <w:vAlign w:val="center"/>
          </w:tcPr>
          <w:p>
            <w:pPr>
              <w:pStyle w:val="TableContents"/>
              <w:spacing w:before="0" w:after="283"/>
              <w:jc w:val="right"/>
              <w:rPr/>
            </w:pPr>
            <w:r>
              <w:rPr/>
              <w:t>7,466,667</w:t>
            </w:r>
          </w:p>
        </w:tc>
        <w:tc>
          <w:tcPr>
            <w:tcW w:w="186"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178" w:type="dxa"/>
            <w:tcBorders/>
            <w:shd w:fill="CCEEFF" w:val="clear"/>
            <w:vAlign w:val="center"/>
          </w:tcPr>
          <w:p>
            <w:pPr>
              <w:pStyle w:val="TableContents"/>
              <w:spacing w:before="0" w:after="283"/>
              <w:jc w:val="right"/>
              <w:rPr/>
            </w:pPr>
            <w:r>
              <w:rPr/>
              <w:t>7,476,000</w:t>
            </w:r>
          </w:p>
        </w:tc>
        <w:tc>
          <w:tcPr>
            <w:tcW w:w="170" w:type="dxa"/>
            <w:tcBorders/>
            <w:shd w:fill="CCEEFF" w:val="clear"/>
            <w:vAlign w:val="center"/>
          </w:tcPr>
          <w:p>
            <w:pPr>
              <w:pStyle w:val="TableContents"/>
              <w:spacing w:before="0" w:after="283"/>
              <w:rPr/>
            </w:pPr>
            <w:r>
              <w:rPr/>
              <w:t> </w:t>
            </w:r>
          </w:p>
        </w:tc>
      </w:tr>
      <w:tr>
        <w:trPr/>
        <w:tc>
          <w:tcPr>
            <w:tcW w:w="35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86"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5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 and diluted net loss per ordinary share</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w:t>
            </w:r>
          </w:p>
        </w:tc>
        <w:tc>
          <w:tcPr>
            <w:tcW w:w="1283" w:type="dxa"/>
            <w:tcBorders/>
            <w:shd w:fill="auto" w:val="clear"/>
            <w:vAlign w:val="center"/>
          </w:tcPr>
          <w:p>
            <w:pPr>
              <w:pStyle w:val="TableContents"/>
              <w:spacing w:before="0" w:after="283"/>
              <w:jc w:val="right"/>
              <w:rPr/>
            </w:pPr>
            <w:r>
              <w:rPr/>
              <w:t>(0.06</w:t>
            </w:r>
          </w:p>
        </w:tc>
        <w:tc>
          <w:tcPr>
            <w:tcW w:w="177"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w:t>
            </w:r>
          </w:p>
        </w:tc>
        <w:tc>
          <w:tcPr>
            <w:tcW w:w="1126" w:type="dxa"/>
            <w:tcBorders/>
            <w:shd w:fill="auto" w:val="clear"/>
            <w:vAlign w:val="center"/>
          </w:tcPr>
          <w:p>
            <w:pPr>
              <w:pStyle w:val="TableContents"/>
              <w:spacing w:before="0" w:after="283"/>
              <w:jc w:val="right"/>
              <w:rPr/>
            </w:pPr>
            <w:r>
              <w:rPr/>
              <w:t>(0.06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w:t>
            </w:r>
          </w:p>
        </w:tc>
        <w:tc>
          <w:tcPr>
            <w:tcW w:w="1176" w:type="dxa"/>
            <w:tcBorders/>
            <w:shd w:fill="auto" w:val="clear"/>
            <w:vAlign w:val="center"/>
          </w:tcPr>
          <w:p>
            <w:pPr>
              <w:pStyle w:val="TableContents"/>
              <w:spacing w:before="0" w:after="283"/>
              <w:jc w:val="right"/>
              <w:rPr/>
            </w:pPr>
            <w:r>
              <w:rPr/>
              <w:t>(0.04</w:t>
            </w:r>
          </w:p>
        </w:tc>
        <w:tc>
          <w:tcPr>
            <w:tcW w:w="186"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w:t>
            </w:r>
          </w:p>
        </w:tc>
        <w:tc>
          <w:tcPr>
            <w:tcW w:w="1178" w:type="dxa"/>
            <w:tcBorders/>
            <w:shd w:fill="auto" w:val="clear"/>
            <w:vAlign w:val="center"/>
          </w:tcPr>
          <w:p>
            <w:pPr>
              <w:pStyle w:val="TableContents"/>
              <w:spacing w:before="0" w:after="283"/>
              <w:jc w:val="right"/>
              <w:rPr/>
            </w:pPr>
            <w:r>
              <w:rPr/>
              <w:t>(0.04</w:t>
            </w:r>
          </w:p>
        </w:tc>
        <w:tc>
          <w:tcPr>
            <w:tcW w:w="170" w:type="dxa"/>
            <w:tcBorders/>
            <w:shd w:fill="auto" w:val="clear"/>
            <w:vAlign w:val="center"/>
          </w:tcPr>
          <w:p>
            <w:pPr>
              <w:pStyle w:val="TableContents"/>
              <w:spacing w:before="0" w:after="283"/>
              <w:rPr/>
            </w:pPr>
            <w:r>
              <w:rPr/>
              <w:t>) </w:t>
            </w:r>
          </w:p>
        </w:tc>
      </w:tr>
      <w:tr>
        <w:trPr/>
        <w:tc>
          <w:tcPr>
            <w:tcW w:w="35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8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7"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2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86"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Recently Issued Accounting Standards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Our management does not believe that any recently issued, but not yet effective, accounting standards if currently adopted would have a material effect on the accompanying unaudited condensed consolidated financial statements.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3 — Initial Public Offering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March 11, 2021, the Company consummated its Initial Public Offering of 32,000,000 Public Shares, including the 4,000,000 Public Shares as a result of the underwriters’ full exercise of their over-allotment option, at an offering price of $10.00 per Public Share, generating gross proceeds of $320.0 million, and incurring offering costs of approximately $18.1 million, of which approximately $11.2 million was for deferred underwriting commissions. On April 22, 2021, the underwriters made a payment to the Company in an amount of $640,000 to reimburse certain of the expenses in connection with its Initial Public Offering.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Of the 32,000,000 Public Shares, an aggregate of 112,500 Public Shares was purchased by certain of the Company’s directors and officers (the “Affiliated Shares”).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4 — Related Party Transactions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Founder Shares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December 14, 2020, the Company issued 2,875,000 Class B ordinary shares to the Sponsor in exchange for the payment of $25,000 from the Sponsor to cover for certain expenses on behalf of the Company. On January 29, 2021, the Company effected a share dividend of 12,125,000 Class B ordinary shares, which was retroactively restated to 2020, and on February 3, 2021 and February 26, 2021, the Sponsor surrendered 5,000,000 and 2,000,000 Class B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12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ordinary shares for no consideration, respectively. The share dividend and share surrender resulted in an aggregate of 8,000,000 Class B ordinary shares outstanding. All shares and associated amounts have been retroactively restated to reflect the share capitalization as of December 11, 2020 (inception). The holders of the Founder Shares agreed to forfeit up to an aggregate of 1,000,000 Founder Shares, on a pro rata basis, to the extent that the option to purchase additional shares was not exercised in full by the underwriters, so that the Founder Shares would represent 20% of the Company’s issued and outstanding shares after the Initial Public Offering (excluding the Private Placement Shares and the Forward Purchase Shares). The underwriters fully exercised the over-allotment option on March 11, 2021; thus, these 1,000,000 Founder Shares are no longer subject to forfeiture. </w:t>
      </w:r>
    </w:p>
    <w:p>
      <w:pPr>
        <w:pStyle w:val="TextBody"/>
        <w:spacing w:before="240" w:after="0"/>
        <w:jc w:val="left"/>
        <w:rPr>
          <w:rFonts w:ascii="Times New Roman" w:hAnsi="Times New Roman"/>
          <w:sz w:val="20"/>
        </w:rPr>
      </w:pPr>
      <w:r>
        <w:rPr>
          <w:rFonts w:ascii="Times New Roman" w:hAnsi="Times New Roman"/>
          <w:sz w:val="20"/>
        </w:rPr>
        <w:t xml:space="preserve">The Initial Shareholders agreed not to transfer, assign or sell any of their Founder Shares and the Forward Purchase Investor agreed not to transfer, assign or sell any of its Forward Purchase Shares until the earlier to occur of (A) one year after the completion of the initial Business Combination and (B) subsequent to the initial Business Combination, (x) if the closing price of the Class A ordinary shares equals or exceeds $12.00 per share (as adjusted for share subdivisions, share capitalizations, reorganizations, recapitalizations and the like) for any 20 trading days within any </w:t>
      </w:r>
    </w:p>
    <w:p>
      <w:pPr>
        <w:pStyle w:val="TextBody"/>
        <w:spacing w:before="240" w:after="0"/>
        <w:jc w:val="left"/>
        <w:rPr>
          <w:rFonts w:ascii="Times New Roman" w:hAnsi="Times New Roman"/>
          <w:spacing w:val="0"/>
          <w:sz w:val="20"/>
        </w:rPr>
      </w:pPr>
      <w:r>
        <w:rPr>
          <w:rFonts w:ascii="Times New Roman" w:hAnsi="Times New Roman"/>
          <w:spacing w:val="0"/>
          <w:sz w:val="20"/>
        </w:rPr>
        <w:t>30-trading</w:t>
      </w:r>
    </w:p>
    <w:p>
      <w:pPr>
        <w:pStyle w:val="TextBody"/>
        <w:spacing w:before="240" w:after="0"/>
        <w:jc w:val="left"/>
        <w:rPr>
          <w:rFonts w:ascii="Times New Roman" w:hAnsi="Times New Roman"/>
          <w:sz w:val="20"/>
        </w:rPr>
      </w:pPr>
      <w:r>
        <w:rPr>
          <w:rFonts w:ascii="Times New Roman" w:hAnsi="Times New Roman"/>
          <w:sz w:val="20"/>
        </w:rPr>
        <w:t xml:space="preserve">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Prior to closing the Initial Public Offering, in February 2021, the Sponsor transferred 100,000 shares of our Class B ordinary shares to the Company’s independent directors. Subsequent to the IPO, in April 2021, the Sponsor transferred an additional 50,000 shares of our Class B ordinary shares to a Company independent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director (the “Transferred Shares”), which was estimated to be fair valued at approximately $834,000 or $5.56 per Founder Share. The Transferred Shares shall vest upon the Company consummating an Initial Business Combination.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sale or transfers of the Founders Shares to members of the Company’s the board of directors, as described above, is within the scope of FASB ASC Topic 718, “Compensation-Stock Compensation” (“ASC 718”). Under ASC 718, stock-based compensation associated with equity-classified awards is measured at fair value upon the grant date. The Founders Shares were effectively sold or transferred subject to a performance condition (i.e., the occurrence of a Business Combination). Compensation expense related to the Founders Shares is recognized only when the performance condition is probable of occurrence under the applicable accounting literature in this circumstance. A business combination is not probable until it is completed. Stock-based compensation would be recognized at the date a Business Combination is considered probable in an amount equal to the number of Founders Shares times the grant date fair value per share (unless subsequently modified) less the amount initially received for the purchase of the Founders Shares. As of March 31, 2022, the Company determined that a Business Combination is not considered probable until the business combination is completed, and therefore, no stock-based compensation expense has been recognized.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Private Placement Shares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Simultaneously with the closing of the Initial Public Offering, the Company consummated the Private Placement of 1,040,000 Private Placement Shares, at a price of $10.00 per Private Placement Share to the Sponsor, generating gross proceeds of $10.4 million.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 portion of the proceeds from the Private Placement Shares was added to the proceeds from the Initial Public Offering held in the Trust Account. If the Company does not complete a Business Combination within the Combination Period, the proceeds from the sale of the Private Placement share held in the Trust Account will be used to fund the redemption of the Public Shares (subject to the requirements of applicable law) and the Private Placement Shares will be worthless. </w:t>
      </w:r>
    </w:p>
    <w:p>
      <w:pPr>
        <w:pStyle w:val="TextBody"/>
        <w:spacing w:before="240" w:after="0"/>
        <w:jc w:val="left"/>
        <w:rPr>
          <w:rFonts w:ascii="Times New Roman" w:hAnsi="Times New Roman"/>
          <w:sz w:val="20"/>
        </w:rPr>
      </w:pPr>
      <w:r>
        <w:rPr>
          <w:rFonts w:ascii="Times New Roman" w:hAnsi="Times New Roman"/>
          <w:sz w:val="20"/>
        </w:rPr>
        <w:t xml:space="preserve">The Sponsor and the Company’s officers and directors agreed, subject to limited exceptions, not to transfer, assign or sell any of their Private Placement Shares until 30 days after the completion of the initial Business Combination, as such are considered </w:t>
      </w:r>
    </w:p>
    <w:p>
      <w:pPr>
        <w:pStyle w:val="TextBody"/>
        <w:spacing w:before="240" w:after="0"/>
        <w:jc w:val="left"/>
        <w:rPr>
          <w:rFonts w:ascii="Times New Roman" w:hAnsi="Times New Roman"/>
          <w:spacing w:val="0"/>
          <w:sz w:val="20"/>
        </w:rPr>
      </w:pPr>
      <w:r>
        <w:rPr>
          <w:rFonts w:ascii="Times New Roman" w:hAnsi="Times New Roman"/>
          <w:spacing w:val="0"/>
          <w:sz w:val="20"/>
        </w:rPr>
        <w:t>non-redeemable</w:t>
      </w:r>
    </w:p>
    <w:p>
      <w:pPr>
        <w:pStyle w:val="TextBody"/>
        <w:spacing w:before="240" w:after="0"/>
        <w:jc w:val="left"/>
        <w:rPr>
          <w:rFonts w:ascii="Times New Roman" w:hAnsi="Times New Roman"/>
          <w:sz w:val="20"/>
        </w:rPr>
      </w:pPr>
      <w:r>
        <w:rPr>
          <w:rFonts w:ascii="Times New Roman" w:hAnsi="Times New Roman"/>
          <w:sz w:val="20"/>
        </w:rPr>
        <w:t>and presented as permanent equity in the Company’s condensed balance sheets.</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Related Party Loans</w:t>
      </w:r>
    </w:p>
    <w:p>
      <w:pPr>
        <w:pStyle w:val="TextBody"/>
        <w:spacing w:before="120" w:after="0"/>
        <w:jc w:val="left"/>
        <w:rPr>
          <w:rFonts w:ascii="Times New Roman" w:hAnsi="Times New Roman"/>
          <w:sz w:val="20"/>
        </w:rPr>
      </w:pPr>
      <w:r>
        <w:rPr>
          <w:rFonts w:ascii="Times New Roman" w:hAnsi="Times New Roman"/>
          <w:sz w:val="20"/>
        </w:rPr>
        <w:t xml:space="preserve">On December 14, 2020, the Sponsor agreed to loan the Company up to $300,000 pursuant to a promissory note (the “Note”). The Note was </w:t>
      </w:r>
    </w:p>
    <w:p>
      <w:pPr>
        <w:pStyle w:val="TextBody"/>
        <w:spacing w:before="120" w:after="0"/>
        <w:jc w:val="left"/>
        <w:rPr>
          <w:rFonts w:ascii="Times New Roman" w:hAnsi="Times New Roman"/>
          <w:spacing w:val="0"/>
          <w:sz w:val="20"/>
        </w:rPr>
      </w:pPr>
      <w:r>
        <w:rPr>
          <w:rFonts w:ascii="Times New Roman" w:hAnsi="Times New Roman"/>
          <w:spacing w:val="0"/>
          <w:sz w:val="20"/>
        </w:rPr>
        <w:t>non-interest</w:t>
      </w:r>
    </w:p>
    <w:p>
      <w:pPr>
        <w:pStyle w:val="TextBody"/>
        <w:spacing w:before="120" w:after="0"/>
        <w:jc w:val="left"/>
        <w:rPr>
          <w:rFonts w:ascii="Times New Roman" w:hAnsi="Times New Roman"/>
          <w:sz w:val="20"/>
        </w:rPr>
      </w:pPr>
      <w:r>
        <w:rPr>
          <w:rFonts w:ascii="Times New Roman" w:hAnsi="Times New Roman"/>
          <w:sz w:val="20"/>
        </w:rPr>
        <w:t xml:space="preserve">bearing, unsecured and due upon the closing of the Initial Public Offering. As of March 11, 2021, the Company fully borrowed $300,000 under the Note. In addition, the Sponsor also advanced approximately $114,000 to the Company. The Company fully repaid the Note balance and the advance from the Sponsor, for a total of approximately $414,000, on March 15, 2021.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will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$2.0 million of such Working Capital Loans may be convertible into shares of the post Business Combination entity at a price of $10.00 per share. The shares would be identical to the Private Placement Shares. On August 10, 2021 the Sponsor agreed to loan the Company $2.0 million as the Working Capital Loan. On November 9, 2021 the Sponsor and the Company agreed to amend this loan to increase the commitment by $1.0 million.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The Company has determined that the conversion feature does not require bifurcation as an embedded derivative and as such the carrying value of the loan would be recognized at cost and presented as a liability on the accompanying condensed balance sheets. As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of March 31, 2022 there was $3.0 million under the Working Capital Loan. As of December 31, 2021 there were no amounts outstanding under any Working Capital Loans.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Administrative Service Agreement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Commencing on the date that the Company’s securities were first listed on the NASDAQ through the earlier of consummation of the initial Business Combination and the liquidation, the Company agreed to pay the Sponsor $10,000 per month for office space, secretarial and administrative services provided to the Company by an affiliate of the Sponsor.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incurred $30,000 and $10,000 in such fees included as general and administrative expenses to related party on the accompanying unaudited condensed consolidated statements of operations for three months ended March 31, 2022 and 2021, respectively. As of March 31, 2022 $130,000 was due to the Sponsor and is included in due to related party on the accompanying condensed balance sheets. As December 31, 2021 $100,000 was due to the Sponsor and was included in the due to related party on the accompanying condensed balance sheets. </w:t>
      </w:r>
    </w:p>
    <w:p>
      <w:pPr>
        <w:pStyle w:val="TextBody"/>
        <w:spacing w:before="240" w:after="0"/>
        <w:jc w:val="left"/>
        <w:rPr>
          <w:rFonts w:ascii="Times New Roman" w:hAnsi="Times New Roman"/>
          <w:sz w:val="20"/>
        </w:rPr>
      </w:pPr>
      <w:r>
        <w:rPr>
          <w:rFonts w:ascii="Times New Roman" w:hAnsi="Times New Roman"/>
          <w:sz w:val="20"/>
        </w:rPr>
        <w:t xml:space="preserve">In addition, the Sponsor, officers and directors, or their respective affiliates will be reimbursed for any </w:t>
      </w:r>
    </w:p>
    <w:p>
      <w:pPr>
        <w:pStyle w:val="TextBody"/>
        <w:spacing w:before="240" w:after="0"/>
        <w:jc w:val="left"/>
        <w:rPr>
          <w:rFonts w:ascii="Times New Roman" w:hAnsi="Times New Roman"/>
          <w:spacing w:val="0"/>
          <w:sz w:val="20"/>
        </w:rPr>
      </w:pPr>
      <w:r>
        <w:rPr>
          <w:rFonts w:ascii="Times New Roman" w:hAnsi="Times New Roman"/>
          <w:spacing w:val="0"/>
          <w:sz w:val="20"/>
        </w:rPr>
        <w:t>out-of-pocket</w:t>
      </w:r>
    </w:p>
    <w:p>
      <w:pPr>
        <w:pStyle w:val="TextBody"/>
        <w:spacing w:before="240" w:after="0"/>
        <w:jc w:val="left"/>
        <w:rPr>
          <w:rFonts w:ascii="Times New Roman" w:hAnsi="Times New Roman"/>
          <w:sz w:val="20"/>
        </w:rPr>
      </w:pPr>
      <w:r>
        <w:rPr>
          <w:rFonts w:ascii="Times New Roman" w:hAnsi="Times New Roman"/>
          <w:sz w:val="20"/>
        </w:rPr>
        <w:t xml:space="preserve">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addition to the administrative services agreement fee of $130,000 and $100,000 (as noted above) approximately $867,000, and $459,000 is due to the Sponsor’s affiliates for reimbursements of expenses and is included in due to related party on the accompanying condensed balance sheets as of March 31, 2022 and December 31, 2021, respectively.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5 — Commitments and Contingencies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Registration and Shareholder Rights </w:t>
      </w:r>
    </w:p>
    <w:p>
      <w:pPr>
        <w:pStyle w:val="TextBody"/>
        <w:spacing w:before="120" w:after="0"/>
        <w:jc w:val="left"/>
        <w:rPr>
          <w:rFonts w:ascii="Times New Roman" w:hAnsi="Times New Roman"/>
          <w:spacing w:val="0"/>
          <w:sz w:val="20"/>
        </w:rPr>
      </w:pPr>
      <w:r>
        <w:rPr>
          <w:rFonts w:ascii="Times New Roman" w:hAnsi="Times New Roman"/>
          <w:spacing w:val="0"/>
          <w:sz w:val="20"/>
        </w:rPr>
        <w:t>The holders of the Founder Shares, Private Placement Shares, and any shares that may be issued upon conversion of Working Capital Loans (and any Class A ordinary shares issuable upon conversion of the Founder Shares)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had certain “piggy-back” registration rights with respect to registration statements filed subsequent to the completion of the initial Business Combination. The Company will bear the expenses incurred in connection with the filing of any such registration statements.</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14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Underwriting Agreement </w:t>
      </w:r>
    </w:p>
    <w:p>
      <w:pPr>
        <w:pStyle w:val="TextBody"/>
        <w:spacing w:before="120" w:after="0"/>
        <w:jc w:val="left"/>
        <w:rPr>
          <w:rFonts w:ascii="Times New Roman" w:hAnsi="Times New Roman"/>
          <w:sz w:val="20"/>
        </w:rPr>
      </w:pPr>
      <w:r>
        <w:rPr>
          <w:rFonts w:ascii="Times New Roman" w:hAnsi="Times New Roman"/>
          <w:sz w:val="20"/>
        </w:rPr>
        <w:t xml:space="preserve">The Company granted the underwriters a </w:t>
      </w:r>
    </w:p>
    <w:p>
      <w:pPr>
        <w:pStyle w:val="TextBody"/>
        <w:spacing w:before="120" w:after="0"/>
        <w:jc w:val="left"/>
        <w:rPr>
          <w:rFonts w:ascii="Times New Roman" w:hAnsi="Times New Roman"/>
          <w:spacing w:val="0"/>
          <w:sz w:val="20"/>
        </w:rPr>
      </w:pPr>
      <w:r>
        <w:rPr>
          <w:rFonts w:ascii="Times New Roman" w:hAnsi="Times New Roman"/>
          <w:spacing w:val="0"/>
          <w:sz w:val="20"/>
        </w:rPr>
        <w:t>45-day</w:t>
      </w:r>
    </w:p>
    <w:p>
      <w:pPr>
        <w:pStyle w:val="TextBody"/>
        <w:spacing w:before="120" w:after="0"/>
        <w:jc w:val="left"/>
        <w:rPr>
          <w:rFonts w:ascii="Times New Roman" w:hAnsi="Times New Roman"/>
          <w:sz w:val="20"/>
        </w:rPr>
      </w:pPr>
      <w:r>
        <w:rPr>
          <w:rFonts w:ascii="Times New Roman" w:hAnsi="Times New Roman"/>
          <w:sz w:val="20"/>
        </w:rPr>
        <w:t xml:space="preserve">option from the date of the prospectus to purchase up to 4,000,000 additional shares at the Initial Public Offering price less the underwriting discounts and commissions.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underwriters fully exercised the over-allotment option on March 11, 2021. The underwriters were entitled to an underwriting discount of $0.20 per unit, or $6.4 million in the aggregate, paid upon the closing of the Initial Public Offering. In addition, $0.35 per unit, or approximately $11.2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 On April 22, 2021, the underwriters made a payment to the Company in an amount of $640,000 to reimburse certain of the expenses in connection with its Initial Public Offering.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Forward Purchase Agreement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entered into a forward purchase agreement (a “Forward Purchase Agreement”) with SVF II SPAC Investment 3 (DE) LLC (the “Forward Purchase Investor”), which provides for the purchase of $150 million forward purchase shares (the “Forward Purchase Shares”), for $10.00 per share, in a private placement to close substantially concurrently with the closing of the initial Business Combination. The Forward Purchase Agreement also provides that the Forward Purchase Investor may elect to purchase up to an additional $50 million of Forward Purchase Shares, for a purchase price of $10.00 per share. Any elections to purchase up to 5,000,000 additional Forward Purchase Shares will take place in one or more private placements in such amounts and at such time as the Forward Purchase Investor determine, but no later than simultaneously with the closing of the initial Business Combination. The Company and the Forward Purchase Investor may determine, by mutual agreement, to increase the number of additional Forward Purchase Shares at any time prior to the initial Business Combination. The obligations under the Forward Purchase Agreement do not depend on whether any Class A ordinary shares are redeemed by the Public Shareholders. The forward purchase securities will be issued only in connection with the closing of the initial Business Combination. The proceeds from the sale of forward purchase securities may be used as part of the consideration to the sellers in the initial Business Combination, expenses in connection with the initial Business Combination or for working capital in the post-transaction company. On March 23, 2022, the Forward Purchase Investor elected to purchase an additional $50 million of Forward Purchase Shares, for a purchase price of $10.00 per share, subject to and on the terms set out in such election and the Forward Purchase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Agreement. The Forward Purchase Agreement should be classified within shareholders’ deficit, and the Forward Purchase Agreement is considered indexed to the Company’s own share under ASC Topic 815-40, Derivatives and Hedging - Contracts in Entity’s Own Equity. As such, the Forward Purchase Agreement meets the scope exception in ASC 815-10-15-74(a) to derivative accounting and; therefore, the Forward Purchase Agreement should be classified in shareholders’ deficit.</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Advisory Fees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 connection with the Business Combination the Company entered into agreements with certain thirds parties which will be entitled to an advisory fee of approximately $9.0 million to be paid upon closing of the Business Combination.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6 — Class A Ordinary Shares Subject to Possible Redemption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Company’s Class A ordinary shares feature certain redemption rights that are considered to be outside of the Company’s control and subject to the occurrence of uncertain future events. The Company is authorized to issue 200,000,000 Class A ordinary shares with a par value of $0.0001 per share. Holders of the Company’s Class A ordinary shares are entitled to one vote for each share. As of March 31, 2022, there were 32,000,000 Class A ordinary shares outstanding that were subject to possible redemption.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As of March 31, 2022, Class A ordinary shares reflected on the accompanying condensed consolidated balance sheets are reconciled in the following table: </w:t>
      </w:r>
    </w:p>
    <w:p>
      <w:pPr>
        <w:pStyle w:val="TextBody"/>
        <w:spacing w:before="0" w:after="0"/>
        <w:jc w:val="left"/>
        <w:rPr>
          <w:spacing w:val="0"/>
        </w:rPr>
      </w:pPr>
      <w:r>
        <w:rPr>
          <w:spacing w:val="0"/>
        </w:rPr>
        <w:t> </w:t>
      </w:r>
    </w:p>
    <w:tbl>
      <w:tblPr>
        <w:tblW w:w="6035" w:type="dxa"/>
        <w:jc w:val="left"/>
        <w:tblInd w:w="0" w:type="dxa"/>
        <w:tblCellMar>
          <w:top w:w="0" w:type="dxa"/>
          <w:left w:w="0" w:type="dxa"/>
          <w:bottom w:w="0" w:type="dxa"/>
          <w:right w:w="0" w:type="dxa"/>
        </w:tblCellMar>
      </w:tblPr>
      <w:tblGrid>
        <w:gridCol w:w="4385"/>
        <w:gridCol w:w="120"/>
        <w:gridCol w:w="140"/>
        <w:gridCol w:w="1220"/>
        <w:gridCol w:w="170"/>
      </w:tblGrid>
      <w:tr>
        <w:trPr/>
        <w:tc>
          <w:tcPr>
            <w:tcW w:w="4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3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Gross proceeds from initial public offering</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320,000,000</w:t>
            </w:r>
          </w:p>
        </w:tc>
        <w:tc>
          <w:tcPr>
            <w:tcW w:w="170" w:type="dxa"/>
            <w:tcBorders/>
            <w:shd w:fill="CCEEFF" w:val="clear"/>
            <w:vAlign w:val="center"/>
          </w:tcPr>
          <w:p>
            <w:pPr>
              <w:pStyle w:val="TableContents"/>
              <w:spacing w:before="0" w:after="283"/>
              <w:rPr/>
            </w:pPr>
            <w:r>
              <w:rPr/>
              <w:t> </w:t>
            </w:r>
          </w:p>
        </w:tc>
      </w:tr>
      <w:tr>
        <w:trPr/>
        <w:tc>
          <w:tcPr>
            <w:tcW w:w="43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43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Class A ordinary shares issuance costs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(17,455,524</w:t>
            </w:r>
          </w:p>
        </w:tc>
        <w:tc>
          <w:tcPr>
            <w:tcW w:w="170" w:type="dxa"/>
            <w:tcBorders/>
            <w:shd w:fill="CCEEFF" w:val="clear"/>
            <w:vAlign w:val="center"/>
          </w:tcPr>
          <w:p>
            <w:pPr>
              <w:pStyle w:val="TableContents"/>
              <w:spacing w:before="0" w:after="283"/>
              <w:rPr/>
            </w:pPr>
            <w:r>
              <w:rPr/>
              <w:t>) </w:t>
            </w:r>
          </w:p>
        </w:tc>
      </w:tr>
      <w:tr>
        <w:trPr/>
        <w:tc>
          <w:tcPr>
            <w:tcW w:w="43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Plus: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43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Accretion of carrying value to redemption value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17,455,524</w:t>
            </w:r>
          </w:p>
        </w:tc>
        <w:tc>
          <w:tcPr>
            <w:tcW w:w="170" w:type="dxa"/>
            <w:tcBorders/>
            <w:shd w:fill="CCEEFF" w:val="clear"/>
            <w:vAlign w:val="center"/>
          </w:tcPr>
          <w:p>
            <w:pPr>
              <w:pStyle w:val="TableContents"/>
              <w:spacing w:before="0" w:after="283"/>
              <w:rPr/>
            </w:pPr>
            <w:r>
              <w:rPr/>
              <w:t> </w:t>
            </w:r>
          </w:p>
        </w:tc>
      </w:tr>
      <w:tr>
        <w:trPr/>
        <w:tc>
          <w:tcPr>
            <w:tcW w:w="43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3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Class A ordinary share subject to possible redemption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320,000,000</w:t>
            </w:r>
          </w:p>
        </w:tc>
        <w:tc>
          <w:tcPr>
            <w:tcW w:w="170" w:type="dxa"/>
            <w:tcBorders/>
            <w:shd w:fill="auto" w:val="clear"/>
            <w:vAlign w:val="center"/>
          </w:tcPr>
          <w:p>
            <w:pPr>
              <w:pStyle w:val="TableContents"/>
              <w:spacing w:before="0" w:after="283"/>
              <w:rPr/>
            </w:pPr>
            <w:r>
              <w:rPr/>
              <w:t> </w:t>
            </w:r>
          </w:p>
        </w:tc>
      </w:tr>
      <w:tr>
        <w:trPr/>
        <w:tc>
          <w:tcPr>
            <w:tcW w:w="43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Note 7 — Shareholders’ Deficit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Preference Shares</w:t>
      </w:r>
    </w:p>
    <w:p>
      <w:pPr>
        <w:pStyle w:val="TextBody"/>
        <w:spacing w:before="120" w:after="0"/>
        <w:jc w:val="left"/>
        <w:rPr/>
      </w:pPr>
      <w:r>
        <w:rPr/>
        <w:t>—</w:t>
      </w:r>
      <w:r>
        <w:rPr>
          <w:rFonts w:ascii="Times New Roman" w:hAnsi="Times New Roman"/>
          <w:sz w:val="20"/>
        </w:rPr>
        <w:t xml:space="preserve">The Company is authorized to issue 1,000,000 shares of preferred stock with a par value of $0.0001 from time to time in one or more series. As of March 31, 2022 and December 31, 2021, there were no shares of preferred stock issued or outstanding.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Class</w:t>
      </w:r>
    </w:p>
    <w:p>
      <w:pPr>
        <w:pStyle w:val="TextBody"/>
        <w:spacing w:before="0" w:after="0"/>
        <w:jc w:val="left"/>
        <w:rPr>
          <w:caps w:val="false"/>
          <w:smallCaps w:val="false"/>
          <w:spacing w:val="0"/>
        </w:rPr>
      </w:pPr>
      <w:r>
        <w:rPr>
          <w:caps w:val="false"/>
          <w:smallCaps w:val="false"/>
          <w:spacing w:val="0"/>
        </w:rPr>
        <w:t> </w:t>
      </w:r>
      <w:r>
        <w:rPr>
          <w:rFonts w:ascii="Times New Roman" w:hAnsi="Times New Roman"/>
          <w:b/>
          <w:i/>
          <w:caps w:val="false"/>
          <w:smallCaps w:val="false"/>
          <w:spacing w:val="0"/>
          <w:sz w:val="20"/>
        </w:rPr>
        <w:t xml:space="preserve">A Ordinary Shares </w:t>
      </w:r>
    </w:p>
    <w:p>
      <w:pPr>
        <w:pStyle w:val="TextBody"/>
        <w:spacing w:before="0" w:after="0"/>
        <w:jc w:val="left"/>
        <w:rPr>
          <w:rFonts w:ascii="Times New Roman" w:hAnsi="Times New Roman"/>
          <w:sz w:val="20"/>
        </w:rPr>
      </w:pPr>
      <w:r>
        <w:rPr>
          <w:rFonts w:ascii="Times New Roman" w:hAnsi="Times New Roman"/>
          <w:sz w:val="20"/>
        </w:rPr>
        <w:t xml:space="preserve">- The Company is authorized to issue 200,000,000 Class A ordinary shares with a par value of $0.0001 per share. Holders of the Company’s Class A ordinary shares are entitled to one vote for each share. As of March 31, 2022 and December 31, 2021, there were 33,040,000 shares of Class A ordinary shares outstanding, of which 32,000,000 were subject to possible redemption and are classified outside of permanent equity in the accompanying balance sheets (see Note 6).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Class</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b/>
          <w:i/>
          <w:caps w:val="false"/>
          <w:smallCaps w:val="false"/>
          <w:spacing w:val="0"/>
          <w:sz w:val="20"/>
        </w:rPr>
        <w:t xml:space="preserve">B Ordinary Shares </w:t>
      </w:r>
    </w:p>
    <w:p>
      <w:pPr>
        <w:pStyle w:val="TextBody"/>
        <w:spacing w:before="240" w:after="0"/>
        <w:jc w:val="left"/>
        <w:rPr>
          <w:rFonts w:ascii="Times New Roman" w:hAnsi="Times New Roman"/>
          <w:sz w:val="20"/>
        </w:rPr>
      </w:pPr>
      <w:r>
        <w:rPr>
          <w:rFonts w:ascii="Times New Roman" w:hAnsi="Times New Roman"/>
          <w:sz w:val="20"/>
        </w:rPr>
        <w:t xml:space="preserve">- The Company is authorized to issue 20,000,000 Class B ordinary shares with a par value of $0.0001 per share. On December 14, 2020, the Company issued 2,875,000 Class B ordinary shares to the Sponsor. On January 29, 2021, the Company effected a share dividend of 12,125,000 Class B ordinary shares and on February 3 and February 26, 2021, the Sponsor surrendered 5,000,000 and 2,000,000 Class B ordinary shares for no consideration, respectively. The share dividend and share surrender resulted in an aggregate of 8,000,000 Class B ordinary shares outstanding. All shares and associated amounts have been retroactively restated to reflect the share capitalization. Of the 8,000,000 Class B ordinary shares outstanding, up to 1,000,000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(excluding the Private Placement Shares and the Forward Purchase Shares). The underwriters fully exercised the over-allotment option on March 11, 2021; thus, these 1,000,000 Founder Shares were no longer subject to forfeiture. As of March 31, 2022 and December 31, 2021, there were 8,000,000 Class B ordinary shares outstanding.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Ordinary shareholders of record are entitled to one vote for each share held on all matters to be voted on by shareholders. Holders of Class A ordinary shares and holders of Class B ordinary shares will vote together as a single class on all matters submitted to a vote of the shareholders except as required by law. </w:t>
      </w:r>
    </w:p>
    <w:p>
      <w:pPr>
        <w:pStyle w:val="TextBody"/>
        <w:spacing w:before="240" w:after="0"/>
        <w:jc w:val="left"/>
        <w:rPr>
          <w:rFonts w:ascii="Times New Roman" w:hAnsi="Times New Roman"/>
          <w:sz w:val="20"/>
        </w:rPr>
      </w:pPr>
      <w:r>
        <w:rPr>
          <w:rFonts w:ascii="Times New Roman" w:hAnsi="Times New Roman"/>
          <w:sz w:val="20"/>
        </w:rPr>
        <w:t xml:space="preserve">The Class B ordinary shares will automatically convert into Class A ordinary shares at the time of the initial Business Combination or earlier at the option of the holders thereof at a ratio such that the number of Class A ordinary shares issuable upon conversion of all Founder Shares will equal, in the aggregate, on an </w:t>
      </w:r>
    </w:p>
    <w:p>
      <w:pPr>
        <w:pStyle w:val="TextBody"/>
        <w:spacing w:before="240" w:after="0"/>
        <w:jc w:val="left"/>
        <w:rPr>
          <w:rFonts w:ascii="Times New Roman" w:hAnsi="Times New Roman"/>
          <w:spacing w:val="0"/>
          <w:sz w:val="20"/>
        </w:rPr>
      </w:pPr>
      <w:r>
        <w:rPr>
          <w:rFonts w:ascii="Times New Roman" w:hAnsi="Times New Roman"/>
          <w:spacing w:val="0"/>
          <w:sz w:val="20"/>
        </w:rPr>
        <w:t>as-converted</w:t>
      </w:r>
    </w:p>
    <w:p>
      <w:pPr>
        <w:pStyle w:val="TextBody"/>
        <w:spacing w:before="240" w:after="0"/>
        <w:jc w:val="left"/>
        <w:rPr>
          <w:rFonts w:ascii="Times New Roman" w:hAnsi="Times New Roman"/>
          <w:sz w:val="20"/>
        </w:rPr>
      </w:pPr>
      <w:r>
        <w:rPr>
          <w:rFonts w:ascii="Times New Roman" w:hAnsi="Times New Roman"/>
          <w:sz w:val="20"/>
        </w:rPr>
        <w:t xml:space="preserve">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the number of Class A ordinary shares to be sold pursuant to the Private Placement Shares Purchase Agreement and the Forward Purchase Agreement and any Class A ordinary shares or equity-linked securities exercisable for or convertible into Class A ordinary shares issued, deemed issued, or to be issued, to any seller in the initial Business Combination and any private placement shares issued to the Sponsor, its affiliates or any member of the management team upon conversion of Working Capital Loans. In no event will the Class B ordinary shares convert into Class A ordinary shares at a rate of less than </w:t>
      </w:r>
    </w:p>
    <w:p>
      <w:pPr>
        <w:pStyle w:val="TextBody"/>
        <w:spacing w:before="240" w:after="0"/>
        <w:jc w:val="left"/>
        <w:rPr>
          <w:rFonts w:ascii="Times New Roman" w:hAnsi="Times New Roman"/>
          <w:spacing w:val="0"/>
          <w:sz w:val="20"/>
        </w:rPr>
      </w:pPr>
      <w:r>
        <w:rPr>
          <w:rFonts w:ascii="Times New Roman" w:hAnsi="Times New Roman"/>
          <w:spacing w:val="0"/>
          <w:sz w:val="20"/>
        </w:rPr>
        <w:t>one-to-one.</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8 — Fair Value Measurements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following tables present information about the Company’s assets that are measured at fair value on a recurring basis as of March 31, 2022 and December 31, 2021, and indicates the fair value hierarchy of the valuation techniques that the Company utilized to determine such fair value: </w:t>
      </w:r>
    </w:p>
    <w:p>
      <w:pPr>
        <w:pStyle w:val="TextBody"/>
        <w:spacing w:before="360" w:after="0"/>
        <w:jc w:val="left"/>
        <w:rPr>
          <w:rFonts w:ascii="Times New Roman" w:hAnsi="Times New Roman"/>
          <w:b/>
          <w:spacing w:val="0"/>
          <w:sz w:val="20"/>
        </w:rPr>
      </w:pPr>
      <w:r>
        <w:rPr>
          <w:rFonts w:ascii="Times New Roman" w:hAnsi="Times New Roman"/>
          <w:b/>
          <w:spacing w:val="0"/>
          <w:sz w:val="20"/>
        </w:rPr>
        <w:t>March 31, 2022:</w:t>
      </w:r>
    </w:p>
    <w:p>
      <w:pPr>
        <w:pStyle w:val="TextBody"/>
        <w:spacing w:before="0" w:after="0"/>
        <w:jc w:val="left"/>
        <w:rPr>
          <w:spacing w:val="0"/>
        </w:rPr>
      </w:pPr>
      <w:r>
        <w:rPr>
          <w:spacing w:val="0"/>
        </w:rPr>
        <w:t> </w:t>
      </w:r>
    </w:p>
    <w:tbl>
      <w:tblPr>
        <w:tblW w:w="9340" w:type="dxa"/>
        <w:jc w:val="left"/>
        <w:tblInd w:w="0" w:type="dxa"/>
        <w:tblCellMar>
          <w:top w:w="0" w:type="dxa"/>
          <w:left w:w="0" w:type="dxa"/>
          <w:bottom w:w="0" w:type="dxa"/>
          <w:right w:w="0" w:type="dxa"/>
        </w:tblCellMar>
      </w:tblPr>
      <w:tblGrid>
        <w:gridCol w:w="4820"/>
        <w:gridCol w:w="120"/>
        <w:gridCol w:w="140"/>
        <w:gridCol w:w="1220"/>
        <w:gridCol w:w="60"/>
        <w:gridCol w:w="120"/>
        <w:gridCol w:w="316"/>
        <w:gridCol w:w="859"/>
        <w:gridCol w:w="60"/>
        <w:gridCol w:w="120"/>
        <w:gridCol w:w="385"/>
        <w:gridCol w:w="1045"/>
        <w:gridCol w:w="75"/>
      </w:tblGrid>
      <w:tr>
        <w:trPr/>
        <w:tc>
          <w:tcPr>
            <w:tcW w:w="48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Description</w:t>
            </w:r>
          </w:p>
        </w:tc>
        <w:tc>
          <w:tcPr>
            <w:tcW w:w="12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0"/>
              <w:jc w:val="center"/>
              <w:rPr>
                <w:b/>
                <w:spacing w:val="0"/>
              </w:rPr>
            </w:pPr>
            <w:r>
              <w:rPr>
                <w:b/>
                <w:spacing w:val="0"/>
              </w:rPr>
              <w:t>Quoted</w:t>
              <w:br/>
              <w:t>Prices</w:t>
              <w:br/>
              <w:t>in Active</w:t>
              <w:br/>
              <w:t>Markets</w:t>
              <w:br/>
              <w:t>(Level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0"/>
              <w:jc w:val="center"/>
              <w:rPr>
                <w:b/>
                <w:spacing w:val="0"/>
              </w:rPr>
            </w:pPr>
            <w:r>
              <w:rPr>
                <w:b/>
                <w:spacing w:val="0"/>
              </w:rPr>
              <w:t>Significant</w:t>
              <w:br/>
              <w:t>Other</w:t>
              <w:br/>
              <w:t>Observable</w:t>
              <w:br/>
              <w:t>Inputs</w:t>
              <w:br/>
              <w:t>(Level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0" w:type="dxa"/>
            <w:gridSpan w:val="2"/>
            <w:tcBorders/>
            <w:shd w:fill="auto" w:val="clear"/>
            <w:vAlign w:val="center"/>
          </w:tcPr>
          <w:p>
            <w:pPr>
              <w:pStyle w:val="TableContents"/>
              <w:spacing w:before="0" w:after="0"/>
              <w:jc w:val="center"/>
              <w:rPr>
                <w:b/>
                <w:spacing w:val="0"/>
              </w:rPr>
            </w:pPr>
            <w:r>
              <w:rPr>
                <w:b/>
                <w:spacing w:val="0"/>
              </w:rPr>
              <w:t>Significant</w:t>
              <w:br/>
              <w:t>Other</w:t>
              <w:br/>
              <w:t>Unobservable</w:t>
              <w:br/>
              <w:t>Inputs</w:t>
              <w:br/>
              <w:t>(Level 3)</w:t>
            </w:r>
          </w:p>
        </w:tc>
        <w:tc>
          <w:tcPr>
            <w:tcW w:w="75" w:type="dxa"/>
            <w:tcBorders/>
            <w:shd w:fill="auto" w:val="clear"/>
            <w:vAlign w:val="center"/>
          </w:tcPr>
          <w:p>
            <w:pPr>
              <w:pStyle w:val="TableContents"/>
              <w:spacing w:before="0" w:after="283"/>
              <w:rPr/>
            </w:pPr>
            <w:r>
              <w:rPr/>
              <w:t> </w:t>
            </w:r>
          </w:p>
        </w:tc>
      </w:tr>
      <w:tr>
        <w:trPr/>
        <w:tc>
          <w:tcPr>
            <w:tcW w:w="482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16"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 </w:t>
            </w:r>
          </w:p>
        </w:tc>
        <w:tc>
          <w:tcPr>
            <w:tcW w:w="104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48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Investments held in Trust Account—US Treasury securities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320,043,033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w:t>
            </w:r>
          </w:p>
        </w:tc>
        <w:tc>
          <w:tcPr>
            <w:tcW w:w="85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w:t>
            </w:r>
          </w:p>
        </w:tc>
        <w:tc>
          <w:tcPr>
            <w:tcW w:w="1045"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December 31, 2021: </w:t>
      </w:r>
    </w:p>
    <w:p>
      <w:pPr>
        <w:pStyle w:val="TextBody"/>
        <w:spacing w:before="0" w:after="0"/>
        <w:jc w:val="left"/>
        <w:rPr>
          <w:spacing w:val="0"/>
        </w:rPr>
      </w:pPr>
      <w:r>
        <w:rPr>
          <w:spacing w:val="0"/>
        </w:rPr>
        <w:t> </w:t>
      </w:r>
    </w:p>
    <w:tbl>
      <w:tblPr>
        <w:tblW w:w="9340" w:type="dxa"/>
        <w:jc w:val="left"/>
        <w:tblInd w:w="0" w:type="dxa"/>
        <w:tblCellMar>
          <w:top w:w="0" w:type="dxa"/>
          <w:left w:w="0" w:type="dxa"/>
          <w:bottom w:w="0" w:type="dxa"/>
          <w:right w:w="0" w:type="dxa"/>
        </w:tblCellMar>
      </w:tblPr>
      <w:tblGrid>
        <w:gridCol w:w="4820"/>
        <w:gridCol w:w="120"/>
        <w:gridCol w:w="140"/>
        <w:gridCol w:w="1220"/>
        <w:gridCol w:w="60"/>
        <w:gridCol w:w="120"/>
        <w:gridCol w:w="316"/>
        <w:gridCol w:w="859"/>
        <w:gridCol w:w="60"/>
        <w:gridCol w:w="120"/>
        <w:gridCol w:w="385"/>
        <w:gridCol w:w="1045"/>
        <w:gridCol w:w="75"/>
      </w:tblGrid>
      <w:tr>
        <w:trPr/>
        <w:tc>
          <w:tcPr>
            <w:tcW w:w="48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Description</w:t>
            </w:r>
          </w:p>
        </w:tc>
        <w:tc>
          <w:tcPr>
            <w:tcW w:w="12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0"/>
              <w:jc w:val="center"/>
              <w:rPr>
                <w:b/>
                <w:spacing w:val="0"/>
              </w:rPr>
            </w:pPr>
            <w:r>
              <w:rPr>
                <w:b/>
                <w:spacing w:val="0"/>
              </w:rPr>
              <w:t>Quoted</w:t>
              <w:br/>
              <w:t>Prices</w:t>
              <w:br/>
              <w:t>in Active</w:t>
              <w:br/>
              <w:t>Markets</w:t>
              <w:br/>
              <w:t>(Level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0"/>
              <w:jc w:val="center"/>
              <w:rPr>
                <w:b/>
                <w:spacing w:val="0"/>
              </w:rPr>
            </w:pPr>
            <w:r>
              <w:rPr>
                <w:b/>
                <w:spacing w:val="0"/>
              </w:rPr>
              <w:t>Significant</w:t>
              <w:br/>
              <w:t>Other</w:t>
              <w:br/>
              <w:t>Observable</w:t>
              <w:br/>
              <w:t>Inputs</w:t>
              <w:br/>
              <w:t>(Level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0" w:type="dxa"/>
            <w:gridSpan w:val="2"/>
            <w:tcBorders/>
            <w:shd w:fill="auto" w:val="clear"/>
            <w:vAlign w:val="center"/>
          </w:tcPr>
          <w:p>
            <w:pPr>
              <w:pStyle w:val="TableContents"/>
              <w:spacing w:before="0" w:after="0"/>
              <w:jc w:val="center"/>
              <w:rPr>
                <w:b/>
                <w:spacing w:val="0"/>
              </w:rPr>
            </w:pPr>
            <w:r>
              <w:rPr>
                <w:b/>
                <w:spacing w:val="0"/>
              </w:rPr>
              <w:t>Significant</w:t>
              <w:br/>
              <w:t>Other</w:t>
              <w:br/>
              <w:t>Unobservable</w:t>
              <w:br/>
              <w:t>Inputs</w:t>
              <w:br/>
              <w:t>(Level 3)</w:t>
            </w:r>
          </w:p>
        </w:tc>
        <w:tc>
          <w:tcPr>
            <w:tcW w:w="75" w:type="dxa"/>
            <w:tcBorders/>
            <w:shd w:fill="auto" w:val="clear"/>
            <w:vAlign w:val="center"/>
          </w:tcPr>
          <w:p>
            <w:pPr>
              <w:pStyle w:val="TableContents"/>
              <w:spacing w:before="0" w:after="283"/>
              <w:rPr/>
            </w:pPr>
            <w:r>
              <w:rPr/>
              <w:t> </w:t>
            </w:r>
          </w:p>
        </w:tc>
      </w:tr>
      <w:tr>
        <w:trPr/>
        <w:tc>
          <w:tcPr>
            <w:tcW w:w="482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16"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 </w:t>
            </w:r>
          </w:p>
        </w:tc>
        <w:tc>
          <w:tcPr>
            <w:tcW w:w="104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48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Investments held in Trust Account—US Treasury securities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320,016,430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w:t>
            </w:r>
          </w:p>
        </w:tc>
        <w:tc>
          <w:tcPr>
            <w:tcW w:w="85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w:t>
            </w:r>
          </w:p>
        </w:tc>
        <w:tc>
          <w:tcPr>
            <w:tcW w:w="1045"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Transfers to/from Levels 1, 2, and 3 are recognized at the beginning of the reporting period. There were no transfers between levels of the hierarchy for three months ended March 31, 2022 and December 31, 2021.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9 — Subsequent Events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evaluated subsequent events and transactions that occurred after the accompanying balance sheets date up to the date that the unaudited condensed consolidated financial statements were issued. Based upon this review, other than as described above, the Company did not identify any subsequent events that would have required adjustment or disclosure in the condensed consolidated financial statements. </w:t>
      </w:r>
    </w:p>
    <w:p>
      <w:pPr>
        <w:pStyle w:val="TextBody"/>
        <w:spacing w:before="0" w:after="0"/>
        <w:jc w:val="left"/>
        <w:rPr>
          <w:spacing w:val="0"/>
        </w:rPr>
      </w:pPr>
      <w:r>
        <w:rPr>
          <w:spacing w:val="0"/>
        </w:rPr>
        <w:t> </w:t>
      </w:r>
    </w:p>
    <w:tbl>
      <w:tblPr>
        <w:tblW w:w="8350" w:type="dxa"/>
        <w:jc w:val="left"/>
        <w:tblInd w:w="0" w:type="dxa"/>
        <w:tblCellMar>
          <w:top w:w="0" w:type="dxa"/>
          <w:left w:w="0" w:type="dxa"/>
          <w:bottom w:w="0" w:type="dxa"/>
          <w:right w:w="0" w:type="dxa"/>
        </w:tblCellMar>
      </w:tblPr>
      <w:tblGrid>
        <w:gridCol w:w="740"/>
        <w:gridCol w:w="7610"/>
      </w:tblGrid>
      <w:tr>
        <w:trPr/>
        <w:tc>
          <w:tcPr>
            <w:tcW w:w="740" w:type="dxa"/>
            <w:tcBorders/>
            <w:shd w:fill="auto" w:val="clear"/>
            <w:vAlign w:val="center"/>
          </w:tcPr>
          <w:p>
            <w:pPr>
              <w:pStyle w:val="TableContents"/>
              <w:spacing w:before="0" w:after="0"/>
              <w:jc w:val="left"/>
              <w:rPr>
                <w:b/>
                <w:spacing w:val="0"/>
              </w:rPr>
            </w:pPr>
            <w:bookmarkStart w:id="3" w:name="tx317211_7"/>
            <w:bookmarkEnd w:id="3"/>
            <w:r>
              <w:rPr>
                <w:b/>
                <w:spacing w:val="0"/>
              </w:rPr>
              <w:t>Item 2.</w:t>
            </w:r>
          </w:p>
        </w:tc>
        <w:tc>
          <w:tcPr>
            <w:tcW w:w="761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Management’s Discussion and Analysis of Financial Conditions and Results of Operations </w:t>
            </w:r>
          </w:p>
        </w:tc>
      </w:tr>
    </w:tbl>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References to the “Company,” “SVF Investment Corp. 3,” “SVF Investment Corp.,” “our,” “us” or “we” refer to SVF Investment Corp. 3. The following discussion and analysis of the Company’s financial condition and results of operations should be read in conjunction with the unaudited interim condensed consolidated financial statements and the notes thereto contained elsewhere in this report. Certain information contained in the discussion and analysis set forth below includes forward-looking statements that involve risks and uncertainties.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Cautionary Note Regarding Forward-Looking Statements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This Quarterly Report on Form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10-Q</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includes forward-looking statements within the meaning of Section 27A of the Securities Act of 1933, as amended,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 filings.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Overview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a blank check company incorporated as a Cayman Islands exempted company on December 11, 2020. We were formed for the purpose of effecting a merger, share exchange, asset acquisition, share purchase, reorganization or similar business combination with one or more businesses (the “Business Combination”). We are an emerging growth company and, as such, we are subject to all of the risks associated with emerging growth companies.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sponsor is SVF Sponsor III (DE) LLC, a Delaware limited liability company (“Sponsor”). The registration statement for our Initial Public Offering was declared effective on March 8, 2021. On March 11, 2021, we consummated its Initial Public Offering of 32,000,000 Class A ordinary shares (the “Public Shares”), including the 4,000,000 Public Shares as a result of the underwriters’ full exercise of their over-allotment option, at an offering price of $10.00 per Public Share, generating gross proceeds of $320.0 million, and incurring offering costs of approximately $18.1 million, of which approximately $11.2 million was for deferred underwriting commissions. On April 22, 2021, the underwriters made a payment to us in an amount of $640,000 to reimburse certain of our expenses in connection with this offering.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17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Simultaneously with the closing of the Initial Public Offering, we consummated the private placement (“Private Placement”) of 1,040,000 Class A ordinary shares (the “Private Placement Shares”), at a price of $10.00 per Private Placement Share to the Sponsor, generating gross proceeds of $10.4 million. </w:t>
      </w:r>
    </w:p>
    <w:p>
      <w:pPr>
        <w:pStyle w:val="TextBody"/>
        <w:spacing w:before="240" w:after="0"/>
        <w:jc w:val="left"/>
        <w:rPr>
          <w:rFonts w:ascii="Times New Roman" w:hAnsi="Times New Roman"/>
          <w:sz w:val="20"/>
        </w:rPr>
      </w:pPr>
      <w:r>
        <w:rPr>
          <w:rFonts w:ascii="Times New Roman" w:hAnsi="Times New Roman"/>
          <w:sz w:val="20"/>
        </w:rPr>
        <w:t xml:space="preserve">Upon the closing of the Initial Public Offering, management agreed that an amount equal to at least $10.00 per Public Share sold in the Initial Public Offering, including the proceeds of the Private Placement Shares, will be held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w:t>
      </w:r>
    </w:p>
    <w:p>
      <w:pPr>
        <w:pStyle w:val="TextBody"/>
        <w:spacing w:before="240" w:after="0"/>
        <w:jc w:val="left"/>
        <w:rPr>
          <w:rFonts w:ascii="Times New Roman" w:hAnsi="Times New Roman"/>
          <w:spacing w:val="0"/>
          <w:sz w:val="20"/>
        </w:rPr>
      </w:pPr>
      <w:r>
        <w:rPr>
          <w:rFonts w:ascii="Times New Roman" w:hAnsi="Times New Roman"/>
          <w:spacing w:val="0"/>
          <w:sz w:val="20"/>
        </w:rPr>
        <w:t>2a-7</w:t>
      </w:r>
    </w:p>
    <w:p>
      <w:pPr>
        <w:pStyle w:val="TextBody"/>
        <w:spacing w:before="240" w:after="0"/>
        <w:jc w:val="left"/>
        <w:rPr>
          <w:rFonts w:ascii="Times New Roman" w:hAnsi="Times New Roman"/>
          <w:sz w:val="20"/>
        </w:rPr>
      </w:pPr>
      <w:r>
        <w:rPr>
          <w:rFonts w:ascii="Times New Roman" w:hAnsi="Times New Roman"/>
          <w:sz w:val="20"/>
        </w:rPr>
        <w:t xml:space="preserve">promulgated under the Investment Company Act which invest only in direct U.S. government treasury obligations, as determined by us, until the earlier of: (i) the completion of a Business Combination and (ii) the distribution of the Trust Account as described below.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Our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we sign a definitive agreement in connection with the initial Business Combination.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However, we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w:t>
      </w:r>
    </w:p>
    <w:p>
      <w:pPr>
        <w:pStyle w:val="TextBody"/>
        <w:spacing w:before="240" w:after="0"/>
        <w:jc w:val="left"/>
        <w:rPr>
          <w:rFonts w:ascii="Times New Roman" w:hAnsi="Times New Roman"/>
          <w:sz w:val="20"/>
        </w:rPr>
      </w:pPr>
      <w:r>
        <w:rPr>
          <w:rFonts w:ascii="Times New Roman" w:hAnsi="Times New Roman"/>
          <w:sz w:val="20"/>
        </w:rPr>
        <w:t xml:space="preserve">If we are unable to complete a Business Combination within 24 months from the closing of the Initial Public Offering, or March 11, 2023 (the “Combination Period”), we will (i) cease all operations except for the purpose of winding up; (ii) as promptly as reasonably possible but not more than ten business days thereafter, redeem the public Shares, at a </w:t>
      </w:r>
    </w:p>
    <w:p>
      <w:pPr>
        <w:pStyle w:val="TextBody"/>
        <w:spacing w:before="240" w:after="0"/>
        <w:jc w:val="left"/>
        <w:rPr>
          <w:rFonts w:ascii="Times New Roman" w:hAnsi="Times New Roman"/>
          <w:spacing w:val="0"/>
          <w:sz w:val="20"/>
        </w:rPr>
      </w:pPr>
      <w:r>
        <w:rPr>
          <w:rFonts w:ascii="Times New Roman" w:hAnsi="Times New Roman"/>
          <w:spacing w:val="0"/>
          <w:sz w:val="20"/>
        </w:rPr>
        <w:t>per-share</w:t>
      </w:r>
    </w:p>
    <w:p>
      <w:pPr>
        <w:pStyle w:val="TextBody"/>
        <w:spacing w:before="240" w:after="0"/>
        <w:jc w:val="left"/>
        <w:rPr>
          <w:rFonts w:ascii="Times New Roman" w:hAnsi="Times New Roman"/>
          <w:sz w:val="20"/>
        </w:rPr>
      </w:pPr>
      <w:r>
        <w:rPr>
          <w:rFonts w:ascii="Times New Roman" w:hAnsi="Times New Roman"/>
          <w:sz w:val="20"/>
        </w:rPr>
        <w:t xml:space="preserve">price, payable in cash, equal to the aggregate amount then on deposit in the Trust Account, including interest earned on the funds held in the Trust Account and not previously released to us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our obligations under Cayman Islands law to provide for claims of creditors and the requirements of other applicable law.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Liquidity and Going Concern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March 31, 2022, we had approximately $3.3 million in its operating bank account and working capital deficit of approximately $4.7 million.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Prior to the completion of our Initial Public Offering, our liquidity needs were satisfied through the payment by our Sponsor of $25,000 for certain offering costs on our behalf in exchange for the issuance of the Founder Shares, and borrowings under our promissory note with our Sponsor of $300,000 as well as additional advances of approximately $114,000. We fully repaid the Note balance and the advance from the Sponsor as of March 15, 2021. Subsequent to the consummation of the Initial Public Offering and Private Placement, our liquidity needs were satisfied with a portion of the proceeds of $10.4 million from the consummation of the Private Placement not held in the Trust Account. In addition, in order to finance transaction costs in connection with a Business Combination, our Sponsor may, but is not obligated to, provide us Working Capital Loans. On August 10, 2021 our Sponsor agreed to loan us $2.0 million as the Working Capital Loan. On November 9, 2021 our Sponsor and us agreed to amend this loan to increase the commitment by $1.0 million. As of March 31, 2022 there was $3.0 million drawn on the Working Capital Loan. As of December 31, 2021 there were no amounts outstanding under any Working Capital Loans.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In connection with management’s assessment of going concern considerations management has determined that the mandatory liquidation and subsequent dissolution if the Company is unable to complete a Business Combination with 24 months from closing of the Initial Public Offering, or March 11, 2023, raises substantial doubt about our ability to continue as a going concern for a period of time which is considered to be one year from the issuance of these financial statements. The condensed consolidated financial statements do not include any adjustment that might be necessary if we are unable to continue as a going concern.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Results of Operations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entire activity from inception up to March 31, 2022 was for our formation and preparation for our IPO, and subsequent to the IPO, identifying a target company for a business combination. We will not generate any operating revenues until the closing and completion of our initial business combination, at the earliest.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For the three months ended March 31, 2022, we had net loss of approximately $2.3 million, which consisted of approximately $2.3 million in general and administrative expenses, including $30,000 of general and administrative expenses to related party, partly offset by approximately $27,000 in income from investments held in the Trust Account.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For the three months ended March 31, 2021, we had net loss of approximately $524,000, which consisted of approximately $508,000 in general and administrative expenses, including $17,000 of general and administrative expenses to related party, partly offset by approximately $1,000 in income from investments held in the Trust Account.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Contractual Obligations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Administrative Service Agreement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Commencing on the date that the Company’s securities were first listed on the NASDAQ through the earlier of consummation of the initial Business Combination and the liquidation, we agreed to pay our Sponsor $10,000 per month for office space, secretarial and administrative services provided to us by an affiliate of our Sponsor.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incurred $30,000 and $10,000 in such fees included as general and administrative expenses to related party on the accompanying condensed statements of operations for three months ended March 31, 2022 and 2021, respectively. As of March 31, 2022 $130,000 is due to the Sponsor and is included in due to related party on the accompanying condensed balance sheets. As December 31, 2021 $100,000 was due to the Sponsor and was included in the due to related party on the accompanying condensed balance sheets. </w:t>
      </w:r>
    </w:p>
    <w:p>
      <w:pPr>
        <w:pStyle w:val="TextBody"/>
        <w:spacing w:before="240" w:after="0"/>
        <w:jc w:val="left"/>
        <w:rPr>
          <w:rFonts w:ascii="Times New Roman" w:hAnsi="Times New Roman"/>
          <w:sz w:val="20"/>
        </w:rPr>
      </w:pPr>
      <w:r>
        <w:rPr>
          <w:rFonts w:ascii="Times New Roman" w:hAnsi="Times New Roman"/>
          <w:sz w:val="20"/>
        </w:rPr>
        <w:t xml:space="preserve">In addition, our Sponsor, officers and directors, or their respective affiliates will be reimbursed for any </w:t>
      </w:r>
    </w:p>
    <w:p>
      <w:pPr>
        <w:pStyle w:val="TextBody"/>
        <w:spacing w:before="240" w:after="0"/>
        <w:jc w:val="left"/>
        <w:rPr>
          <w:rFonts w:ascii="Times New Roman" w:hAnsi="Times New Roman"/>
          <w:spacing w:val="0"/>
          <w:sz w:val="20"/>
        </w:rPr>
      </w:pPr>
      <w:r>
        <w:rPr>
          <w:rFonts w:ascii="Times New Roman" w:hAnsi="Times New Roman"/>
          <w:spacing w:val="0"/>
          <w:sz w:val="20"/>
        </w:rPr>
        <w:t>out-of-pocket</w:t>
      </w:r>
    </w:p>
    <w:p>
      <w:pPr>
        <w:pStyle w:val="TextBody"/>
        <w:spacing w:before="240" w:after="0"/>
        <w:jc w:val="left"/>
        <w:rPr>
          <w:rFonts w:ascii="Times New Roman" w:hAnsi="Times New Roman"/>
          <w:sz w:val="20"/>
        </w:rPr>
      </w:pPr>
      <w:r>
        <w:rPr>
          <w:rFonts w:ascii="Times New Roman" w:hAnsi="Times New Roman"/>
          <w:sz w:val="20"/>
        </w:rPr>
        <w:t xml:space="preserve">expenses incurred in connection with activities on our behalf such as identifying potential target businesses and performing due diligence on suitable Business Combinations. Our audit committee will review on a quarterly basis all payments that were made by us to our Sponsor, executive officers or directors, or their affiliates. Any such payments prior to an initial Business Combination will be made using funds held outside the Trust Account.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addition to the administrative services agreement fee of $130,000 and $100,000 (as noted above) approximately $867,000, and $459,000 is due to the Sponsor’s affiliates for reimbursements of expenses and is included in due to related party on the accompanying condensed balance sheets as of March 31, 2022 and December 31, 2021, respectively.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Registration and Shareholder Rights </w:t>
      </w:r>
    </w:p>
    <w:p>
      <w:pPr>
        <w:pStyle w:val="TextBody"/>
        <w:spacing w:before="120" w:after="0"/>
        <w:jc w:val="left"/>
        <w:rPr>
          <w:rFonts w:ascii="Times New Roman" w:hAnsi="Times New Roman"/>
          <w:spacing w:val="0"/>
          <w:sz w:val="20"/>
        </w:rPr>
      </w:pPr>
      <w:r>
        <w:rPr>
          <w:rFonts w:ascii="Times New Roman" w:hAnsi="Times New Roman"/>
          <w:spacing w:val="0"/>
          <w:sz w:val="20"/>
        </w:rPr>
        <w:t>The holders of the Founder Shares, Private Placement Shares, and any shares that may be issued upon conversion of Working Capital Loans (and any Class A ordinary shares issuable upon conversion of the Founder Shares)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had certain “piggy-back” registration rights with respect to registration statements filed subsequent to the completion of the initial Business Combination. We will bear the expenses incurred in connection with the filing of any such registration statements.</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Underwriting Agreement </w:t>
      </w:r>
    </w:p>
    <w:p>
      <w:pPr>
        <w:pStyle w:val="TextBody"/>
        <w:spacing w:before="120" w:after="0"/>
        <w:jc w:val="left"/>
        <w:rPr>
          <w:rFonts w:ascii="Times New Roman" w:hAnsi="Times New Roman"/>
          <w:sz w:val="20"/>
        </w:rPr>
      </w:pPr>
      <w:r>
        <w:rPr>
          <w:rFonts w:ascii="Times New Roman" w:hAnsi="Times New Roman"/>
          <w:sz w:val="20"/>
        </w:rPr>
        <w:t xml:space="preserve">We have granted the underwriters a </w:t>
      </w:r>
    </w:p>
    <w:p>
      <w:pPr>
        <w:pStyle w:val="TextBody"/>
        <w:spacing w:before="120" w:after="0"/>
        <w:jc w:val="left"/>
        <w:rPr>
          <w:rFonts w:ascii="Times New Roman" w:hAnsi="Times New Roman"/>
          <w:spacing w:val="0"/>
          <w:sz w:val="20"/>
        </w:rPr>
      </w:pPr>
      <w:r>
        <w:rPr>
          <w:rFonts w:ascii="Times New Roman" w:hAnsi="Times New Roman"/>
          <w:spacing w:val="0"/>
          <w:sz w:val="20"/>
        </w:rPr>
        <w:t>45-day</w:t>
      </w:r>
    </w:p>
    <w:p>
      <w:pPr>
        <w:pStyle w:val="TextBody"/>
        <w:spacing w:before="120" w:after="0"/>
        <w:jc w:val="left"/>
        <w:rPr>
          <w:rFonts w:ascii="Times New Roman" w:hAnsi="Times New Roman"/>
          <w:sz w:val="20"/>
        </w:rPr>
      </w:pPr>
      <w:r>
        <w:rPr>
          <w:rFonts w:ascii="Times New Roman" w:hAnsi="Times New Roman"/>
          <w:sz w:val="20"/>
        </w:rPr>
        <w:t xml:space="preserve">option from the date of the prospectus to purchase up to 4,000,000 additional shares at the Initial Public Offering price less the underwriting discounts and commissions.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The underwriters fully exercised the over-allotment option on March 11, 2021. The underwriters were entitled to an underwriting discount of $0.20 per unit, or $6.4 million in the aggregate, paid upon the closing of the Initial Public Offering. In addition, $0.35 per unit, or approximately $11.2 million in the aggregate will be payable to the underwriters for deferred underwriting commissions. The deferred fee will become payable to the underwriters from the amounts held in the Trust Account solely in the event that we complete a Business Combination, subject to the terms of the underwriting agreement. On April 22, 2021, the underwriters made a payment to us in an amount of $640,000 to reimburse certain of the expenses in connection with our Initial Public Offering.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Forward Purchase Agreement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entered into a forward purchase agreement (a “Forward Purchase Agreement”) with SVF II SPAC Investment 3 (DE) LLC (the “Forward Purchase Investor”), which provides for the purchase of $150 million forward purchase shares (the “Forward Purchase Shares”), for $10.00 per share, in a private placement to close substantially concurrently with the closing of the initial Business Combination. The Forward Purchase Agreement also provides that the Forward Purchase Investor may elect to purchase up to an additional $50 million of Forward Purchase Shares, for a purchase price of $10.00 per share. Any elections to purchase up to 5,000,000 additional Forward Purchase Shares will take place in one or more private placements in such amounts and at such time as the Forward Purchase Investor determine, but no later than simultaneously with the closing of the initial Business Combination. The Company and the Forward Purchase Investor may determine, by mutual agreement, to increase the number of additional Forward Purchase Shares at any time prior to the initial Business Combination. The obligations under the Forward Purchase Agreement do not depend on whether any Class A ordinary shares are redeemed by the Public Shareholders. The forward purchase securities will be issued only in connection with the closing of the initial Business Combination. The proceeds from the sale of forward purchase securities may be used as part of the consideration to the sellers in the initial Business Combination, expenses in connection with the initial Business Combination or for working capital in the post-transaction company. On March 23, 2022, the Forward Purchase Investor elected to purchase an additional $50 million of Forward Purchase Shares, for a purchase price of $10.00 per share, subject to and on the terms set out in such election and the Forward Purchase Agreement.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Critical Accounting Policies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Investment held in Trust Account </w:t>
      </w:r>
    </w:p>
    <w:p>
      <w:pPr>
        <w:pStyle w:val="TextBody"/>
        <w:spacing w:before="120" w:after="0"/>
        <w:jc w:val="left"/>
        <w:rPr>
          <w:rFonts w:ascii="Times New Roman" w:hAnsi="Times New Roman"/>
          <w:spacing w:val="0"/>
          <w:sz w:val="20"/>
        </w:rPr>
      </w:pPr>
      <w:r>
        <w:rPr>
          <w:rFonts w:ascii="Times New Roman" w:hAnsi="Times New Roman"/>
          <w:spacing w:val="0"/>
          <w:sz w:val="20"/>
        </w:rPr>
        <w:t>Our portfolio of investments is comprised solely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Our investments held in the Trust Account are classified as trading securities. When our investments held in the Trust Account are comprised of money market funds, the investments are recognized at fair value. Trading securities and investments in money market funds are presented on the condensed balance sheets at fair value at the end of each reporting period. Gains and losses resulting from the change in fair value of these securities is included in income from investments held in Trust Account in the accompanying unaudited condensed statements of operations. The estimated fair values of investments held in the Trust Account are determined using available market information.</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Class A Ordinary Shares Subject to Possible Redemption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account for our Class A ordinary shares subject to possible redemption in accordance with the guidance in Financial Accounting Standards Board (“FASB”) Accounting Standards Codification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our control) are classified as temporary equity. At all other times, Class A ordinary shares are classified as shareholders’ deficit. Our Class A ordinary shares feature certain redemption rights that are considered to be outside of our control and subject to the occurrence of uncertain future events. Accordingly, at the Initial Public Offering, 32,000,000 Class A ordinary shares subject to possible redemption are presented as temporary equity, outside of the shareholders’ deficit section of our accompanying balance sheets.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20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Company recognizes changes in redemption value immediately as they occur and adjusts the carrying value of the Class A ordinary shares subject to possible redemption to equal the redemption value at the end of each reporting period. Effective with the closing of the Initial Public Offering, we recognized the accretion from initial book value to redemption amount value. The change in the carrying value of redeemable shares of Class A ordinary shares resulted in charges against additional </w:t>
      </w:r>
    </w:p>
    <w:p>
      <w:pPr>
        <w:pStyle w:val="TextBody"/>
        <w:spacing w:before="0" w:after="0"/>
        <w:jc w:val="left"/>
        <w:rPr>
          <w:rFonts w:ascii="Times New Roman" w:hAnsi="Times New Roman"/>
          <w:spacing w:val="0"/>
          <w:sz w:val="20"/>
        </w:rPr>
      </w:pPr>
      <w:r>
        <w:rPr>
          <w:rFonts w:ascii="Times New Roman" w:hAnsi="Times New Roman"/>
          <w:spacing w:val="0"/>
          <w:sz w:val="20"/>
        </w:rPr>
        <w:t>paid-in</w:t>
      </w:r>
    </w:p>
    <w:p>
      <w:pPr>
        <w:pStyle w:val="TextBody"/>
        <w:spacing w:before="0" w:after="0"/>
        <w:jc w:val="left"/>
        <w:rPr>
          <w:rFonts w:ascii="Times New Roman" w:hAnsi="Times New Roman"/>
          <w:sz w:val="20"/>
        </w:rPr>
      </w:pPr>
      <w:r>
        <w:rPr>
          <w:rFonts w:ascii="Times New Roman" w:hAnsi="Times New Roman"/>
          <w:sz w:val="20"/>
        </w:rPr>
        <w:t xml:space="preserve">capital and accumulated deficit.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Per Ordinary Share </w:t>
      </w:r>
    </w:p>
    <w:p>
      <w:pPr>
        <w:pStyle w:val="TextBody"/>
        <w:spacing w:before="120" w:after="0"/>
        <w:jc w:val="left"/>
        <w:rPr>
          <w:rFonts w:ascii="Times New Roman" w:hAnsi="Times New Roman"/>
          <w:sz w:val="20"/>
        </w:rPr>
      </w:pPr>
      <w:r>
        <w:rPr>
          <w:rFonts w:ascii="Times New Roman" w:hAnsi="Times New Roman"/>
          <w:sz w:val="20"/>
        </w:rPr>
        <w:t xml:space="preserve">We comply with accounting and disclosure requirements of FASB ASC Topic 260, “Earnings Per Share.” Income and losses are shared pro rata between Class A ordinary shares subject to possible redemption and </w:t>
      </w:r>
    </w:p>
    <w:p>
      <w:pPr>
        <w:pStyle w:val="TextBody"/>
        <w:spacing w:before="120" w:after="0"/>
        <w:jc w:val="left"/>
        <w:rPr>
          <w:rFonts w:ascii="Times New Roman" w:hAnsi="Times New Roman"/>
          <w:spacing w:val="0"/>
          <w:sz w:val="20"/>
        </w:rPr>
      </w:pPr>
      <w:r>
        <w:rPr>
          <w:rFonts w:ascii="Times New Roman" w:hAnsi="Times New Roman"/>
          <w:spacing w:val="0"/>
          <w:sz w:val="20"/>
        </w:rPr>
        <w:t>non-redeemable</w:t>
      </w:r>
    </w:p>
    <w:p>
      <w:pPr>
        <w:pStyle w:val="TextBody"/>
        <w:spacing w:before="120" w:after="0"/>
        <w:jc w:val="left"/>
        <w:rPr>
          <w:rFonts w:ascii="Times New Roman" w:hAnsi="Times New Roman"/>
          <w:sz w:val="20"/>
        </w:rPr>
      </w:pPr>
      <w:r>
        <w:rPr>
          <w:rFonts w:ascii="Times New Roman" w:hAnsi="Times New Roman"/>
          <w:sz w:val="20"/>
        </w:rPr>
        <w:t xml:space="preserve">ordinary shares. Net loss per ordinary share is calculated by dividing the net loss by the weighted-average number of ordinary shares outstanding for the respective period. </w:t>
      </w:r>
    </w:p>
    <w:p>
      <w:pPr>
        <w:pStyle w:val="TextBody"/>
        <w:spacing w:before="120" w:after="0"/>
        <w:jc w:val="left"/>
        <w:rPr>
          <w:rFonts w:ascii="Times New Roman" w:hAnsi="Times New Roman"/>
          <w:spacing w:val="0"/>
          <w:sz w:val="20"/>
        </w:rPr>
      </w:pPr>
      <w:r>
        <w:rPr>
          <w:rFonts w:ascii="Times New Roman" w:hAnsi="Times New Roman"/>
          <w:spacing w:val="0"/>
          <w:sz w:val="20"/>
        </w:rPr>
        <w:t>Non-redeemable</w:t>
      </w:r>
    </w:p>
    <w:p>
      <w:pPr>
        <w:pStyle w:val="TextBody"/>
        <w:spacing w:before="120" w:after="0"/>
        <w:jc w:val="left"/>
        <w:rPr>
          <w:rFonts w:ascii="Times New Roman" w:hAnsi="Times New Roman"/>
          <w:sz w:val="20"/>
        </w:rPr>
      </w:pPr>
      <w:r>
        <w:rPr>
          <w:rFonts w:ascii="Times New Roman" w:hAnsi="Times New Roman"/>
          <w:sz w:val="20"/>
        </w:rPr>
        <w:t xml:space="preserve">ordinary shares include Founder Shares and Private Placement Shares as these shares do not have any redemption features. Diluted net loss per share is the same as basic net loss per share for the three months ended March 31, 2022 and 2021. Accretion associated with the redeemable Class A ordinary shares is excluded from earnings per share as the redemption value approximates fair value.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Issued Accounting Standards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management does not believe that any recently issued, but not yet effective, accounting standards if currently adopted would have a material effect on the accompanying unaudited condensed consolidated financial statements. </w:t>
      </w:r>
    </w:p>
    <w:p>
      <w:pPr>
        <w:pStyle w:val="TextBody"/>
        <w:spacing w:before="360" w:after="0"/>
        <w:jc w:val="left"/>
        <w:rPr>
          <w:rFonts w:ascii="Times New Roman" w:hAnsi="Times New Roman"/>
          <w:b/>
          <w:spacing w:val="0"/>
          <w:sz w:val="20"/>
        </w:rPr>
      </w:pPr>
      <w:r>
        <w:rPr>
          <w:rFonts w:ascii="Times New Roman" w:hAnsi="Times New Roman"/>
          <w:b/>
          <w:spacing w:val="0"/>
          <w:sz w:val="20"/>
        </w:rPr>
        <w:t>Off-Balance</w:t>
      </w:r>
    </w:p>
    <w:p>
      <w:pPr>
        <w:pStyle w:val="TextBody"/>
        <w:spacing w:before="360" w:after="0"/>
        <w:jc w:val="left"/>
        <w:rPr>
          <w:rFonts w:ascii="Times New Roman" w:hAnsi="Times New Roman"/>
          <w:b/>
          <w:sz w:val="20"/>
        </w:rPr>
      </w:pPr>
      <w:r>
        <w:rPr>
          <w:rFonts w:ascii="Times New Roman" w:hAnsi="Times New Roman"/>
          <w:b/>
          <w:sz w:val="20"/>
        </w:rPr>
        <w:t xml:space="preserve">Sheet Arrangements </w:t>
      </w:r>
    </w:p>
    <w:p>
      <w:pPr>
        <w:pStyle w:val="TextBody"/>
        <w:spacing w:before="120" w:after="0"/>
        <w:jc w:val="left"/>
        <w:rPr>
          <w:rFonts w:ascii="Times New Roman" w:hAnsi="Times New Roman"/>
          <w:sz w:val="20"/>
        </w:rPr>
      </w:pPr>
      <w:r>
        <w:rPr>
          <w:rFonts w:ascii="Times New Roman" w:hAnsi="Times New Roman"/>
          <w:sz w:val="20"/>
        </w:rPr>
        <w:t xml:space="preserve">As of March 31, 2022 we did not have any </w:t>
      </w:r>
    </w:p>
    <w:p>
      <w:pPr>
        <w:pStyle w:val="TextBody"/>
        <w:spacing w:before="120" w:after="0"/>
        <w:jc w:val="left"/>
        <w:rPr>
          <w:rFonts w:ascii="Times New Roman" w:hAnsi="Times New Roman"/>
          <w:spacing w:val="0"/>
          <w:sz w:val="20"/>
        </w:rPr>
      </w:pPr>
      <w:r>
        <w:rPr>
          <w:rFonts w:ascii="Times New Roman" w:hAnsi="Times New Roman"/>
          <w:spacing w:val="0"/>
          <w:sz w:val="20"/>
        </w:rPr>
        <w:t>off-balance</w:t>
      </w:r>
    </w:p>
    <w:p>
      <w:pPr>
        <w:pStyle w:val="TextBody"/>
        <w:spacing w:before="120" w:after="0"/>
        <w:jc w:val="left"/>
        <w:rPr>
          <w:rFonts w:ascii="Times New Roman" w:hAnsi="Times New Roman"/>
          <w:sz w:val="20"/>
        </w:rPr>
      </w:pPr>
      <w:r>
        <w:rPr>
          <w:rFonts w:ascii="Times New Roman" w:hAnsi="Times New Roman"/>
          <w:sz w:val="20"/>
        </w:rPr>
        <w:t xml:space="preserve">sheet arrangements as defined in Item 303(a)(4)(ii) of Regulation </w:t>
      </w:r>
    </w:p>
    <w:p>
      <w:pPr>
        <w:pStyle w:val="TextBody"/>
        <w:spacing w:before="120" w:after="0"/>
        <w:jc w:val="left"/>
        <w:rPr>
          <w:rFonts w:ascii="Times New Roman" w:hAnsi="Times New Roman"/>
          <w:spacing w:val="0"/>
          <w:sz w:val="20"/>
        </w:rPr>
      </w:pPr>
      <w:r>
        <w:rPr>
          <w:rFonts w:ascii="Times New Roman" w:hAnsi="Times New Roman"/>
          <w:spacing w:val="0"/>
          <w:sz w:val="20"/>
        </w:rPr>
        <w:t>S-K</w:t>
      </w:r>
    </w:p>
    <w:p>
      <w:pPr>
        <w:pStyle w:val="TextBody"/>
        <w:spacing w:before="120" w:after="0"/>
        <w:jc w:val="left"/>
        <w:rPr>
          <w:rFonts w:ascii="Times New Roman" w:hAnsi="Times New Roman"/>
          <w:sz w:val="20"/>
        </w:rPr>
      </w:pPr>
      <w:r>
        <w:rPr>
          <w:rFonts w:ascii="Times New Roman" w:hAnsi="Times New Roman"/>
          <w:sz w:val="20"/>
        </w:rPr>
        <w:t xml:space="preserve">and did not have any commitments or contractual obligations.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JOBS Act </w:t>
      </w:r>
    </w:p>
    <w:p>
      <w:pPr>
        <w:pStyle w:val="TextBody"/>
        <w:spacing w:before="120" w:after="0"/>
        <w:jc w:val="left"/>
        <w:rPr>
          <w:rFonts w:ascii="Times New Roman" w:hAnsi="Times New Roman"/>
          <w:sz w:val="20"/>
        </w:rPr>
      </w:pPr>
      <w:r>
        <w:rPr>
          <w:rFonts w:ascii="Times New Roman" w:hAnsi="Times New Roman"/>
          <w:sz w:val="20"/>
        </w:rPr>
        <w:t xml:space="preserve">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w:t>
      </w:r>
    </w:p>
    <w:p>
      <w:pPr>
        <w:pStyle w:val="TextBody"/>
        <w:spacing w:before="120" w:after="0"/>
        <w:jc w:val="left"/>
        <w:rPr>
          <w:rFonts w:ascii="Times New Roman" w:hAnsi="Times New Roman"/>
          <w:spacing w:val="0"/>
          <w:sz w:val="20"/>
        </w:rPr>
      </w:pPr>
      <w:r>
        <w:rPr>
          <w:rFonts w:ascii="Times New Roman" w:hAnsi="Times New Roman"/>
          <w:spacing w:val="0"/>
          <w:sz w:val="20"/>
        </w:rPr>
        <w:t>non-emerging</w:t>
      </w:r>
    </w:p>
    <w:p>
      <w:pPr>
        <w:pStyle w:val="TextBody"/>
        <w:spacing w:before="120" w:after="0"/>
        <w:jc w:val="left"/>
        <w:rPr>
          <w:rFonts w:ascii="Times New Roman" w:hAnsi="Times New Roman"/>
          <w:sz w:val="20"/>
        </w:rPr>
      </w:pPr>
      <w:r>
        <w:rPr>
          <w:rFonts w:ascii="Times New Roman" w:hAnsi="Times New Roman"/>
          <w:sz w:val="20"/>
        </w:rPr>
        <w:t xml:space="preserve">growth companies. As a result, our condensed consolidated financial statements may not be comparable to companies that comply with new or revised accounting pronouncements as of public company effective dates. </w:t>
      </w:r>
    </w:p>
    <w:p>
      <w:pPr>
        <w:pStyle w:val="TextBody"/>
        <w:spacing w:before="240" w:after="0"/>
        <w:jc w:val="left"/>
        <w:rPr>
          <w:rFonts w:ascii="Times New Roman" w:hAnsi="Times New Roman"/>
          <w:sz w:val="20"/>
        </w:rPr>
      </w:pPr>
      <w:r>
        <w:rPr>
          <w:rFonts w:ascii="Times New Roman" w:hAnsi="Times New Roman"/>
          <w:sz w:val="20"/>
        </w:rPr>
        <w:t xml:space="preserve">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w:t>
      </w:r>
    </w:p>
    <w:p>
      <w:pPr>
        <w:pStyle w:val="TextBody"/>
        <w:spacing w:before="240" w:after="0"/>
        <w:jc w:val="left"/>
        <w:rPr>
          <w:rFonts w:ascii="Times New Roman" w:hAnsi="Times New Roman"/>
          <w:spacing w:val="0"/>
          <w:sz w:val="20"/>
        </w:rPr>
      </w:pPr>
      <w:r>
        <w:rPr>
          <w:rFonts w:ascii="Times New Roman" w:hAnsi="Times New Roman"/>
          <w:spacing w:val="0"/>
          <w:sz w:val="20"/>
        </w:rPr>
        <w:t>non-emerging</w:t>
      </w:r>
    </w:p>
    <w:p>
      <w:pPr>
        <w:pStyle w:val="TextBody"/>
        <w:spacing w:before="240" w:after="0"/>
        <w:jc w:val="left"/>
        <w:rPr>
          <w:rFonts w:ascii="Times New Roman" w:hAnsi="Times New Roman"/>
          <w:sz w:val="20"/>
        </w:rPr>
      </w:pPr>
      <w:r>
        <w:rPr>
          <w:rFonts w:ascii="Times New Roman" w:hAnsi="Times New Roman"/>
          <w:sz w:val="20"/>
        </w:rPr>
        <w:t xml:space="preserve">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 </w:t>
      </w:r>
    </w:p>
    <w:p>
      <w:pPr>
        <w:pStyle w:val="TextBody"/>
        <w:spacing w:before="0" w:after="0"/>
        <w:jc w:val="left"/>
        <w:rPr>
          <w:spacing w:val="0"/>
        </w:rPr>
      </w:pPr>
      <w:r>
        <w:rPr>
          <w:spacing w:val="0"/>
        </w:rPr>
        <w:t> </w:t>
      </w:r>
    </w:p>
    <w:tbl>
      <w:tblPr>
        <w:tblW w:w="5905" w:type="dxa"/>
        <w:jc w:val="left"/>
        <w:tblInd w:w="0" w:type="dxa"/>
        <w:tblCellMar>
          <w:top w:w="0" w:type="dxa"/>
          <w:left w:w="0" w:type="dxa"/>
          <w:bottom w:w="0" w:type="dxa"/>
          <w:right w:w="0" w:type="dxa"/>
        </w:tblCellMar>
      </w:tblPr>
      <w:tblGrid>
        <w:gridCol w:w="740"/>
        <w:gridCol w:w="5165"/>
      </w:tblGrid>
      <w:tr>
        <w:trPr/>
        <w:tc>
          <w:tcPr>
            <w:tcW w:w="740" w:type="dxa"/>
            <w:tcBorders/>
            <w:shd w:fill="auto" w:val="clear"/>
            <w:vAlign w:val="center"/>
          </w:tcPr>
          <w:p>
            <w:pPr>
              <w:pStyle w:val="TableContents"/>
              <w:spacing w:before="0" w:after="0"/>
              <w:jc w:val="left"/>
              <w:rPr>
                <w:b/>
                <w:spacing w:val="0"/>
              </w:rPr>
            </w:pPr>
            <w:bookmarkStart w:id="4" w:name="tx317211_8"/>
            <w:bookmarkEnd w:id="4"/>
            <w:r>
              <w:rPr>
                <w:b/>
                <w:spacing w:val="0"/>
              </w:rPr>
              <w:t>Item 3.</w:t>
            </w:r>
          </w:p>
        </w:tc>
        <w:tc>
          <w:tcPr>
            <w:tcW w:w="516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Quantitative and Qualitative Disclosures About Market Risk </w:t>
            </w:r>
          </w:p>
        </w:tc>
      </w:tr>
    </w:tbl>
    <w:p>
      <w:pPr>
        <w:pStyle w:val="TextBody"/>
        <w:spacing w:before="120" w:after="0"/>
        <w:jc w:val="left"/>
        <w:rPr>
          <w:rFonts w:ascii="Times New Roman" w:hAnsi="Times New Roman"/>
          <w:sz w:val="20"/>
        </w:rPr>
      </w:pPr>
      <w:r>
        <w:rPr>
          <w:rFonts w:ascii="Times New Roman" w:hAnsi="Times New Roman"/>
          <w:sz w:val="20"/>
        </w:rPr>
        <w:t xml:space="preserve">We are a smaller reporting company as defined by Rule </w:t>
      </w:r>
    </w:p>
    <w:p>
      <w:pPr>
        <w:pStyle w:val="TextBody"/>
        <w:spacing w:before="120" w:after="0"/>
        <w:jc w:val="left"/>
        <w:rPr>
          <w:rFonts w:ascii="Times New Roman" w:hAnsi="Times New Roman"/>
          <w:spacing w:val="0"/>
          <w:sz w:val="20"/>
        </w:rPr>
      </w:pPr>
      <w:r>
        <w:rPr>
          <w:rFonts w:ascii="Times New Roman" w:hAnsi="Times New Roman"/>
          <w:spacing w:val="0"/>
          <w:sz w:val="20"/>
        </w:rPr>
        <w:t>12b-2</w:t>
      </w:r>
    </w:p>
    <w:p>
      <w:pPr>
        <w:pStyle w:val="TextBody"/>
        <w:spacing w:before="120" w:after="0"/>
        <w:jc w:val="left"/>
        <w:rPr>
          <w:rFonts w:ascii="Times New Roman" w:hAnsi="Times New Roman"/>
          <w:sz w:val="20"/>
        </w:rPr>
      </w:pPr>
      <w:r>
        <w:rPr>
          <w:rFonts w:ascii="Times New Roman" w:hAnsi="Times New Roman"/>
          <w:sz w:val="20"/>
        </w:rPr>
        <w:t xml:space="preserve">of the Exchange Act and are not required to provide the information otherwise required under this item.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21 </w:t>
      </w:r>
    </w:p>
    <w:p>
      <w:pPr>
        <w:pStyle w:val="HorizontalLine"/>
        <w:rPr/>
      </w:pPr>
      <w:r>
        <w:rPr/>
      </w:r>
    </w:p>
    <w:p>
      <w:pPr>
        <w:pStyle w:val="TextBody"/>
        <w:spacing w:before="0" w:after="0"/>
        <w:rPr/>
      </w:pPr>
      <w:hyperlink w:anchor="toc">
        <w:r>
          <w:rPr>
            <w:rStyle w:val="InternetLink"/>
            <w:b/>
            <w:sz w:val="20"/>
          </w:rPr>
          <w:t>Table of Contents</w:t>
        </w:r>
      </w:hyperlink>
    </w:p>
    <w:tbl>
      <w:tblPr>
        <w:tblW w:w="2920" w:type="dxa"/>
        <w:jc w:val="left"/>
        <w:tblInd w:w="0" w:type="dxa"/>
        <w:tblCellMar>
          <w:top w:w="0" w:type="dxa"/>
          <w:left w:w="0" w:type="dxa"/>
          <w:bottom w:w="0" w:type="dxa"/>
          <w:right w:w="0" w:type="dxa"/>
        </w:tblCellMar>
      </w:tblPr>
      <w:tblGrid>
        <w:gridCol w:w="740"/>
        <w:gridCol w:w="2180"/>
      </w:tblGrid>
      <w:tr>
        <w:trPr/>
        <w:tc>
          <w:tcPr>
            <w:tcW w:w="740" w:type="dxa"/>
            <w:tcBorders/>
            <w:shd w:fill="auto" w:val="clear"/>
            <w:vAlign w:val="center"/>
          </w:tcPr>
          <w:p>
            <w:pPr>
              <w:pStyle w:val="TableContents"/>
              <w:spacing w:before="0" w:after="0"/>
              <w:jc w:val="left"/>
              <w:rPr>
                <w:b/>
                <w:spacing w:val="0"/>
              </w:rPr>
            </w:pPr>
            <w:bookmarkStart w:id="5" w:name="tx317211_9"/>
            <w:bookmarkEnd w:id="5"/>
            <w:r>
              <w:rPr>
                <w:b/>
                <w:spacing w:val="0"/>
              </w:rPr>
              <w:t>Item 4.</w:t>
            </w:r>
          </w:p>
        </w:tc>
        <w:tc>
          <w:tcPr>
            <w:tcW w:w="21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Controls and Procedures </w:t>
            </w:r>
          </w:p>
        </w:tc>
      </w:tr>
    </w:tbl>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Evaluation of Disclosure Controls and Procedures </w:t>
      </w:r>
    </w:p>
    <w:p>
      <w:pPr>
        <w:pStyle w:val="TextBody"/>
        <w:spacing w:before="120" w:after="0"/>
        <w:jc w:val="left"/>
        <w:rPr>
          <w:rFonts w:ascii="Times New Roman" w:hAnsi="Times New Roman"/>
          <w:sz w:val="20"/>
        </w:rPr>
      </w:pPr>
      <w:r>
        <w:rPr>
          <w:rFonts w:ascii="Times New Roman" w:hAnsi="Times New Roman"/>
          <w:sz w:val="20"/>
        </w:rPr>
        <w:t xml:space="preserve">Under the supervision and with the participation of our management, including our principal executive officer and principal financial officer, we conducted an evaluation of the effectiveness of our disclosure controls and procedures as of three months ended March 31, 2022, as such term is defined in Rules </w:t>
      </w:r>
    </w:p>
    <w:p>
      <w:pPr>
        <w:pStyle w:val="TextBody"/>
        <w:spacing w:before="120" w:after="0"/>
        <w:jc w:val="left"/>
        <w:rPr>
          <w:rFonts w:ascii="Times New Roman" w:hAnsi="Times New Roman"/>
          <w:spacing w:val="0"/>
          <w:sz w:val="20"/>
        </w:rPr>
      </w:pPr>
      <w:r>
        <w:rPr>
          <w:rFonts w:ascii="Times New Roman" w:hAnsi="Times New Roman"/>
          <w:spacing w:val="0"/>
          <w:sz w:val="20"/>
        </w:rPr>
        <w:t>13a-15(e)</w:t>
      </w:r>
    </w:p>
    <w:p>
      <w:pPr>
        <w:pStyle w:val="TextBody"/>
        <w:spacing w:before="120" w:after="0"/>
        <w:jc w:val="left"/>
        <w:rPr>
          <w:rFonts w:ascii="Times New Roman" w:hAnsi="Times New Roman"/>
          <w:sz w:val="20"/>
        </w:rPr>
      </w:pPr>
      <w:r>
        <w:rPr>
          <w:rFonts w:ascii="Times New Roman" w:hAnsi="Times New Roman"/>
          <w:sz w:val="20"/>
        </w:rPr>
        <w:t xml:space="preserve">and </w:t>
      </w:r>
    </w:p>
    <w:p>
      <w:pPr>
        <w:pStyle w:val="TextBody"/>
        <w:spacing w:before="120" w:after="0"/>
        <w:jc w:val="left"/>
        <w:rPr>
          <w:rFonts w:ascii="Times New Roman" w:hAnsi="Times New Roman"/>
          <w:spacing w:val="0"/>
          <w:sz w:val="20"/>
        </w:rPr>
      </w:pPr>
      <w:r>
        <w:rPr>
          <w:rFonts w:ascii="Times New Roman" w:hAnsi="Times New Roman"/>
          <w:spacing w:val="0"/>
          <w:sz w:val="20"/>
        </w:rPr>
        <w:t>15d-15(e)</w:t>
      </w:r>
    </w:p>
    <w:p>
      <w:pPr>
        <w:pStyle w:val="TextBody"/>
        <w:spacing w:before="120" w:after="0"/>
        <w:jc w:val="left"/>
        <w:rPr>
          <w:rFonts w:ascii="Times New Roman" w:hAnsi="Times New Roman"/>
          <w:sz w:val="20"/>
        </w:rPr>
      </w:pPr>
      <w:r>
        <w:rPr>
          <w:rFonts w:ascii="Times New Roman" w:hAnsi="Times New Roman"/>
          <w:sz w:val="20"/>
        </w:rPr>
        <w:t xml:space="preserve">under the Exchange Act. Based on this evaluation, our principal executive officer and principal financial officer has concluded that during the period covered by this report, our disclosure controls and procedures were not effective as of March 31, 2022, because of a material weakness in our internal control over accounting for complex financial instruments.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Specifically, the Company’s management has concluded that our control around the interpretation and accounting for certain complex features of financial instruments was not effectively designed or maintained. This material weakness resulted in the restatement of the Company’s interim financial information for the quarters ended March 31, 2021, June 30, 2021 and September 30, 2021. As a result, our management performed additional analysis as deemed necessary to ensure that our condensed consolidated financial statements were prepared in accordance with accounting principles generally accepted in the United States of America (“US GAAP”). Accordingly, management believes that the financial statements included in the Form </w:t>
      </w:r>
    </w:p>
    <w:p>
      <w:pPr>
        <w:pStyle w:val="TextBody"/>
        <w:spacing w:before="120" w:after="0"/>
        <w:jc w:val="left"/>
        <w:rPr>
          <w:rFonts w:ascii="Times New Roman" w:hAnsi="Times New Roman"/>
          <w:spacing w:val="0"/>
          <w:sz w:val="20"/>
        </w:rPr>
      </w:pPr>
      <w:r>
        <w:rPr>
          <w:rFonts w:ascii="Times New Roman" w:hAnsi="Times New Roman"/>
          <w:spacing w:val="0"/>
          <w:sz w:val="20"/>
        </w:rPr>
        <w:t>10-Q</w:t>
      </w:r>
    </w:p>
    <w:p>
      <w:pPr>
        <w:pStyle w:val="TextBody"/>
        <w:spacing w:before="120" w:after="0"/>
        <w:jc w:val="left"/>
        <w:rPr>
          <w:rFonts w:ascii="Times New Roman" w:hAnsi="Times New Roman"/>
          <w:sz w:val="20"/>
        </w:rPr>
      </w:pPr>
      <w:r>
        <w:rPr>
          <w:rFonts w:ascii="Times New Roman" w:hAnsi="Times New Roman"/>
          <w:sz w:val="20"/>
        </w:rPr>
        <w:t xml:space="preserve">present fairly, in all material respects, our financial position, result of operations and cash flows of the periods presented. Management understands that the accounting standards applicable to our condensed consolidated financial statements are complex and has since the inception of the Company benefited from the support of experienced third-party professionals with whom management has regularly consulted with respect to accounting issues. Management intends to continue to further consult with such professionals in connection with accounting matters.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Changes in Internal Control over Financial Reporting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There were no changes to our internal control over financial reporting that occurred during our fiscal quarter ended March 31, 2022 that have materially affected or are reasonably likely to materially affect, our internal control over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financial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z w:val="20"/>
        </w:rPr>
      </w:pPr>
      <w:r>
        <w:rPr>
          <w:rFonts w:ascii="Times New Roman" w:hAnsi="Times New Roman"/>
          <w:b/>
          <w:sz w:val="20"/>
        </w:rPr>
        <w:t xml:space="preserve">PART II - OTHER INFORMATION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spacing w:val="0"/>
        </w:rPr>
      </w:pPr>
      <w:r>
        <w:rPr>
          <w:spacing w:val="0"/>
        </w:rPr>
        <w:t> </w:t>
      </w:r>
    </w:p>
    <w:tbl>
      <w:tblPr>
        <w:tblW w:w="2395" w:type="dxa"/>
        <w:jc w:val="left"/>
        <w:tblInd w:w="0" w:type="dxa"/>
        <w:tblCellMar>
          <w:top w:w="0" w:type="dxa"/>
          <w:left w:w="0" w:type="dxa"/>
          <w:bottom w:w="0" w:type="dxa"/>
          <w:right w:w="0" w:type="dxa"/>
        </w:tblCellMar>
      </w:tblPr>
      <w:tblGrid>
        <w:gridCol w:w="740"/>
        <w:gridCol w:w="1655"/>
      </w:tblGrid>
      <w:tr>
        <w:trPr/>
        <w:tc>
          <w:tcPr>
            <w:tcW w:w="740" w:type="dxa"/>
            <w:tcBorders/>
            <w:shd w:fill="auto" w:val="clear"/>
            <w:vAlign w:val="center"/>
          </w:tcPr>
          <w:p>
            <w:pPr>
              <w:pStyle w:val="TableContents"/>
              <w:spacing w:before="0" w:after="0"/>
              <w:jc w:val="left"/>
              <w:rPr>
                <w:b/>
                <w:spacing w:val="0"/>
              </w:rPr>
            </w:pPr>
            <w:bookmarkStart w:id="6" w:name="tx317211_10"/>
            <w:bookmarkEnd w:id="6"/>
            <w:r>
              <w:rPr>
                <w:b/>
                <w:spacing w:val="0"/>
              </w:rPr>
              <w:t>Item 1.</w:t>
            </w:r>
          </w:p>
        </w:tc>
        <w:tc>
          <w:tcPr>
            <w:tcW w:w="165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Legal Proceedings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None. </w:t>
      </w:r>
    </w:p>
    <w:p>
      <w:pPr>
        <w:pStyle w:val="TextBody"/>
        <w:spacing w:before="0" w:after="0"/>
        <w:jc w:val="left"/>
        <w:rPr>
          <w:spacing w:val="0"/>
        </w:rPr>
      </w:pPr>
      <w:r>
        <w:rPr>
          <w:spacing w:val="0"/>
        </w:rPr>
        <w:t> </w:t>
      </w:r>
    </w:p>
    <w:tbl>
      <w:tblPr>
        <w:tblW w:w="2065" w:type="dxa"/>
        <w:jc w:val="left"/>
        <w:tblInd w:w="0" w:type="dxa"/>
        <w:tblCellMar>
          <w:top w:w="0" w:type="dxa"/>
          <w:left w:w="0" w:type="dxa"/>
          <w:bottom w:w="0" w:type="dxa"/>
          <w:right w:w="0" w:type="dxa"/>
        </w:tblCellMar>
      </w:tblPr>
      <w:tblGrid>
        <w:gridCol w:w="920"/>
        <w:gridCol w:w="1145"/>
      </w:tblGrid>
      <w:tr>
        <w:trPr/>
        <w:tc>
          <w:tcPr>
            <w:tcW w:w="920" w:type="dxa"/>
            <w:tcBorders/>
            <w:shd w:fill="auto" w:val="clear"/>
            <w:vAlign w:val="center"/>
          </w:tcPr>
          <w:p>
            <w:pPr>
              <w:pStyle w:val="TableContents"/>
              <w:spacing w:before="0" w:after="0"/>
              <w:jc w:val="left"/>
              <w:rPr>
                <w:b/>
                <w:spacing w:val="0"/>
              </w:rPr>
            </w:pPr>
            <w:bookmarkStart w:id="7" w:name="tx317211_11"/>
            <w:bookmarkEnd w:id="7"/>
            <w:r>
              <w:rPr>
                <w:b/>
                <w:spacing w:val="0"/>
              </w:rPr>
              <w:t>Item 1A.</w:t>
            </w:r>
          </w:p>
        </w:tc>
        <w:tc>
          <w:tcPr>
            <w:tcW w:w="114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Risk Factors </w:t>
            </w:r>
          </w:p>
        </w:tc>
      </w:tr>
    </w:tbl>
    <w:p>
      <w:pPr>
        <w:pStyle w:val="TextBody"/>
        <w:spacing w:before="120" w:after="0"/>
        <w:jc w:val="left"/>
        <w:rPr>
          <w:rFonts w:ascii="Times New Roman" w:hAnsi="Times New Roman"/>
          <w:sz w:val="20"/>
        </w:rPr>
      </w:pPr>
      <w:r>
        <w:rPr>
          <w:rFonts w:ascii="Times New Roman" w:hAnsi="Times New Roman"/>
          <w:sz w:val="20"/>
        </w:rPr>
        <w:t xml:space="preserve">As of the date of this Quarterly Report on Form </w:t>
      </w:r>
    </w:p>
    <w:p>
      <w:pPr>
        <w:pStyle w:val="TextBody"/>
        <w:spacing w:before="120" w:after="0"/>
        <w:jc w:val="left"/>
        <w:rPr>
          <w:rFonts w:ascii="Times New Roman" w:hAnsi="Times New Roman"/>
          <w:spacing w:val="0"/>
          <w:sz w:val="20"/>
        </w:rPr>
      </w:pPr>
      <w:r>
        <w:rPr>
          <w:rFonts w:ascii="Times New Roman" w:hAnsi="Times New Roman"/>
          <w:spacing w:val="0"/>
          <w:sz w:val="20"/>
        </w:rPr>
        <w:t>10-Q,</w:t>
      </w:r>
    </w:p>
    <w:p>
      <w:pPr>
        <w:pStyle w:val="TextBody"/>
        <w:spacing w:before="120" w:after="0"/>
        <w:jc w:val="left"/>
        <w:rPr>
          <w:rFonts w:ascii="Times New Roman" w:hAnsi="Times New Roman"/>
          <w:sz w:val="20"/>
        </w:rPr>
      </w:pPr>
      <w:r>
        <w:rPr>
          <w:rFonts w:ascii="Times New Roman" w:hAnsi="Times New Roman"/>
          <w:sz w:val="20"/>
        </w:rPr>
        <w:t xml:space="preserve">there have been no material changes to the risk factors disclosed in our Annual </w:t>
      </w:r>
    </w:p>
    <w:p>
      <w:pPr>
        <w:pStyle w:val="TextBody"/>
        <w:spacing w:before="120" w:after="0"/>
        <w:jc w:val="left"/>
        <w:rPr>
          <w:rFonts w:ascii="Times New Roman" w:hAnsi="Times New Roman"/>
          <w:spacing w:val="0"/>
          <w:sz w:val="20"/>
        </w:rPr>
      </w:pPr>
      <w:r>
        <w:rPr>
          <w:rFonts w:ascii="Times New Roman" w:hAnsi="Times New Roman"/>
          <w:spacing w:val="0"/>
          <w:sz w:val="20"/>
        </w:rPr>
        <w:t>10-K</w:t>
      </w:r>
    </w:p>
    <w:p>
      <w:pPr>
        <w:pStyle w:val="TextBody"/>
        <w:spacing w:before="120" w:after="0"/>
        <w:jc w:val="left"/>
        <w:rPr>
          <w:rFonts w:ascii="Times New Roman" w:hAnsi="Times New Roman"/>
          <w:sz w:val="20"/>
        </w:rPr>
      </w:pPr>
      <w:r>
        <w:rPr>
          <w:rFonts w:ascii="Times New Roman" w:hAnsi="Times New Roman"/>
          <w:sz w:val="20"/>
        </w:rPr>
        <w:t xml:space="preserve">Report filed with the SEC on March 23, 2022. We may disclose changes to such factors or disclose additional factors from time to time in our future filings with the SEC. </w:t>
      </w:r>
    </w:p>
    <w:p>
      <w:pPr>
        <w:pStyle w:val="TextBody"/>
        <w:spacing w:before="0" w:after="0"/>
        <w:jc w:val="left"/>
        <w:rPr>
          <w:spacing w:val="0"/>
        </w:rPr>
      </w:pPr>
      <w:r>
        <w:rPr>
          <w:spacing w:val="0"/>
        </w:rPr>
        <w:t> </w:t>
      </w:r>
    </w:p>
    <w:tbl>
      <w:tblPr>
        <w:tblW w:w="5815" w:type="dxa"/>
        <w:jc w:val="left"/>
        <w:tblInd w:w="0" w:type="dxa"/>
        <w:tblCellMar>
          <w:top w:w="0" w:type="dxa"/>
          <w:left w:w="0" w:type="dxa"/>
          <w:bottom w:w="0" w:type="dxa"/>
          <w:right w:w="0" w:type="dxa"/>
        </w:tblCellMar>
      </w:tblPr>
      <w:tblGrid>
        <w:gridCol w:w="740"/>
        <w:gridCol w:w="5075"/>
      </w:tblGrid>
      <w:tr>
        <w:trPr/>
        <w:tc>
          <w:tcPr>
            <w:tcW w:w="740" w:type="dxa"/>
            <w:tcBorders/>
            <w:shd w:fill="auto" w:val="clear"/>
            <w:vAlign w:val="center"/>
          </w:tcPr>
          <w:p>
            <w:pPr>
              <w:pStyle w:val="TableContents"/>
              <w:spacing w:before="0" w:after="0"/>
              <w:jc w:val="left"/>
              <w:rPr>
                <w:b/>
                <w:spacing w:val="0"/>
              </w:rPr>
            </w:pPr>
            <w:bookmarkStart w:id="8" w:name="tx317211_12"/>
            <w:bookmarkEnd w:id="8"/>
            <w:r>
              <w:rPr>
                <w:b/>
                <w:spacing w:val="0"/>
              </w:rPr>
              <w:t>Item 2.</w:t>
            </w:r>
          </w:p>
        </w:tc>
        <w:tc>
          <w:tcPr>
            <w:tcW w:w="507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Unregistered Sales of Equity Securities and Use of Proceeds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None. </w:t>
      </w:r>
    </w:p>
    <w:p>
      <w:pPr>
        <w:pStyle w:val="TextBody"/>
        <w:spacing w:before="0" w:after="0"/>
        <w:jc w:val="left"/>
        <w:rPr>
          <w:spacing w:val="0"/>
        </w:rPr>
      </w:pPr>
      <w:r>
        <w:rPr>
          <w:spacing w:val="0"/>
        </w:rPr>
        <w:t> </w:t>
      </w:r>
    </w:p>
    <w:tbl>
      <w:tblPr>
        <w:tblW w:w="3445" w:type="dxa"/>
        <w:jc w:val="left"/>
        <w:tblInd w:w="0" w:type="dxa"/>
        <w:tblCellMar>
          <w:top w:w="0" w:type="dxa"/>
          <w:left w:w="0" w:type="dxa"/>
          <w:bottom w:w="0" w:type="dxa"/>
          <w:right w:w="0" w:type="dxa"/>
        </w:tblCellMar>
      </w:tblPr>
      <w:tblGrid>
        <w:gridCol w:w="740"/>
        <w:gridCol w:w="2705"/>
      </w:tblGrid>
      <w:tr>
        <w:trPr/>
        <w:tc>
          <w:tcPr>
            <w:tcW w:w="740" w:type="dxa"/>
            <w:tcBorders/>
            <w:shd w:fill="auto" w:val="clear"/>
            <w:vAlign w:val="center"/>
          </w:tcPr>
          <w:p>
            <w:pPr>
              <w:pStyle w:val="TableContents"/>
              <w:spacing w:before="0" w:after="0"/>
              <w:jc w:val="left"/>
              <w:rPr>
                <w:b/>
                <w:spacing w:val="0"/>
              </w:rPr>
            </w:pPr>
            <w:bookmarkStart w:id="9" w:name="tx317211_13"/>
            <w:bookmarkEnd w:id="9"/>
            <w:r>
              <w:rPr>
                <w:b/>
                <w:spacing w:val="0"/>
              </w:rPr>
              <w:t>Item 3.</w:t>
            </w:r>
          </w:p>
        </w:tc>
        <w:tc>
          <w:tcPr>
            <w:tcW w:w="27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Defaults upon Senior Securities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None. </w:t>
      </w:r>
    </w:p>
    <w:p>
      <w:pPr>
        <w:pStyle w:val="TextBody"/>
        <w:spacing w:before="0" w:after="0"/>
        <w:jc w:val="left"/>
        <w:rPr>
          <w:spacing w:val="0"/>
        </w:rPr>
      </w:pPr>
      <w:r>
        <w:rPr>
          <w:spacing w:val="0"/>
        </w:rPr>
        <w:t> </w:t>
      </w:r>
    </w:p>
    <w:tbl>
      <w:tblPr>
        <w:tblW w:w="2875" w:type="dxa"/>
        <w:jc w:val="left"/>
        <w:tblInd w:w="0" w:type="dxa"/>
        <w:tblCellMar>
          <w:top w:w="0" w:type="dxa"/>
          <w:left w:w="0" w:type="dxa"/>
          <w:bottom w:w="0" w:type="dxa"/>
          <w:right w:w="0" w:type="dxa"/>
        </w:tblCellMar>
      </w:tblPr>
      <w:tblGrid>
        <w:gridCol w:w="740"/>
        <w:gridCol w:w="2135"/>
      </w:tblGrid>
      <w:tr>
        <w:trPr/>
        <w:tc>
          <w:tcPr>
            <w:tcW w:w="740" w:type="dxa"/>
            <w:tcBorders/>
            <w:shd w:fill="auto" w:val="clear"/>
            <w:vAlign w:val="center"/>
          </w:tcPr>
          <w:p>
            <w:pPr>
              <w:pStyle w:val="TableContents"/>
              <w:spacing w:before="0" w:after="0"/>
              <w:jc w:val="left"/>
              <w:rPr>
                <w:b/>
                <w:spacing w:val="0"/>
              </w:rPr>
            </w:pPr>
            <w:bookmarkStart w:id="10" w:name="tx317211_14"/>
            <w:bookmarkEnd w:id="10"/>
            <w:r>
              <w:rPr>
                <w:b/>
                <w:spacing w:val="0"/>
              </w:rPr>
              <w:t>Item 4.</w:t>
            </w:r>
          </w:p>
        </w:tc>
        <w:tc>
          <w:tcPr>
            <w:tcW w:w="21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Mine Safety Disclosures.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Not applicable.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22 </w:t>
      </w:r>
    </w:p>
    <w:p>
      <w:pPr>
        <w:pStyle w:val="HorizontalLine"/>
        <w:rPr/>
      </w:pPr>
      <w:r>
        <w:rPr/>
      </w:r>
    </w:p>
    <w:p>
      <w:pPr>
        <w:pStyle w:val="TextBody"/>
        <w:spacing w:before="0" w:after="0"/>
        <w:rPr/>
      </w:pPr>
      <w:hyperlink w:anchor="toc">
        <w:r>
          <w:rPr>
            <w:rStyle w:val="InternetLink"/>
            <w:b/>
            <w:sz w:val="20"/>
          </w:rPr>
          <w:t>Table of Contents</w:t>
        </w:r>
      </w:hyperlink>
    </w:p>
    <w:tbl>
      <w:tblPr>
        <w:tblW w:w="2440" w:type="dxa"/>
        <w:jc w:val="left"/>
        <w:tblInd w:w="0" w:type="dxa"/>
        <w:tblCellMar>
          <w:top w:w="0" w:type="dxa"/>
          <w:left w:w="0" w:type="dxa"/>
          <w:bottom w:w="0" w:type="dxa"/>
          <w:right w:w="0" w:type="dxa"/>
        </w:tblCellMar>
      </w:tblPr>
      <w:tblGrid>
        <w:gridCol w:w="740"/>
        <w:gridCol w:w="1700"/>
      </w:tblGrid>
      <w:tr>
        <w:trPr/>
        <w:tc>
          <w:tcPr>
            <w:tcW w:w="740" w:type="dxa"/>
            <w:tcBorders/>
            <w:shd w:fill="auto" w:val="clear"/>
            <w:vAlign w:val="center"/>
          </w:tcPr>
          <w:p>
            <w:pPr>
              <w:pStyle w:val="TableContents"/>
              <w:spacing w:before="0" w:after="0"/>
              <w:jc w:val="left"/>
              <w:rPr>
                <w:b/>
                <w:spacing w:val="0"/>
              </w:rPr>
            </w:pPr>
            <w:bookmarkStart w:id="11" w:name="tx317211_15"/>
            <w:bookmarkEnd w:id="11"/>
            <w:r>
              <w:rPr>
                <w:b/>
                <w:spacing w:val="0"/>
              </w:rPr>
              <w:t>Item 5.</w:t>
            </w:r>
          </w:p>
        </w:tc>
        <w:tc>
          <w:tcPr>
            <w:tcW w:w="170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Other Information.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None. </w:t>
      </w:r>
    </w:p>
    <w:p>
      <w:pPr>
        <w:pStyle w:val="TextBody"/>
        <w:spacing w:before="0" w:after="0"/>
        <w:jc w:val="left"/>
        <w:rPr>
          <w:spacing w:val="0"/>
        </w:rPr>
      </w:pPr>
      <w:r>
        <w:rPr>
          <w:spacing w:val="0"/>
        </w:rPr>
        <w:t> </w:t>
      </w:r>
    </w:p>
    <w:tbl>
      <w:tblPr>
        <w:tblW w:w="1570" w:type="dxa"/>
        <w:jc w:val="left"/>
        <w:tblInd w:w="0" w:type="dxa"/>
        <w:tblCellMar>
          <w:top w:w="0" w:type="dxa"/>
          <w:left w:w="0" w:type="dxa"/>
          <w:bottom w:w="0" w:type="dxa"/>
          <w:right w:w="0" w:type="dxa"/>
        </w:tblCellMar>
      </w:tblPr>
      <w:tblGrid>
        <w:gridCol w:w="740"/>
        <w:gridCol w:w="830"/>
      </w:tblGrid>
      <w:tr>
        <w:trPr/>
        <w:tc>
          <w:tcPr>
            <w:tcW w:w="740" w:type="dxa"/>
            <w:tcBorders/>
            <w:shd w:fill="auto" w:val="clear"/>
            <w:vAlign w:val="center"/>
          </w:tcPr>
          <w:p>
            <w:pPr>
              <w:pStyle w:val="TableContents"/>
              <w:spacing w:before="0" w:after="0"/>
              <w:jc w:val="left"/>
              <w:rPr>
                <w:b/>
                <w:spacing w:val="0"/>
              </w:rPr>
            </w:pPr>
            <w:bookmarkStart w:id="12" w:name="tx317211_16"/>
            <w:bookmarkEnd w:id="12"/>
            <w:r>
              <w:rPr>
                <w:b/>
                <w:spacing w:val="0"/>
              </w:rPr>
              <w:t>Item 6.</w:t>
            </w:r>
          </w:p>
        </w:tc>
        <w:tc>
          <w:tcPr>
            <w:tcW w:w="8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Exhibits.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911"/>
        <w:gridCol w:w="120"/>
        <w:gridCol w:w="9174"/>
      </w:tblGrid>
      <w:tr>
        <w:trPr/>
        <w:tc>
          <w:tcPr>
            <w:tcW w:w="9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74" w:type="dxa"/>
            <w:tcBorders/>
            <w:shd w:fill="auto" w:val="clear"/>
            <w:vAlign w:val="center"/>
          </w:tcPr>
          <w:p>
            <w:pPr>
              <w:pStyle w:val="TableContents"/>
              <w:spacing w:before="0" w:after="283"/>
              <w:rPr>
                <w:sz w:val="4"/>
                <w:szCs w:val="4"/>
              </w:rPr>
            </w:pPr>
            <w:r>
              <w:rPr>
                <w:sz w:val="4"/>
                <w:szCs w:val="4"/>
              </w:rPr>
            </w:r>
          </w:p>
        </w:tc>
      </w:tr>
      <w:tr>
        <w:trPr/>
        <w:tc>
          <w:tcPr>
            <w:tcW w:w="911" w:type="dxa"/>
            <w:tcBorders/>
            <w:shd w:fill="auto" w:val="clear"/>
            <w:vAlign w:val="center"/>
          </w:tcPr>
          <w:p>
            <w:pPr>
              <w:pStyle w:val="TableContents"/>
              <w:spacing w:before="0" w:after="0"/>
              <w:jc w:val="center"/>
              <w:rPr>
                <w:b/>
                <w:spacing w:val="0"/>
              </w:rPr>
            </w:pPr>
            <w:r>
              <w:rPr>
                <w:b/>
                <w:spacing w:val="0"/>
              </w:rPr>
              <w:t>Exhibit</w:t>
              <w:br/>
              <w:t>Number</w:t>
            </w:r>
          </w:p>
        </w:tc>
        <w:tc>
          <w:tcPr>
            <w:tcW w:w="120" w:type="dxa"/>
            <w:tcBorders/>
            <w:shd w:fill="auto" w:val="clear"/>
            <w:vAlign w:val="center"/>
          </w:tcPr>
          <w:p>
            <w:pPr>
              <w:pStyle w:val="TableContents"/>
              <w:spacing w:before="0" w:after="283"/>
              <w:rPr/>
            </w:pPr>
            <w:r>
              <w:rPr/>
              <w:t>  </w:t>
            </w:r>
          </w:p>
        </w:tc>
        <w:tc>
          <w:tcPr>
            <w:tcW w:w="9174" w:type="dxa"/>
            <w:tcBorders/>
            <w:shd w:fill="auto" w:val="clear"/>
            <w:vAlign w:val="center"/>
          </w:tcPr>
          <w:p>
            <w:pPr>
              <w:pStyle w:val="TableContents"/>
              <w:spacing w:before="0" w:after="0"/>
              <w:rPr>
                <w:b/>
                <w:spacing w:val="0"/>
              </w:rPr>
            </w:pPr>
            <w:r>
              <w:rPr>
                <w:b/>
                <w:spacing w:val="0"/>
              </w:rPr>
              <w:t>Description</w:t>
            </w:r>
          </w:p>
        </w:tc>
      </w:tr>
      <w:tr>
        <w:trPr/>
        <w:tc>
          <w:tcPr>
            <w:tcW w:w="911" w:type="dxa"/>
            <w:tcBorders/>
            <w:shd w:fill="auto" w:val="clear"/>
            <w:vAlign w:val="center"/>
          </w:tcPr>
          <w:p>
            <w:pPr>
              <w:pStyle w:val="TableContents"/>
              <w:spacing w:before="0" w:after="283"/>
              <w:rPr>
                <w:sz w:val="4"/>
                <w:szCs w:val="4"/>
              </w:rPr>
            </w:pPr>
            <w:r>
              <w:rPr>
                <w:sz w:val="4"/>
                <w:szCs w:val="4"/>
              </w:rPr>
            </w:r>
          </w:p>
        </w:tc>
        <w:tc>
          <w:tcPr>
            <w:tcW w:w="9294" w:type="dxa"/>
            <w:gridSpan w:val="2"/>
            <w:tcBorders/>
            <w:shd w:fill="auto" w:val="clear"/>
            <w:vAlign w:val="center"/>
          </w:tcPr>
          <w:p>
            <w:pPr>
              <w:pStyle w:val="TableContents"/>
              <w:spacing w:before="0" w:after="283"/>
              <w:rPr>
                <w:sz w:val="4"/>
                <w:szCs w:val="4"/>
              </w:rPr>
            </w:pPr>
            <w:r>
              <w:rPr>
                <w:sz w:val="4"/>
                <w:szCs w:val="4"/>
              </w:rPr>
            </w:r>
          </w:p>
        </w:tc>
      </w:tr>
      <w:tr>
        <w:trPr/>
        <w:tc>
          <w:tcPr>
            <w:tcW w:w="911" w:type="dxa"/>
            <w:tcBorders/>
            <w:shd w:fill="auto" w:val="clear"/>
            <w:vAlign w:val="center"/>
          </w:tcPr>
          <w:p>
            <w:pPr>
              <w:pStyle w:val="TableContents"/>
              <w:spacing w:before="0" w:after="283"/>
              <w:rPr/>
            </w:pPr>
            <w:r>
              <w:rPr/>
              <w:t>31.1*</w:t>
            </w:r>
          </w:p>
        </w:tc>
        <w:tc>
          <w:tcPr>
            <w:tcW w:w="120" w:type="dxa"/>
            <w:tcBorders/>
            <w:shd w:fill="auto" w:val="clear"/>
            <w:vAlign w:val="center"/>
          </w:tcPr>
          <w:p>
            <w:pPr>
              <w:pStyle w:val="TableContents"/>
              <w:spacing w:before="0" w:after="283"/>
              <w:rPr/>
            </w:pPr>
            <w:r>
              <w:rPr/>
              <w:t>  </w:t>
            </w:r>
          </w:p>
        </w:tc>
        <w:tc>
          <w:tcPr>
            <w:tcW w:w="9174" w:type="dxa"/>
            <w:tcBorders/>
            <w:shd w:fill="auto" w:val="clear"/>
            <w:vAlign w:val="center"/>
          </w:tcPr>
          <w:p>
            <w:pPr>
              <w:pStyle w:val="TableContents"/>
              <w:spacing w:before="0" w:after="283"/>
              <w:rPr/>
            </w:pPr>
            <w:hyperlink w:anchor="d317211dex311.htm">
              <w:r>
                <w:rPr>
                  <w:rStyle w:val="InternetLink"/>
                </w:rPr>
                <w:t xml:space="preserve">Certification of Chief Executive Officer (Principal Executive Officer) Pursuant to Rules </w:t>
              </w:r>
            </w:hyperlink>
            <w:hyperlink w:anchor="d317211dex311.htm">
              <w:r>
                <w:rPr>
                  <w:rStyle w:val="InternetLink"/>
                  <w:spacing w:val="0"/>
                </w:rPr>
                <w:t>13a-14(a)</w:t>
              </w:r>
            </w:hyperlink>
            <w:hyperlink w:anchor="d317211dex311.htm">
              <w:r>
                <w:rPr>
                  <w:rStyle w:val="InternetLink"/>
                </w:rPr>
                <w:t xml:space="preserve"> and </w:t>
              </w:r>
            </w:hyperlink>
            <w:hyperlink w:anchor="d317211dex311.htm">
              <w:r>
                <w:rPr>
                  <w:rStyle w:val="InternetLink"/>
                  <w:spacing w:val="0"/>
                </w:rPr>
                <w:t>15d-14(a)</w:t>
              </w:r>
            </w:hyperlink>
            <w:hyperlink w:anchor="d317211dex311.htm">
              <w:r>
                <w:rPr>
                  <w:rStyle w:val="InternetLink"/>
                </w:rPr>
                <w:t xml:space="preserve"> under the Securities Exchange Act of 1934, as Adopted Pursuant to Section 302 of the Sarbanes-Oxley Act of 2002. </w:t>
              </w:r>
            </w:hyperlink>
          </w:p>
        </w:tc>
      </w:tr>
      <w:tr>
        <w:trPr/>
        <w:tc>
          <w:tcPr>
            <w:tcW w:w="911" w:type="dxa"/>
            <w:tcBorders/>
            <w:shd w:fill="auto" w:val="clear"/>
            <w:vAlign w:val="center"/>
          </w:tcPr>
          <w:p>
            <w:pPr>
              <w:pStyle w:val="TableContents"/>
              <w:spacing w:before="0" w:after="283"/>
              <w:rPr>
                <w:sz w:val="4"/>
                <w:szCs w:val="4"/>
              </w:rPr>
            </w:pPr>
            <w:r>
              <w:rPr>
                <w:sz w:val="4"/>
                <w:szCs w:val="4"/>
              </w:rPr>
            </w:r>
          </w:p>
        </w:tc>
        <w:tc>
          <w:tcPr>
            <w:tcW w:w="9294" w:type="dxa"/>
            <w:gridSpan w:val="2"/>
            <w:tcBorders/>
            <w:shd w:fill="auto" w:val="clear"/>
            <w:vAlign w:val="center"/>
          </w:tcPr>
          <w:p>
            <w:pPr>
              <w:pStyle w:val="TableContents"/>
              <w:spacing w:before="0" w:after="283"/>
              <w:rPr>
                <w:sz w:val="4"/>
                <w:szCs w:val="4"/>
              </w:rPr>
            </w:pPr>
            <w:r>
              <w:rPr>
                <w:sz w:val="4"/>
                <w:szCs w:val="4"/>
              </w:rPr>
            </w:r>
          </w:p>
        </w:tc>
      </w:tr>
      <w:tr>
        <w:trPr/>
        <w:tc>
          <w:tcPr>
            <w:tcW w:w="911" w:type="dxa"/>
            <w:tcBorders/>
            <w:shd w:fill="auto" w:val="clear"/>
            <w:vAlign w:val="center"/>
          </w:tcPr>
          <w:p>
            <w:pPr>
              <w:pStyle w:val="TableContents"/>
              <w:spacing w:before="0" w:after="283"/>
              <w:rPr/>
            </w:pPr>
            <w:r>
              <w:rPr/>
              <w:t>31.2*</w:t>
            </w:r>
          </w:p>
        </w:tc>
        <w:tc>
          <w:tcPr>
            <w:tcW w:w="120" w:type="dxa"/>
            <w:tcBorders/>
            <w:shd w:fill="auto" w:val="clear"/>
            <w:vAlign w:val="center"/>
          </w:tcPr>
          <w:p>
            <w:pPr>
              <w:pStyle w:val="TableContents"/>
              <w:spacing w:before="0" w:after="283"/>
              <w:rPr/>
            </w:pPr>
            <w:r>
              <w:rPr/>
              <w:t>  </w:t>
            </w:r>
          </w:p>
        </w:tc>
        <w:tc>
          <w:tcPr>
            <w:tcW w:w="9174" w:type="dxa"/>
            <w:tcBorders/>
            <w:shd w:fill="auto" w:val="clear"/>
            <w:vAlign w:val="center"/>
          </w:tcPr>
          <w:p>
            <w:pPr>
              <w:pStyle w:val="TableContents"/>
              <w:spacing w:before="0" w:after="283"/>
              <w:rPr/>
            </w:pPr>
            <w:hyperlink w:anchor="d317211dex312.htm">
              <w:r>
                <w:rPr>
                  <w:rStyle w:val="InternetLink"/>
                </w:rPr>
                <w:t xml:space="preserve">Certification of Chief Financial Officer (Principal Financial and Accounting Officer) Pursuant to Rules </w:t>
              </w:r>
            </w:hyperlink>
            <w:hyperlink w:anchor="d317211dex312.htm">
              <w:r>
                <w:rPr>
                  <w:rStyle w:val="InternetLink"/>
                  <w:spacing w:val="0"/>
                </w:rPr>
                <w:t>13a-14(a)</w:t>
              </w:r>
            </w:hyperlink>
            <w:hyperlink w:anchor="d317211dex312.htm">
              <w:r>
                <w:rPr>
                  <w:rStyle w:val="InternetLink"/>
                </w:rPr>
                <w:t xml:space="preserve"> and </w:t>
              </w:r>
            </w:hyperlink>
            <w:hyperlink w:anchor="d317211dex312.htm">
              <w:r>
                <w:rPr>
                  <w:rStyle w:val="InternetLink"/>
                  <w:spacing w:val="0"/>
                </w:rPr>
                <w:t>15d-14(a)</w:t>
              </w:r>
            </w:hyperlink>
            <w:hyperlink w:anchor="d317211dex312.htm">
              <w:r>
                <w:rPr>
                  <w:rStyle w:val="InternetLink"/>
                </w:rPr>
                <w:t xml:space="preserve"> under the Securities Exchange Act of 1934, as Adopted Pursuant to Section 302 of the Sarbanes-Oxley Act of 2002. </w:t>
              </w:r>
            </w:hyperlink>
          </w:p>
        </w:tc>
      </w:tr>
      <w:tr>
        <w:trPr/>
        <w:tc>
          <w:tcPr>
            <w:tcW w:w="911" w:type="dxa"/>
            <w:tcBorders/>
            <w:shd w:fill="auto" w:val="clear"/>
            <w:vAlign w:val="center"/>
          </w:tcPr>
          <w:p>
            <w:pPr>
              <w:pStyle w:val="TableContents"/>
              <w:spacing w:before="0" w:after="283"/>
              <w:rPr>
                <w:sz w:val="4"/>
                <w:szCs w:val="4"/>
              </w:rPr>
            </w:pPr>
            <w:r>
              <w:rPr>
                <w:sz w:val="4"/>
                <w:szCs w:val="4"/>
              </w:rPr>
            </w:r>
          </w:p>
        </w:tc>
        <w:tc>
          <w:tcPr>
            <w:tcW w:w="9294" w:type="dxa"/>
            <w:gridSpan w:val="2"/>
            <w:tcBorders/>
            <w:shd w:fill="auto" w:val="clear"/>
            <w:vAlign w:val="center"/>
          </w:tcPr>
          <w:p>
            <w:pPr>
              <w:pStyle w:val="TableContents"/>
              <w:spacing w:before="0" w:after="283"/>
              <w:rPr>
                <w:sz w:val="4"/>
                <w:szCs w:val="4"/>
              </w:rPr>
            </w:pPr>
            <w:r>
              <w:rPr>
                <w:sz w:val="4"/>
                <w:szCs w:val="4"/>
              </w:rPr>
            </w:r>
          </w:p>
        </w:tc>
      </w:tr>
      <w:tr>
        <w:trPr/>
        <w:tc>
          <w:tcPr>
            <w:tcW w:w="911" w:type="dxa"/>
            <w:tcBorders/>
            <w:shd w:fill="auto" w:val="clear"/>
            <w:vAlign w:val="center"/>
          </w:tcPr>
          <w:p>
            <w:pPr>
              <w:pStyle w:val="TableContents"/>
              <w:spacing w:before="0" w:after="283"/>
              <w:rPr/>
            </w:pPr>
            <w:r>
              <w:rPr/>
              <w:t>32.1*</w:t>
            </w:r>
          </w:p>
        </w:tc>
        <w:tc>
          <w:tcPr>
            <w:tcW w:w="120" w:type="dxa"/>
            <w:tcBorders/>
            <w:shd w:fill="auto" w:val="clear"/>
            <w:vAlign w:val="center"/>
          </w:tcPr>
          <w:p>
            <w:pPr>
              <w:pStyle w:val="TableContents"/>
              <w:spacing w:before="0" w:after="283"/>
              <w:rPr/>
            </w:pPr>
            <w:r>
              <w:rPr/>
              <w:t>  </w:t>
            </w:r>
          </w:p>
        </w:tc>
        <w:tc>
          <w:tcPr>
            <w:tcW w:w="9174" w:type="dxa"/>
            <w:tcBorders/>
            <w:shd w:fill="auto" w:val="clear"/>
            <w:vAlign w:val="center"/>
          </w:tcPr>
          <w:p>
            <w:pPr>
              <w:pStyle w:val="TableContents"/>
              <w:spacing w:before="0" w:after="283"/>
              <w:rPr/>
            </w:pPr>
            <w:hyperlink w:anchor="d317211dex321.htm">
              <w:r>
                <w:rPr>
                  <w:rStyle w:val="InternetLink"/>
                </w:rPr>
                <w:t xml:space="preserve">Certification of Chief Executive Officer (Principal Executive Officer) Pursuant to 18 U.S.C. Section 1350, as Adopted Pursuant to Section 906 of the Sarbanes-Oxley Act of 2002. </w:t>
              </w:r>
            </w:hyperlink>
          </w:p>
        </w:tc>
      </w:tr>
      <w:tr>
        <w:trPr/>
        <w:tc>
          <w:tcPr>
            <w:tcW w:w="911" w:type="dxa"/>
            <w:tcBorders/>
            <w:shd w:fill="auto" w:val="clear"/>
            <w:vAlign w:val="center"/>
          </w:tcPr>
          <w:p>
            <w:pPr>
              <w:pStyle w:val="TableContents"/>
              <w:spacing w:before="0" w:after="283"/>
              <w:rPr>
                <w:sz w:val="4"/>
                <w:szCs w:val="4"/>
              </w:rPr>
            </w:pPr>
            <w:r>
              <w:rPr>
                <w:sz w:val="4"/>
                <w:szCs w:val="4"/>
              </w:rPr>
            </w:r>
          </w:p>
        </w:tc>
        <w:tc>
          <w:tcPr>
            <w:tcW w:w="9294" w:type="dxa"/>
            <w:gridSpan w:val="2"/>
            <w:tcBorders/>
            <w:shd w:fill="auto" w:val="clear"/>
            <w:vAlign w:val="center"/>
          </w:tcPr>
          <w:p>
            <w:pPr>
              <w:pStyle w:val="TableContents"/>
              <w:spacing w:before="0" w:after="283"/>
              <w:rPr>
                <w:sz w:val="4"/>
                <w:szCs w:val="4"/>
              </w:rPr>
            </w:pPr>
            <w:r>
              <w:rPr>
                <w:sz w:val="4"/>
                <w:szCs w:val="4"/>
              </w:rPr>
            </w:r>
          </w:p>
        </w:tc>
      </w:tr>
      <w:tr>
        <w:trPr/>
        <w:tc>
          <w:tcPr>
            <w:tcW w:w="911" w:type="dxa"/>
            <w:tcBorders/>
            <w:shd w:fill="auto" w:val="clear"/>
            <w:vAlign w:val="center"/>
          </w:tcPr>
          <w:p>
            <w:pPr>
              <w:pStyle w:val="TableContents"/>
              <w:spacing w:before="0" w:after="283"/>
              <w:rPr/>
            </w:pPr>
            <w:r>
              <w:rPr/>
              <w:t>32.2*</w:t>
            </w:r>
          </w:p>
        </w:tc>
        <w:tc>
          <w:tcPr>
            <w:tcW w:w="120" w:type="dxa"/>
            <w:tcBorders/>
            <w:shd w:fill="auto" w:val="clear"/>
            <w:vAlign w:val="center"/>
          </w:tcPr>
          <w:p>
            <w:pPr>
              <w:pStyle w:val="TableContents"/>
              <w:spacing w:before="0" w:after="283"/>
              <w:rPr/>
            </w:pPr>
            <w:r>
              <w:rPr/>
              <w:t>  </w:t>
            </w:r>
          </w:p>
        </w:tc>
        <w:tc>
          <w:tcPr>
            <w:tcW w:w="9174" w:type="dxa"/>
            <w:tcBorders/>
            <w:shd w:fill="auto" w:val="clear"/>
            <w:vAlign w:val="center"/>
          </w:tcPr>
          <w:p>
            <w:pPr>
              <w:pStyle w:val="TableContents"/>
              <w:spacing w:before="0" w:after="283"/>
              <w:rPr/>
            </w:pPr>
            <w:hyperlink w:anchor="d317211dex322.htm">
              <w:r>
                <w:rPr>
                  <w:rStyle w:val="InternetLink"/>
                </w:rPr>
                <w:t xml:space="preserve">Certification of Chief Financial Officer (Principal Financial and Accounting Officer) Pursuant to 18 U.S.C. Section 1350, as Adopted Pursuant to Section 906 of the Sarbanes-Oxley Act of 2002. </w:t>
              </w:r>
            </w:hyperlink>
          </w:p>
        </w:tc>
      </w:tr>
      <w:tr>
        <w:trPr/>
        <w:tc>
          <w:tcPr>
            <w:tcW w:w="911" w:type="dxa"/>
            <w:tcBorders/>
            <w:shd w:fill="auto" w:val="clear"/>
            <w:vAlign w:val="center"/>
          </w:tcPr>
          <w:p>
            <w:pPr>
              <w:pStyle w:val="TableContents"/>
              <w:spacing w:before="0" w:after="283"/>
              <w:rPr>
                <w:sz w:val="4"/>
                <w:szCs w:val="4"/>
              </w:rPr>
            </w:pPr>
            <w:r>
              <w:rPr>
                <w:sz w:val="4"/>
                <w:szCs w:val="4"/>
              </w:rPr>
            </w:r>
          </w:p>
        </w:tc>
        <w:tc>
          <w:tcPr>
            <w:tcW w:w="9294" w:type="dxa"/>
            <w:gridSpan w:val="2"/>
            <w:tcBorders/>
            <w:shd w:fill="auto" w:val="clear"/>
            <w:vAlign w:val="center"/>
          </w:tcPr>
          <w:p>
            <w:pPr>
              <w:pStyle w:val="TableContents"/>
              <w:spacing w:before="0" w:after="283"/>
              <w:rPr>
                <w:sz w:val="4"/>
                <w:szCs w:val="4"/>
              </w:rPr>
            </w:pPr>
            <w:r>
              <w:rPr>
                <w:sz w:val="4"/>
                <w:szCs w:val="4"/>
              </w:rPr>
            </w:r>
          </w:p>
        </w:tc>
      </w:tr>
      <w:tr>
        <w:trPr/>
        <w:tc>
          <w:tcPr>
            <w:tcW w:w="911" w:type="dxa"/>
            <w:tcBorders/>
            <w:shd w:fill="auto" w:val="clear"/>
            <w:vAlign w:val="center"/>
          </w:tcPr>
          <w:p>
            <w:pPr>
              <w:pStyle w:val="TableContents"/>
              <w:spacing w:before="0" w:after="283"/>
              <w:rPr/>
            </w:pPr>
            <w:r>
              <w:rPr/>
              <w:t>101.INS</w:t>
            </w:r>
          </w:p>
        </w:tc>
        <w:tc>
          <w:tcPr>
            <w:tcW w:w="120" w:type="dxa"/>
            <w:tcBorders/>
            <w:shd w:fill="auto" w:val="clear"/>
            <w:vAlign w:val="center"/>
          </w:tcPr>
          <w:p>
            <w:pPr>
              <w:pStyle w:val="TableContents"/>
              <w:spacing w:before="0" w:after="283"/>
              <w:rPr/>
            </w:pPr>
            <w:r>
              <w:rPr/>
              <w:t>  </w:t>
            </w:r>
          </w:p>
        </w:tc>
        <w:tc>
          <w:tcPr>
            <w:tcW w:w="9174" w:type="dxa"/>
            <w:tcBorders/>
            <w:shd w:fill="auto" w:val="clear"/>
            <w:vAlign w:val="center"/>
          </w:tcPr>
          <w:p>
            <w:pPr>
              <w:pStyle w:val="TableContents"/>
              <w:spacing w:before="0" w:after="283"/>
              <w:rPr/>
            </w:pPr>
            <w:r>
              <w:rPr/>
              <w:t>Inline XBRL Instance Document</w:t>
            </w:r>
          </w:p>
        </w:tc>
      </w:tr>
      <w:tr>
        <w:trPr/>
        <w:tc>
          <w:tcPr>
            <w:tcW w:w="911" w:type="dxa"/>
            <w:tcBorders/>
            <w:shd w:fill="auto" w:val="clear"/>
            <w:vAlign w:val="center"/>
          </w:tcPr>
          <w:p>
            <w:pPr>
              <w:pStyle w:val="TableContents"/>
              <w:spacing w:before="0" w:after="283"/>
              <w:rPr>
                <w:sz w:val="4"/>
                <w:szCs w:val="4"/>
              </w:rPr>
            </w:pPr>
            <w:r>
              <w:rPr>
                <w:sz w:val="4"/>
                <w:szCs w:val="4"/>
              </w:rPr>
            </w:r>
          </w:p>
        </w:tc>
        <w:tc>
          <w:tcPr>
            <w:tcW w:w="9294" w:type="dxa"/>
            <w:gridSpan w:val="2"/>
            <w:tcBorders/>
            <w:shd w:fill="auto" w:val="clear"/>
            <w:vAlign w:val="center"/>
          </w:tcPr>
          <w:p>
            <w:pPr>
              <w:pStyle w:val="TableContents"/>
              <w:spacing w:before="0" w:after="283"/>
              <w:rPr>
                <w:sz w:val="4"/>
                <w:szCs w:val="4"/>
              </w:rPr>
            </w:pPr>
            <w:r>
              <w:rPr>
                <w:sz w:val="4"/>
                <w:szCs w:val="4"/>
              </w:rPr>
            </w:r>
          </w:p>
        </w:tc>
      </w:tr>
      <w:tr>
        <w:trPr/>
        <w:tc>
          <w:tcPr>
            <w:tcW w:w="911" w:type="dxa"/>
            <w:tcBorders/>
            <w:shd w:fill="auto" w:val="clear"/>
            <w:vAlign w:val="center"/>
          </w:tcPr>
          <w:p>
            <w:pPr>
              <w:pStyle w:val="TableContents"/>
              <w:spacing w:before="0" w:after="283"/>
              <w:rPr/>
            </w:pPr>
            <w:r>
              <w:rPr/>
              <w:t>101.SCH</w:t>
            </w:r>
          </w:p>
        </w:tc>
        <w:tc>
          <w:tcPr>
            <w:tcW w:w="120" w:type="dxa"/>
            <w:tcBorders/>
            <w:shd w:fill="auto" w:val="clear"/>
            <w:vAlign w:val="center"/>
          </w:tcPr>
          <w:p>
            <w:pPr>
              <w:pStyle w:val="TableContents"/>
              <w:spacing w:before="0" w:after="283"/>
              <w:rPr/>
            </w:pPr>
            <w:r>
              <w:rPr/>
              <w:t>  </w:t>
            </w:r>
          </w:p>
        </w:tc>
        <w:tc>
          <w:tcPr>
            <w:tcW w:w="9174" w:type="dxa"/>
            <w:tcBorders/>
            <w:shd w:fill="auto" w:val="clear"/>
            <w:vAlign w:val="center"/>
          </w:tcPr>
          <w:p>
            <w:pPr>
              <w:pStyle w:val="TableContents"/>
              <w:spacing w:before="0" w:after="283"/>
              <w:rPr/>
            </w:pPr>
            <w:r>
              <w:rPr/>
              <w:t>Inline XBRL Taxonomy Extension Schema Document</w:t>
            </w:r>
          </w:p>
        </w:tc>
      </w:tr>
      <w:tr>
        <w:trPr/>
        <w:tc>
          <w:tcPr>
            <w:tcW w:w="911" w:type="dxa"/>
            <w:tcBorders/>
            <w:shd w:fill="auto" w:val="clear"/>
            <w:vAlign w:val="center"/>
          </w:tcPr>
          <w:p>
            <w:pPr>
              <w:pStyle w:val="TableContents"/>
              <w:spacing w:before="0" w:after="283"/>
              <w:rPr>
                <w:sz w:val="4"/>
                <w:szCs w:val="4"/>
              </w:rPr>
            </w:pPr>
            <w:r>
              <w:rPr>
                <w:sz w:val="4"/>
                <w:szCs w:val="4"/>
              </w:rPr>
            </w:r>
          </w:p>
        </w:tc>
        <w:tc>
          <w:tcPr>
            <w:tcW w:w="9294" w:type="dxa"/>
            <w:gridSpan w:val="2"/>
            <w:tcBorders/>
            <w:shd w:fill="auto" w:val="clear"/>
            <w:vAlign w:val="center"/>
          </w:tcPr>
          <w:p>
            <w:pPr>
              <w:pStyle w:val="TableContents"/>
              <w:spacing w:before="0" w:after="283"/>
              <w:rPr>
                <w:sz w:val="4"/>
                <w:szCs w:val="4"/>
              </w:rPr>
            </w:pPr>
            <w:r>
              <w:rPr>
                <w:sz w:val="4"/>
                <w:szCs w:val="4"/>
              </w:rPr>
            </w:r>
          </w:p>
        </w:tc>
      </w:tr>
      <w:tr>
        <w:trPr/>
        <w:tc>
          <w:tcPr>
            <w:tcW w:w="911" w:type="dxa"/>
            <w:tcBorders/>
            <w:shd w:fill="auto" w:val="clear"/>
            <w:vAlign w:val="center"/>
          </w:tcPr>
          <w:p>
            <w:pPr>
              <w:pStyle w:val="TableContents"/>
              <w:spacing w:before="0" w:after="283"/>
              <w:rPr/>
            </w:pPr>
            <w:r>
              <w:rPr/>
              <w:t>101.CAL</w:t>
            </w:r>
          </w:p>
        </w:tc>
        <w:tc>
          <w:tcPr>
            <w:tcW w:w="120" w:type="dxa"/>
            <w:tcBorders/>
            <w:shd w:fill="auto" w:val="clear"/>
            <w:vAlign w:val="center"/>
          </w:tcPr>
          <w:p>
            <w:pPr>
              <w:pStyle w:val="TableContents"/>
              <w:spacing w:before="0" w:after="283"/>
              <w:rPr/>
            </w:pPr>
            <w:r>
              <w:rPr/>
              <w:t>  </w:t>
            </w:r>
          </w:p>
        </w:tc>
        <w:tc>
          <w:tcPr>
            <w:tcW w:w="9174" w:type="dxa"/>
            <w:tcBorders/>
            <w:shd w:fill="auto" w:val="clear"/>
            <w:vAlign w:val="center"/>
          </w:tcPr>
          <w:p>
            <w:pPr>
              <w:pStyle w:val="TableContents"/>
              <w:spacing w:before="0" w:after="283"/>
              <w:rPr/>
            </w:pPr>
            <w:r>
              <w:rPr/>
              <w:t>Inline XBRL Taxonomy Extension Calculation Linkbase Document</w:t>
            </w:r>
          </w:p>
        </w:tc>
      </w:tr>
      <w:tr>
        <w:trPr/>
        <w:tc>
          <w:tcPr>
            <w:tcW w:w="911" w:type="dxa"/>
            <w:tcBorders/>
            <w:shd w:fill="auto" w:val="clear"/>
            <w:vAlign w:val="center"/>
          </w:tcPr>
          <w:p>
            <w:pPr>
              <w:pStyle w:val="TableContents"/>
              <w:spacing w:before="0" w:after="283"/>
              <w:rPr>
                <w:sz w:val="4"/>
                <w:szCs w:val="4"/>
              </w:rPr>
            </w:pPr>
            <w:r>
              <w:rPr>
                <w:sz w:val="4"/>
                <w:szCs w:val="4"/>
              </w:rPr>
            </w:r>
          </w:p>
        </w:tc>
        <w:tc>
          <w:tcPr>
            <w:tcW w:w="9294" w:type="dxa"/>
            <w:gridSpan w:val="2"/>
            <w:tcBorders/>
            <w:shd w:fill="auto" w:val="clear"/>
            <w:vAlign w:val="center"/>
          </w:tcPr>
          <w:p>
            <w:pPr>
              <w:pStyle w:val="TableContents"/>
              <w:spacing w:before="0" w:after="283"/>
              <w:rPr>
                <w:sz w:val="4"/>
                <w:szCs w:val="4"/>
              </w:rPr>
            </w:pPr>
            <w:r>
              <w:rPr>
                <w:sz w:val="4"/>
                <w:szCs w:val="4"/>
              </w:rPr>
            </w:r>
          </w:p>
        </w:tc>
      </w:tr>
      <w:tr>
        <w:trPr/>
        <w:tc>
          <w:tcPr>
            <w:tcW w:w="911" w:type="dxa"/>
            <w:tcBorders/>
            <w:shd w:fill="auto" w:val="clear"/>
            <w:vAlign w:val="center"/>
          </w:tcPr>
          <w:p>
            <w:pPr>
              <w:pStyle w:val="TableContents"/>
              <w:spacing w:before="0" w:after="283"/>
              <w:rPr/>
            </w:pPr>
            <w:r>
              <w:rPr/>
              <w:t>101.DEF</w:t>
            </w:r>
          </w:p>
        </w:tc>
        <w:tc>
          <w:tcPr>
            <w:tcW w:w="120" w:type="dxa"/>
            <w:tcBorders/>
            <w:shd w:fill="auto" w:val="clear"/>
            <w:vAlign w:val="center"/>
          </w:tcPr>
          <w:p>
            <w:pPr>
              <w:pStyle w:val="TableContents"/>
              <w:spacing w:before="0" w:after="283"/>
              <w:rPr/>
            </w:pPr>
            <w:r>
              <w:rPr/>
              <w:t>  </w:t>
            </w:r>
          </w:p>
        </w:tc>
        <w:tc>
          <w:tcPr>
            <w:tcW w:w="9174"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Inline XBRL Taxonomy Extension Definition Linkbase Document</w:t>
            </w:r>
          </w:p>
        </w:tc>
      </w:tr>
      <w:tr>
        <w:trPr/>
        <w:tc>
          <w:tcPr>
            <w:tcW w:w="911" w:type="dxa"/>
            <w:tcBorders/>
            <w:shd w:fill="auto" w:val="clear"/>
            <w:vAlign w:val="center"/>
          </w:tcPr>
          <w:p>
            <w:pPr>
              <w:pStyle w:val="TableContents"/>
              <w:spacing w:before="0" w:after="283"/>
              <w:rPr>
                <w:sz w:val="4"/>
                <w:szCs w:val="4"/>
              </w:rPr>
            </w:pPr>
            <w:r>
              <w:rPr>
                <w:sz w:val="4"/>
                <w:szCs w:val="4"/>
              </w:rPr>
            </w:r>
          </w:p>
        </w:tc>
        <w:tc>
          <w:tcPr>
            <w:tcW w:w="9294" w:type="dxa"/>
            <w:gridSpan w:val="2"/>
            <w:tcBorders/>
            <w:shd w:fill="auto" w:val="clear"/>
            <w:vAlign w:val="center"/>
          </w:tcPr>
          <w:p>
            <w:pPr>
              <w:pStyle w:val="TableContents"/>
              <w:spacing w:before="0" w:after="283"/>
              <w:rPr>
                <w:sz w:val="4"/>
                <w:szCs w:val="4"/>
              </w:rPr>
            </w:pPr>
            <w:r>
              <w:rPr>
                <w:sz w:val="4"/>
                <w:szCs w:val="4"/>
              </w:rPr>
            </w:r>
          </w:p>
        </w:tc>
      </w:tr>
      <w:tr>
        <w:trPr/>
        <w:tc>
          <w:tcPr>
            <w:tcW w:w="911" w:type="dxa"/>
            <w:tcBorders/>
            <w:shd w:fill="auto" w:val="clear"/>
            <w:vAlign w:val="center"/>
          </w:tcPr>
          <w:p>
            <w:pPr>
              <w:pStyle w:val="TableContents"/>
              <w:spacing w:before="0" w:after="283"/>
              <w:rPr/>
            </w:pPr>
            <w:r>
              <w:rPr/>
              <w:t>101.LAB</w:t>
            </w:r>
          </w:p>
        </w:tc>
        <w:tc>
          <w:tcPr>
            <w:tcW w:w="120" w:type="dxa"/>
            <w:tcBorders/>
            <w:shd w:fill="auto" w:val="clear"/>
            <w:vAlign w:val="center"/>
          </w:tcPr>
          <w:p>
            <w:pPr>
              <w:pStyle w:val="TableContents"/>
              <w:spacing w:before="0" w:after="283"/>
              <w:rPr/>
            </w:pPr>
            <w:r>
              <w:rPr/>
              <w:t>  </w:t>
            </w:r>
          </w:p>
        </w:tc>
        <w:tc>
          <w:tcPr>
            <w:tcW w:w="9174" w:type="dxa"/>
            <w:tcBorders/>
            <w:shd w:fill="auto" w:val="clear"/>
            <w:vAlign w:val="center"/>
          </w:tcPr>
          <w:p>
            <w:pPr>
              <w:pStyle w:val="TableContents"/>
              <w:spacing w:before="0" w:after="283"/>
              <w:rPr/>
            </w:pPr>
            <w:r>
              <w:rPr/>
              <w:t>Inline XBRL Taxonomy Extension Label Linkbase Document</w:t>
            </w:r>
          </w:p>
        </w:tc>
      </w:tr>
      <w:tr>
        <w:trPr/>
        <w:tc>
          <w:tcPr>
            <w:tcW w:w="911" w:type="dxa"/>
            <w:tcBorders/>
            <w:shd w:fill="auto" w:val="clear"/>
            <w:vAlign w:val="center"/>
          </w:tcPr>
          <w:p>
            <w:pPr>
              <w:pStyle w:val="TableContents"/>
              <w:spacing w:before="0" w:after="283"/>
              <w:rPr>
                <w:sz w:val="4"/>
                <w:szCs w:val="4"/>
              </w:rPr>
            </w:pPr>
            <w:r>
              <w:rPr>
                <w:sz w:val="4"/>
                <w:szCs w:val="4"/>
              </w:rPr>
            </w:r>
          </w:p>
        </w:tc>
        <w:tc>
          <w:tcPr>
            <w:tcW w:w="9294" w:type="dxa"/>
            <w:gridSpan w:val="2"/>
            <w:tcBorders/>
            <w:shd w:fill="auto" w:val="clear"/>
            <w:vAlign w:val="center"/>
          </w:tcPr>
          <w:p>
            <w:pPr>
              <w:pStyle w:val="TableContents"/>
              <w:spacing w:before="0" w:after="283"/>
              <w:rPr>
                <w:sz w:val="4"/>
                <w:szCs w:val="4"/>
              </w:rPr>
            </w:pPr>
            <w:r>
              <w:rPr>
                <w:sz w:val="4"/>
                <w:szCs w:val="4"/>
              </w:rPr>
            </w:r>
          </w:p>
        </w:tc>
      </w:tr>
      <w:tr>
        <w:trPr/>
        <w:tc>
          <w:tcPr>
            <w:tcW w:w="911" w:type="dxa"/>
            <w:tcBorders/>
            <w:shd w:fill="auto" w:val="clear"/>
            <w:vAlign w:val="center"/>
          </w:tcPr>
          <w:p>
            <w:pPr>
              <w:pStyle w:val="TableContents"/>
              <w:spacing w:before="0" w:after="283"/>
              <w:rPr/>
            </w:pPr>
            <w:r>
              <w:rPr/>
              <w:t>101.PRE</w:t>
            </w:r>
          </w:p>
        </w:tc>
        <w:tc>
          <w:tcPr>
            <w:tcW w:w="120" w:type="dxa"/>
            <w:tcBorders/>
            <w:shd w:fill="auto" w:val="clear"/>
            <w:vAlign w:val="center"/>
          </w:tcPr>
          <w:p>
            <w:pPr>
              <w:pStyle w:val="TableContents"/>
              <w:spacing w:before="0" w:after="283"/>
              <w:rPr/>
            </w:pPr>
            <w:r>
              <w:rPr/>
              <w:t>  </w:t>
            </w:r>
          </w:p>
        </w:tc>
        <w:tc>
          <w:tcPr>
            <w:tcW w:w="9174" w:type="dxa"/>
            <w:tcBorders/>
            <w:shd w:fill="auto" w:val="clear"/>
            <w:vAlign w:val="center"/>
          </w:tcPr>
          <w:p>
            <w:pPr>
              <w:pStyle w:val="TableContents"/>
              <w:spacing w:before="0" w:after="283"/>
              <w:rPr/>
            </w:pPr>
            <w:r>
              <w:rPr/>
              <w:t>Inline XBRL Taxonomy Extension Presentation Linkbase Document</w:t>
            </w:r>
          </w:p>
        </w:tc>
      </w:tr>
      <w:tr>
        <w:trPr/>
        <w:tc>
          <w:tcPr>
            <w:tcW w:w="911" w:type="dxa"/>
            <w:tcBorders/>
            <w:shd w:fill="auto" w:val="clear"/>
            <w:vAlign w:val="center"/>
          </w:tcPr>
          <w:p>
            <w:pPr>
              <w:pStyle w:val="TableContents"/>
              <w:spacing w:before="0" w:after="283"/>
              <w:rPr>
                <w:sz w:val="4"/>
                <w:szCs w:val="4"/>
              </w:rPr>
            </w:pPr>
            <w:r>
              <w:rPr>
                <w:sz w:val="4"/>
                <w:szCs w:val="4"/>
              </w:rPr>
            </w:r>
          </w:p>
        </w:tc>
        <w:tc>
          <w:tcPr>
            <w:tcW w:w="9294" w:type="dxa"/>
            <w:gridSpan w:val="2"/>
            <w:tcBorders/>
            <w:shd w:fill="auto" w:val="clear"/>
            <w:vAlign w:val="center"/>
          </w:tcPr>
          <w:p>
            <w:pPr>
              <w:pStyle w:val="TableContents"/>
              <w:spacing w:before="0" w:after="283"/>
              <w:rPr>
                <w:sz w:val="4"/>
                <w:szCs w:val="4"/>
              </w:rPr>
            </w:pPr>
            <w:r>
              <w:rPr>
                <w:sz w:val="4"/>
                <w:szCs w:val="4"/>
              </w:rPr>
            </w:r>
          </w:p>
        </w:tc>
      </w:tr>
      <w:tr>
        <w:trPr/>
        <w:tc>
          <w:tcPr>
            <w:tcW w:w="911"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174" w:type="dxa"/>
            <w:tcBorders/>
            <w:shd w:fill="auto" w:val="clear"/>
            <w:vAlign w:val="center"/>
          </w:tcPr>
          <w:p>
            <w:pPr>
              <w:pStyle w:val="TableContents"/>
              <w:spacing w:before="0" w:after="283"/>
              <w:rPr/>
            </w:pPr>
            <w:r>
              <w:rPr/>
              <w:t>Cover Page Interactive Data File (formatted as inline XBRL and contained in Exhibit 101)</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SIGNATURE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ind w:left="0" w:right="0" w:hanging="0"/>
        <w:jc w:val="left"/>
        <w:rPr>
          <w:spacing w:val="0"/>
        </w:rPr>
      </w:pPr>
      <w:r>
        <w:rPr>
          <w:spacing w:val="0"/>
        </w:rPr>
        <w:t> </w:t>
      </w:r>
    </w:p>
    <w:tbl>
      <w:tblPr>
        <w:tblW w:w="5102" w:type="dxa"/>
        <w:jc w:val="left"/>
        <w:tblInd w:w="0" w:type="dxa"/>
        <w:tblCellMar>
          <w:top w:w="0" w:type="dxa"/>
          <w:left w:w="0" w:type="dxa"/>
          <w:bottom w:w="0" w:type="dxa"/>
          <w:right w:w="0" w:type="dxa"/>
        </w:tblCellMar>
      </w:tblPr>
      <w:tblGrid>
        <w:gridCol w:w="1760"/>
        <w:gridCol w:w="60"/>
        <w:gridCol w:w="23"/>
        <w:gridCol w:w="60"/>
        <w:gridCol w:w="681"/>
        <w:gridCol w:w="75"/>
        <w:gridCol w:w="2443"/>
      </w:tblGrid>
      <w:tr>
        <w:trPr/>
        <w:tc>
          <w:tcPr>
            <w:tcW w:w="17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2443" w:type="dxa"/>
            <w:tcBorders/>
            <w:shd w:fill="auto" w:val="clear"/>
            <w:vAlign w:val="center"/>
          </w:tcPr>
          <w:p>
            <w:pPr>
              <w:pStyle w:val="TableContents"/>
              <w:spacing w:before="0" w:after="283"/>
              <w:rPr>
                <w:sz w:val="4"/>
                <w:szCs w:val="4"/>
              </w:rPr>
            </w:pPr>
            <w:r>
              <w:rPr>
                <w:sz w:val="4"/>
                <w:szCs w:val="4"/>
              </w:rPr>
            </w:r>
          </w:p>
        </w:tc>
      </w:tr>
      <w:tr>
        <w:trPr/>
        <w:tc>
          <w:tcPr>
            <w:tcW w:w="17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Dated: May 13, 2022</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199" w:type="dxa"/>
            <w:gridSpan w:val="3"/>
            <w:tcBorders/>
            <w:shd w:fill="auto" w:val="clear"/>
            <w:vAlign w:val="center"/>
          </w:tcPr>
          <w:p>
            <w:pPr>
              <w:pStyle w:val="TableContents"/>
              <w:spacing w:before="0" w:after="0"/>
              <w:rPr>
                <w:b/>
                <w:spacing w:val="0"/>
              </w:rPr>
            </w:pPr>
            <w:r>
              <w:rPr>
                <w:b/>
                <w:spacing w:val="0"/>
              </w:rPr>
              <w:t>SVF INVESTMENT CORP. 3</w:t>
            </w:r>
          </w:p>
        </w:tc>
      </w:tr>
      <w:tr>
        <w:trPr/>
        <w:tc>
          <w:tcPr>
            <w:tcW w:w="176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741" w:type="dxa"/>
            <w:gridSpan w:val="2"/>
            <w:tcBorders/>
            <w:shd w:fill="auto" w:val="clear"/>
            <w:vAlign w:val="center"/>
          </w:tcPr>
          <w:p>
            <w:pPr>
              <w:pStyle w:val="TableContents"/>
              <w:spacing w:before="0" w:after="283"/>
              <w:rPr>
                <w:sz w:val="4"/>
                <w:szCs w:val="4"/>
              </w:rPr>
            </w:pPr>
            <w:r>
              <w:rPr>
                <w:sz w:val="4"/>
                <w:szCs w:val="4"/>
              </w:rPr>
            </w:r>
          </w:p>
        </w:tc>
        <w:tc>
          <w:tcPr>
            <w:tcW w:w="2518" w:type="dxa"/>
            <w:gridSpan w:val="2"/>
            <w:tcBorders/>
            <w:shd w:fill="auto" w:val="clear"/>
            <w:vAlign w:val="center"/>
          </w:tcPr>
          <w:p>
            <w:pPr>
              <w:pStyle w:val="TableContents"/>
              <w:spacing w:before="0" w:after="283"/>
              <w:rPr>
                <w:sz w:val="4"/>
                <w:szCs w:val="4"/>
              </w:rPr>
            </w:pPr>
            <w:r>
              <w:rPr>
                <w:sz w:val="4"/>
                <w:szCs w:val="4"/>
              </w:rPr>
            </w:r>
          </w:p>
        </w:tc>
      </w:tr>
      <w:tr>
        <w:trPr/>
        <w:tc>
          <w:tcPr>
            <w:tcW w:w="17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81"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By:</w:t>
            </w:r>
          </w:p>
        </w:tc>
        <w:tc>
          <w:tcPr>
            <w:tcW w:w="75" w:type="dxa"/>
            <w:tcBorders/>
            <w:shd w:fill="auto" w:val="clear"/>
            <w:vAlign w:val="center"/>
          </w:tcPr>
          <w:p>
            <w:pPr>
              <w:pStyle w:val="TableContents"/>
              <w:spacing w:before="0" w:after="283"/>
              <w:rPr/>
            </w:pPr>
            <w:r>
              <w:rPr/>
              <w:t> </w:t>
            </w:r>
          </w:p>
        </w:tc>
        <w:tc>
          <w:tcPr>
            <w:tcW w:w="244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 Ioannis Pipilis</w:t>
            </w:r>
          </w:p>
        </w:tc>
      </w:tr>
      <w:tr>
        <w:trPr/>
        <w:tc>
          <w:tcPr>
            <w:tcW w:w="17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81"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Name:</w:t>
            </w:r>
          </w:p>
        </w:tc>
        <w:tc>
          <w:tcPr>
            <w:tcW w:w="75" w:type="dxa"/>
            <w:tcBorders/>
            <w:shd w:fill="auto" w:val="clear"/>
            <w:vAlign w:val="center"/>
          </w:tcPr>
          <w:p>
            <w:pPr>
              <w:pStyle w:val="TableContents"/>
              <w:spacing w:before="0" w:after="283"/>
              <w:rPr/>
            </w:pPr>
            <w:r>
              <w:rPr/>
              <w:t> </w:t>
            </w:r>
          </w:p>
        </w:tc>
        <w:tc>
          <w:tcPr>
            <w:tcW w:w="244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Ioannis Pipilis</w:t>
            </w:r>
          </w:p>
        </w:tc>
      </w:tr>
      <w:tr>
        <w:trPr/>
        <w:tc>
          <w:tcPr>
            <w:tcW w:w="17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81"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Title:</w:t>
            </w:r>
          </w:p>
        </w:tc>
        <w:tc>
          <w:tcPr>
            <w:tcW w:w="75" w:type="dxa"/>
            <w:tcBorders/>
            <w:shd w:fill="auto" w:val="clear"/>
            <w:vAlign w:val="center"/>
          </w:tcPr>
          <w:p>
            <w:pPr>
              <w:pStyle w:val="TableContents"/>
              <w:spacing w:before="0" w:after="283"/>
              <w:rPr/>
            </w:pPr>
            <w:r>
              <w:rPr/>
              <w:t> </w:t>
            </w:r>
          </w:p>
        </w:tc>
        <w:tc>
          <w:tcPr>
            <w:tcW w:w="244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Chief Executive Officer</w:t>
            </w:r>
          </w:p>
        </w:tc>
      </w:tr>
    </w:tbl>
    <w:p>
      <w:pPr>
        <w:pStyle w:val="TextBody"/>
        <w:spacing w:before="0" w:after="0"/>
        <w:ind w:left="0" w:right="0" w:hanging="0"/>
        <w:jc w:val="right"/>
        <w:rPr>
          <w:rFonts w:ascii="Times New Roman" w:hAnsi="Times New Roman"/>
          <w:b/>
          <w:sz w:val="20"/>
        </w:rPr>
      </w:pPr>
      <w:r>
        <w:br w:type="page"/>
      </w:r>
      <w:bookmarkStart w:id="13" w:name="d317211dex311.htm"/>
      <w:bookmarkStart w:id="14" w:name="ksd317211dex311"/>
      <w:bookmarkEnd w:id="13"/>
      <w:bookmarkEnd w:id="14"/>
      <w:r>
        <w:rPr>
          <w:rFonts w:ascii="Times New Roman" w:hAnsi="Times New Roman"/>
          <w:b/>
          <w:sz w:val="20"/>
        </w:rPr>
        <w:t xml:space="preserve">EXHIBIT 31.1 </w:t>
      </w:r>
    </w:p>
    <w:p>
      <w:pPr>
        <w:pStyle w:val="TextBody"/>
        <w:spacing w:before="240" w:after="0"/>
        <w:jc w:val="center"/>
        <w:rPr>
          <w:rFonts w:ascii="Times New Roman" w:hAnsi="Times New Roman"/>
          <w:b/>
          <w:sz w:val="20"/>
        </w:rPr>
      </w:pPr>
      <w:r>
        <w:rPr>
          <w:rFonts w:ascii="Times New Roman" w:hAnsi="Times New Roman"/>
          <w:b/>
          <w:sz w:val="20"/>
        </w:rPr>
        <w:t xml:space="preserve">CERTIFICATION PURSUANT TO RULES 13a-14(a) AND 15d-14(a) </w:t>
      </w:r>
    </w:p>
    <w:p>
      <w:pPr>
        <w:pStyle w:val="TextBody"/>
        <w:spacing w:before="0" w:after="0"/>
        <w:jc w:val="center"/>
        <w:rPr>
          <w:rFonts w:ascii="Times New Roman" w:hAnsi="Times New Roman"/>
          <w:b/>
          <w:sz w:val="20"/>
        </w:rPr>
      </w:pPr>
      <w:r>
        <w:rPr>
          <w:rFonts w:ascii="Times New Roman" w:hAnsi="Times New Roman"/>
          <w:b/>
          <w:sz w:val="20"/>
        </w:rPr>
        <w:t xml:space="preserve">UNDER THE SECURITIES EXCHANGE ACT OF 1934, 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302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 Ioannis Pipilis, certify that: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1.  I have reviewed this Quarterly Report on Form 10-Q for the quarter ended March 31, 2022 of SVF Investment Corp. 3.;</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4.  The registrants other certifying officers and I are responsible for establishing and maintaining disclosure controls and procedures (as defined in Exchange Act Rules 13a-15(e) and 15d-15(e)) for the registrant and have:</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20"/>
              <w:rPr>
                <w:rFonts w:ascii="Times New Roman" w:hAnsi="Times New Roman"/>
                <w:sz w:val="20"/>
              </w:rPr>
            </w:pPr>
            <w:r>
              <w:rPr>
                <w:rFonts w:ascii="Times New Roman" w:hAnsi="Times New Roman"/>
                <w:sz w:val="20"/>
              </w:rPr>
              <w:t>b.  [Paragraph omitted pursuant to SEC Release Nos. 33-8238/34-47986 and 33-8392/34-49313];</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controls over financial reporting.</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987"/>
        <w:gridCol w:w="101"/>
        <w:gridCol w:w="349"/>
        <w:gridCol w:w="101"/>
        <w:gridCol w:w="326"/>
        <w:gridCol w:w="101"/>
        <w:gridCol w:w="5240"/>
      </w:tblGrid>
      <w:tr>
        <w:trPr/>
        <w:tc>
          <w:tcPr>
            <w:tcW w:w="398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240" w:type="dxa"/>
            <w:tcBorders/>
            <w:shd w:fill="auto" w:val="clear"/>
            <w:vAlign w:val="center"/>
          </w:tcPr>
          <w:p>
            <w:pPr>
              <w:pStyle w:val="TableContents"/>
              <w:spacing w:before="0" w:after="283"/>
              <w:rPr>
                <w:sz w:val="4"/>
                <w:szCs w:val="4"/>
              </w:rPr>
            </w:pPr>
            <w:r>
              <w:rPr>
                <w:sz w:val="4"/>
                <w:szCs w:val="4"/>
              </w:rPr>
            </w:r>
          </w:p>
        </w:tc>
      </w:tr>
      <w:tr>
        <w:trPr/>
        <w:tc>
          <w:tcPr>
            <w:tcW w:w="398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Date: May 13, 2022</w:t>
            </w:r>
          </w:p>
        </w:tc>
        <w:tc>
          <w:tcPr>
            <w:tcW w:w="10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By:</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5240"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/s/ Ioannis Pipilis</w:t>
            </w:r>
          </w:p>
        </w:tc>
      </w:tr>
      <w:tr>
        <w:trPr/>
        <w:tc>
          <w:tcPr>
            <w:tcW w:w="3987"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524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Ioannis Pipilis</w:t>
            </w:r>
          </w:p>
        </w:tc>
      </w:tr>
      <w:tr>
        <w:trPr/>
        <w:tc>
          <w:tcPr>
            <w:tcW w:w="3987"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524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Chief Executive Officer and Chairman of the Board of Directors</w:t>
            </w:r>
          </w:p>
        </w:tc>
      </w:tr>
      <w:tr>
        <w:trPr/>
        <w:tc>
          <w:tcPr>
            <w:tcW w:w="3987"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524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(Principal Executive Officer)</w:t>
            </w:r>
          </w:p>
        </w:tc>
      </w:tr>
    </w:tbl>
    <w:p>
      <w:pPr>
        <w:pStyle w:val="TextBody"/>
        <w:spacing w:before="0" w:after="0"/>
        <w:jc w:val="right"/>
        <w:rPr>
          <w:rFonts w:ascii="Times New Roman" w:hAnsi="Times New Roman"/>
          <w:b/>
          <w:sz w:val="20"/>
        </w:rPr>
      </w:pPr>
      <w:r>
        <w:br w:type="page"/>
      </w:r>
      <w:bookmarkStart w:id="15" w:name="d317211dex312.htm"/>
      <w:bookmarkStart w:id="16" w:name="ksd317211dex312"/>
      <w:bookmarkEnd w:id="15"/>
      <w:bookmarkEnd w:id="16"/>
      <w:r>
        <w:rPr>
          <w:rFonts w:ascii="Times New Roman" w:hAnsi="Times New Roman"/>
          <w:b/>
          <w:sz w:val="20"/>
        </w:rPr>
        <w:t xml:space="preserve">EXHIBIT 31.2 </w:t>
      </w:r>
    </w:p>
    <w:p>
      <w:pPr>
        <w:pStyle w:val="TextBody"/>
        <w:spacing w:before="240" w:after="0"/>
        <w:jc w:val="center"/>
        <w:rPr>
          <w:rFonts w:ascii="Times New Roman" w:hAnsi="Times New Roman"/>
          <w:b/>
          <w:sz w:val="20"/>
        </w:rPr>
      </w:pPr>
      <w:r>
        <w:rPr>
          <w:rFonts w:ascii="Times New Roman" w:hAnsi="Times New Roman"/>
          <w:b/>
          <w:sz w:val="20"/>
        </w:rPr>
        <w:t xml:space="preserve">CERTIFICATION PURSUANT TO RULES 13a-14(a) AND 15d-14(a) </w:t>
      </w:r>
    </w:p>
    <w:p>
      <w:pPr>
        <w:pStyle w:val="TextBody"/>
        <w:spacing w:before="0" w:after="0"/>
        <w:jc w:val="center"/>
        <w:rPr>
          <w:rFonts w:ascii="Times New Roman" w:hAnsi="Times New Roman"/>
          <w:b/>
          <w:sz w:val="20"/>
        </w:rPr>
      </w:pPr>
      <w:r>
        <w:rPr>
          <w:rFonts w:ascii="Times New Roman" w:hAnsi="Times New Roman"/>
          <w:b/>
          <w:sz w:val="20"/>
        </w:rPr>
        <w:t xml:space="preserve">UNDER THE SECURITIES EXCHANGE ACT OF 1934, 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302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 Navneet Govil, certify that: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1.  I have reviewed this Quarterly Report on Form 10-Q for the quarter ended March 31, 2022 of SVF Investment Corp. 3;</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4.  The registrants other certifying officers and I are responsible for establishing and maintaining disclosure controls and procedures (as defined in Exchange Act Rules 13a-15(e) and 15d-15(e)) for the registrant and have:</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b.  [Paragraph omitted pursuant to SEC Release Nos. 33-8238/34-47986 and 33-8392/34-49313];</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controls over financial reporting.</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93"/>
        <w:gridCol w:w="102"/>
        <w:gridCol w:w="407"/>
        <w:gridCol w:w="101"/>
        <w:gridCol w:w="306"/>
        <w:gridCol w:w="102"/>
        <w:gridCol w:w="4594"/>
      </w:tblGrid>
      <w:tr>
        <w:trPr/>
        <w:tc>
          <w:tcPr>
            <w:tcW w:w="459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594" w:type="dxa"/>
            <w:tcBorders/>
            <w:shd w:fill="auto" w:val="clear"/>
            <w:vAlign w:val="center"/>
          </w:tcPr>
          <w:p>
            <w:pPr>
              <w:pStyle w:val="TableContents"/>
              <w:spacing w:before="0" w:after="283"/>
              <w:rPr>
                <w:sz w:val="4"/>
                <w:szCs w:val="4"/>
              </w:rPr>
            </w:pPr>
            <w:r>
              <w:rPr>
                <w:sz w:val="4"/>
                <w:szCs w:val="4"/>
              </w:rPr>
            </w:r>
          </w:p>
        </w:tc>
      </w:tr>
      <w:tr>
        <w:trPr/>
        <w:tc>
          <w:tcPr>
            <w:tcW w:w="4593" w:type="dxa"/>
            <w:tcBorders/>
            <w:shd w:fill="auto" w:val="clear"/>
            <w:vAlign w:val="bottom"/>
          </w:tcPr>
          <w:p>
            <w:pPr>
              <w:pStyle w:val="TableContents"/>
              <w:spacing w:before="0" w:after="283"/>
              <w:rPr/>
            </w:pPr>
            <w:r>
              <w:rPr/>
              <w:t>Date: May 13, 2022</w:t>
            </w:r>
          </w:p>
        </w:tc>
        <w:tc>
          <w:tcPr>
            <w:tcW w:w="1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By:</w:t>
            </w:r>
          </w:p>
        </w:tc>
        <w:tc>
          <w:tcPr>
            <w:tcW w:w="102" w:type="dxa"/>
            <w:tcBorders>
              <w:bottom w:val="single" w:sz="2" w:space="0" w:color="000000"/>
            </w:tcBorders>
            <w:shd w:fill="auto" w:val="clear"/>
            <w:tcMar>
              <w:bottom w:w="28" w:type="dxa"/>
            </w:tcMar>
            <w:vAlign w:val="bottom"/>
          </w:tcPr>
          <w:p>
            <w:pPr>
              <w:pStyle w:val="TableContents"/>
              <w:spacing w:before="0" w:after="283"/>
              <w:rPr/>
            </w:pPr>
            <w:r>
              <w:rPr/>
              <w:t> </w:t>
            </w:r>
          </w:p>
        </w:tc>
        <w:tc>
          <w:tcPr>
            <w:tcW w:w="4594"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/s/ Navneet Govil</w:t>
            </w:r>
          </w:p>
        </w:tc>
      </w:tr>
      <w:tr>
        <w:trPr/>
        <w:tc>
          <w:tcPr>
            <w:tcW w:w="459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Navneet Govil</w:t>
            </w:r>
          </w:p>
        </w:tc>
      </w:tr>
      <w:tr>
        <w:trPr/>
        <w:tc>
          <w:tcPr>
            <w:tcW w:w="459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Chief Financial Officer and Director</w:t>
            </w:r>
          </w:p>
        </w:tc>
      </w:tr>
      <w:tr>
        <w:trPr/>
        <w:tc>
          <w:tcPr>
            <w:tcW w:w="459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59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(Principal Financial and Accounting Officer)</w:t>
            </w:r>
          </w:p>
        </w:tc>
      </w:tr>
    </w:tbl>
    <w:p>
      <w:pPr>
        <w:pStyle w:val="TextBody"/>
        <w:spacing w:before="0" w:after="0"/>
        <w:jc w:val="right"/>
        <w:rPr>
          <w:rFonts w:ascii="Times New Roman" w:hAnsi="Times New Roman"/>
          <w:b/>
          <w:sz w:val="20"/>
        </w:rPr>
      </w:pPr>
      <w:r>
        <w:br w:type="page"/>
      </w:r>
      <w:bookmarkStart w:id="17" w:name="d317211dex321.htm"/>
      <w:bookmarkStart w:id="18" w:name="ksd317211dex321"/>
      <w:bookmarkEnd w:id="17"/>
      <w:bookmarkEnd w:id="18"/>
      <w:r>
        <w:rPr>
          <w:rFonts w:ascii="Times New Roman" w:hAnsi="Times New Roman"/>
          <w:b/>
          <w:sz w:val="20"/>
        </w:rPr>
        <w:t xml:space="preserve">EXHIBIT 32.1 </w:t>
      </w:r>
    </w:p>
    <w:p>
      <w:pPr>
        <w:pStyle w:val="TextBody"/>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spacing w:before="0" w:after="0"/>
        <w:jc w:val="center"/>
        <w:rPr>
          <w:rFonts w:ascii="Times New Roman" w:hAnsi="Times New Roman"/>
          <w:b/>
          <w:sz w:val="20"/>
        </w:rPr>
      </w:pPr>
      <w:r>
        <w:rPr>
          <w:rFonts w:ascii="Times New Roman" w:hAnsi="Times New Roman"/>
          <w:b/>
          <w:sz w:val="20"/>
        </w:rPr>
        <w:t xml:space="preserve">18 U.S.C. SECTION 1350, 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spacing w:before="240" w:after="0"/>
        <w:jc w:val="left"/>
        <w:rPr>
          <w:rFonts w:ascii="Times New Roman" w:hAnsi="Times New Roman"/>
          <w:sz w:val="20"/>
        </w:rPr>
      </w:pPr>
      <w:r>
        <w:rPr>
          <w:rFonts w:ascii="Times New Roman" w:hAnsi="Times New Roman"/>
          <w:sz w:val="20"/>
        </w:rPr>
        <w:t>In connection with the Quarterly Report of SVF Investment Corp. 3 (the </w:t>
      </w:r>
      <w:r>
        <w:rPr>
          <w:rFonts w:ascii="Times New Roman" w:hAnsi="Times New Roman"/>
          <w:sz w:val="20"/>
          <w:u w:val="single"/>
        </w:rPr>
        <w:t>Company</w:t>
      </w:r>
      <w:r>
        <w:rPr>
          <w:rFonts w:ascii="Times New Roman" w:hAnsi="Times New Roman"/>
          <w:sz w:val="20"/>
        </w:rPr>
        <w:t>) on Form 10-Q for the quarter ended March 31, 2022, as filed with the Securities and Exchange Commission on the date hereof (the </w:t>
      </w:r>
      <w:r>
        <w:rPr>
          <w:rFonts w:ascii="Times New Roman" w:hAnsi="Times New Roman"/>
          <w:sz w:val="20"/>
          <w:u w:val="single"/>
        </w:rPr>
        <w:t>Report</w:t>
      </w:r>
      <w:r>
        <w:rPr>
          <w:rFonts w:ascii="Times New Roman" w:hAnsi="Times New Roman"/>
          <w:sz w:val="20"/>
        </w:rPr>
        <w:t xml:space="preserve">), I, Ioannis Pipilis, Chief Executive Officer and Chairman of the Board of Directors, certify, pursuant to 18 U.S.C. Section 1350, as adopted pursuant to Section 906 of the Sarbanes-Oxley Act of 2002, that, to my knowledge: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(1)   the Report fully complies with the requirements of Section 13(a) or 15(d) of the Securities Exchange Act of 1934; and</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(2)   the information contained in the Report fairly presents, in all material respects, the financial condition and results of operations of the Company.</w:t>
            </w:r>
          </w:p>
        </w:tc>
      </w:tr>
    </w:tbl>
    <w:p>
      <w:pPr>
        <w:pStyle w:val="TextBody"/>
        <w:spacing w:before="240" w:after="0"/>
        <w:jc w:val="left"/>
        <w:rPr>
          <w:rFonts w:ascii="Times New Roman" w:hAnsi="Times New Roman"/>
          <w:sz w:val="20"/>
        </w:rPr>
      </w:pPr>
      <w:r>
        <w:rPr>
          <w:rFonts w:ascii="Times New Roman" w:hAnsi="Times New Roman"/>
          <w:sz w:val="20"/>
        </w:rPr>
        <w:t xml:space="preserve">Date: May 13, 2022 </w:t>
      </w:r>
    </w:p>
    <w:p>
      <w:pPr>
        <w:pStyle w:val="TextBody"/>
        <w:spacing w:before="0" w:after="0"/>
        <w:jc w:val="left"/>
        <w:rPr/>
      </w:pPr>
      <w:r>
        <w:rPr/>
        <w:t> </w:t>
      </w:r>
    </w:p>
    <w:tbl>
      <w:tblPr>
        <w:tblW w:w="5710" w:type="dxa"/>
        <w:jc w:val="right"/>
        <w:tblInd w:w="0" w:type="dxa"/>
        <w:tblCellMar>
          <w:top w:w="0" w:type="dxa"/>
          <w:left w:w="0" w:type="dxa"/>
          <w:bottom w:w="0" w:type="dxa"/>
          <w:right w:w="0" w:type="dxa"/>
        </w:tblCellMar>
      </w:tblPr>
      <w:tblGrid>
        <w:gridCol w:w="485"/>
        <w:gridCol w:w="60"/>
        <w:gridCol w:w="5165"/>
      </w:tblGrid>
      <w:tr>
        <w:trPr/>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165" w:type="dxa"/>
            <w:tcBorders/>
            <w:shd w:fill="auto" w:val="clear"/>
            <w:vAlign w:val="center"/>
          </w:tcPr>
          <w:p>
            <w:pPr>
              <w:pStyle w:val="TableContents"/>
              <w:spacing w:before="0" w:after="283"/>
              <w:rPr>
                <w:sz w:val="4"/>
                <w:szCs w:val="4"/>
              </w:rPr>
            </w:pPr>
            <w:r>
              <w:rPr>
                <w:sz w:val="4"/>
                <w:szCs w:val="4"/>
              </w:rPr>
            </w:r>
          </w:p>
        </w:tc>
      </w:tr>
      <w:tr>
        <w:trPr/>
        <w:tc>
          <w:tcPr>
            <w:tcW w:w="5710" w:type="dxa"/>
            <w:gridSpan w:val="3"/>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/s/ Ioannis Pipilis</w:t>
            </w:r>
          </w:p>
        </w:tc>
      </w:tr>
      <w:tr>
        <w:trPr/>
        <w:tc>
          <w:tcPr>
            <w:tcW w:w="48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516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Ioannis Pipilis</w:t>
            </w:r>
          </w:p>
        </w:tc>
      </w:tr>
      <w:tr>
        <w:trPr/>
        <w:tc>
          <w:tcPr>
            <w:tcW w:w="48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516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Chief Executive Officer and Chairman of the Board of Directors</w:t>
            </w:r>
          </w:p>
        </w:tc>
      </w:tr>
      <w:tr>
        <w:trPr/>
        <w:tc>
          <w:tcPr>
            <w:tcW w:w="4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16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(Principal Executive Officer)</w:t>
            </w:r>
          </w:p>
        </w:tc>
      </w:tr>
    </w:tbl>
    <w:p>
      <w:pPr>
        <w:pStyle w:val="TextBody"/>
        <w:spacing w:before="0" w:after="0"/>
        <w:jc w:val="right"/>
        <w:rPr>
          <w:rFonts w:ascii="Times New Roman" w:hAnsi="Times New Roman"/>
          <w:b/>
          <w:sz w:val="20"/>
        </w:rPr>
      </w:pPr>
      <w:r>
        <w:br w:type="page"/>
      </w:r>
      <w:bookmarkStart w:id="19" w:name="d317211dex322.htm"/>
      <w:bookmarkStart w:id="20" w:name="ksd317211dex322"/>
      <w:bookmarkEnd w:id="19"/>
      <w:bookmarkEnd w:id="20"/>
      <w:r>
        <w:rPr>
          <w:rFonts w:ascii="Times New Roman" w:hAnsi="Times New Roman"/>
          <w:b/>
          <w:sz w:val="20"/>
        </w:rPr>
        <w:t xml:space="preserve">EXHIBIT 32.2 </w:t>
      </w:r>
    </w:p>
    <w:p>
      <w:pPr>
        <w:pStyle w:val="TextBody"/>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spacing w:before="0" w:after="0"/>
        <w:jc w:val="center"/>
        <w:rPr>
          <w:rFonts w:ascii="Times New Roman" w:hAnsi="Times New Roman"/>
          <w:b/>
          <w:sz w:val="20"/>
        </w:rPr>
      </w:pPr>
      <w:r>
        <w:rPr>
          <w:rFonts w:ascii="Times New Roman" w:hAnsi="Times New Roman"/>
          <w:b/>
          <w:sz w:val="20"/>
        </w:rPr>
        <w:t xml:space="preserve">18 U.S.C. SECTION 1350, 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spacing w:before="240" w:after="0"/>
        <w:jc w:val="left"/>
        <w:rPr>
          <w:rFonts w:ascii="Times New Roman" w:hAnsi="Times New Roman"/>
          <w:sz w:val="20"/>
        </w:rPr>
      </w:pPr>
      <w:r>
        <w:rPr>
          <w:rFonts w:ascii="Times New Roman" w:hAnsi="Times New Roman"/>
          <w:sz w:val="20"/>
        </w:rPr>
        <w:t>In connection with the Quarterly Report of SVF Investment Corp. 3 (the </w:t>
      </w:r>
      <w:r>
        <w:rPr>
          <w:rFonts w:ascii="Times New Roman" w:hAnsi="Times New Roman"/>
          <w:sz w:val="20"/>
          <w:u w:val="single"/>
        </w:rPr>
        <w:t>Company</w:t>
      </w:r>
      <w:r>
        <w:rPr>
          <w:rFonts w:ascii="Times New Roman" w:hAnsi="Times New Roman"/>
          <w:sz w:val="20"/>
        </w:rPr>
        <w:t>) on Form 10-Q for the quarter ended March 31, 2022, as filed with the Securities and Exchange Commission on the date hereof (the </w:t>
      </w:r>
      <w:r>
        <w:rPr>
          <w:rFonts w:ascii="Times New Roman" w:hAnsi="Times New Roman"/>
          <w:sz w:val="20"/>
          <w:u w:val="single"/>
        </w:rPr>
        <w:t>Report</w:t>
      </w:r>
      <w:r>
        <w:rPr>
          <w:rFonts w:ascii="Times New Roman" w:hAnsi="Times New Roman"/>
          <w:sz w:val="20"/>
        </w:rPr>
        <w:t xml:space="preserve">), I, Navneet Govil, Chief Financial Officer and Director, certify, pursuant to 18 U.S.C. Section 1350, as adopted pursuant to Section 906 of the Sarbanes-Oxley Act of 2002, that, to my knowledge: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(1)   the Report fully complies with the requirements of Section 13(a) or 15(d) of the Securities Exchange Act of 1934; and</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Times New Roman" w:hAnsi="Times New Roman"/>
                <w:sz w:val="20"/>
              </w:rPr>
            </w:pPr>
            <w:r>
              <w:rPr>
                <w:rFonts w:ascii="Times New Roman" w:hAnsi="Times New Roman"/>
                <w:sz w:val="20"/>
              </w:rPr>
              <w:t>(2)   the information contained in the Report fairly presents, in all material respects, the financial condition and results of operations of the Company.</w:t>
            </w:r>
          </w:p>
        </w:tc>
      </w:tr>
    </w:tbl>
    <w:p>
      <w:pPr>
        <w:pStyle w:val="TextBody"/>
        <w:spacing w:before="240" w:after="0"/>
        <w:jc w:val="left"/>
        <w:rPr>
          <w:rFonts w:ascii="Times New Roman" w:hAnsi="Times New Roman"/>
          <w:sz w:val="20"/>
        </w:rPr>
      </w:pPr>
      <w:r>
        <w:rPr>
          <w:rFonts w:ascii="Times New Roman" w:hAnsi="Times New Roman"/>
          <w:sz w:val="20"/>
        </w:rPr>
        <w:t xml:space="preserve">Date: May 13, 2022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22"/>
        <w:gridCol w:w="60"/>
        <w:gridCol w:w="3400"/>
      </w:tblGrid>
      <w:tr>
        <w:trPr/>
        <w:tc>
          <w:tcPr>
            <w:tcW w:w="6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0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/s/ Navneet Govil</w:t>
            </w:r>
          </w:p>
        </w:tc>
      </w:tr>
      <w:tr>
        <w:trPr/>
        <w:tc>
          <w:tcPr>
            <w:tcW w:w="62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Navneet Govil</w:t>
            </w:r>
          </w:p>
        </w:tc>
      </w:tr>
      <w:tr>
        <w:trPr/>
        <w:tc>
          <w:tcPr>
            <w:tcW w:w="62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Chief Financial Officer and Director</w:t>
            </w:r>
          </w:p>
        </w:tc>
      </w:tr>
      <w:tr>
        <w:trPr/>
        <w:tc>
          <w:tcPr>
            <w:tcW w:w="6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0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(Principal Financial and Accounting Officer)</w:t>
            </w:r>
          </w:p>
        </w:tc>
      </w:tr>
    </w:tbl>
    <w:p>
      <w:pPr>
        <w:pStyle w:val="TextBody"/>
        <w:spacing w:before="0" w:after="283"/>
        <w:rPr/>
      </w:pPr>
      <w:r>
        <w:br w:type="page"/>
      </w: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16143</Words>
  <CharactersWithSpaces>105620</CharactersWithSpaces>
  <Paragraphs>2505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