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335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33501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SVF Sponsor III (DE)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1521 CONCORD PIKE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Symbotic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SYM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85"/>
        <w:spacing w:after="0"/>
        <w:rPr>
          <w:sz w:val="20"/>
          <w:szCs w:val="20"/>
          <w:color w:val="auto"/>
        </w:rPr>
      </w:pPr>
      <w:r>
        <w:rPr>
          <w:rFonts w:ascii="Times New Roman" w:cs="Times New Roman" w:eastAsia="Times New Roman" w:hAnsi="Times New Roman"/>
          <w:sz w:val="17"/>
          <w:szCs w:val="17"/>
          <w:color w:val="0000FF"/>
        </w:rPr>
        <w:t>Former 10% Owner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920" w:type="dxa"/>
            <w:vAlign w:val="bottom"/>
            <w:shd w:val="clear" w:color="auto" w:fill="9A9A9A"/>
          </w:tcPr>
          <w:p>
            <w:pPr>
              <w:spacing w:after="0"/>
              <w:rPr>
                <w:sz w:val="2"/>
                <w:szCs w:val="2"/>
                <w:color w:val="auto"/>
              </w:rPr>
            </w:pPr>
          </w:p>
        </w:tc>
        <w:tc>
          <w:tcPr>
            <w:tcW w:w="60" w:type="dxa"/>
            <w:vAlign w:val="bottom"/>
            <w:shd w:val="clear" w:color="auto" w:fill="9A9A9A"/>
          </w:tcPr>
          <w:p>
            <w:pPr>
              <w:spacing w:after="0"/>
              <w:rPr>
                <w:sz w:val="2"/>
                <w:szCs w:val="2"/>
                <w:color w:val="auto"/>
              </w:rPr>
            </w:pPr>
          </w:p>
        </w:tc>
        <w:tc>
          <w:tcPr>
            <w:tcW w:w="128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2"/>
                <w:szCs w:val="2"/>
                <w:color w:val="auto"/>
              </w:rPr>
            </w:pPr>
          </w:p>
        </w:tc>
        <w:tc>
          <w:tcPr>
            <w:tcW w:w="3600" w:type="dxa"/>
            <w:vAlign w:val="bottom"/>
            <w:gridSpan w:val="9"/>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9"/>
            <w:vMerge w:val="continue"/>
          </w:tcPr>
          <w:p>
            <w:pPr>
              <w:spacing w:after="0"/>
              <w:rPr>
                <w:sz w:val="10"/>
                <w:szCs w:val="10"/>
                <w:color w:val="auto"/>
              </w:rPr>
            </w:pPr>
          </w:p>
        </w:tc>
        <w:tc>
          <w:tcPr>
            <w:tcW w:w="160" w:type="dxa"/>
            <w:vAlign w:val="bottom"/>
          </w:tcPr>
          <w:p>
            <w:pPr>
              <w:spacing w:after="0"/>
              <w:rPr>
                <w:sz w:val="10"/>
                <w:szCs w:val="10"/>
                <w:color w:val="auto"/>
              </w:rPr>
            </w:pPr>
          </w:p>
        </w:tc>
        <w:tc>
          <w:tcPr>
            <w:tcW w:w="36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4"/>
          </w:tcPr>
          <w:p>
            <w:pPr>
              <w:ind w:left="2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WILMINGTON DE</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19803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60" w:type="dxa"/>
            <w:vAlign w:val="bottom"/>
          </w:tcPr>
          <w:p>
            <w:pPr>
              <w:spacing w:after="0"/>
              <w:rPr>
                <w:sz w:val="12"/>
                <w:szCs w:val="12"/>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gridSpan w:val="2"/>
          </w:tcPr>
          <w:p>
            <w:pPr>
              <w:spacing w:after="0"/>
              <w:rPr>
                <w:sz w:val="10"/>
                <w:szCs w:val="10"/>
                <w:color w:val="auto"/>
              </w:rPr>
            </w:pPr>
          </w:p>
        </w:tc>
        <w:tc>
          <w:tcPr>
            <w:tcW w:w="12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 w:type="dxa"/>
            <w:vAlign w:val="bottom"/>
          </w:tcPr>
          <w:p>
            <w:pPr>
              <w:spacing w:after="0"/>
              <w:rPr>
                <w:sz w:val="15"/>
                <w:szCs w:val="15"/>
                <w:color w:val="auto"/>
              </w:rPr>
            </w:pPr>
          </w:p>
        </w:tc>
        <w:tc>
          <w:tcPr>
            <w:tcW w:w="1720" w:type="dxa"/>
            <w:vAlign w:val="bottom"/>
            <w:gridSpan w:val="4"/>
          </w:tcPr>
          <w:p>
            <w:pPr>
              <w:ind w:left="6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gridSpan w:val="4"/>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SVF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5"/>
            <w:vMerge w:val="restart"/>
          </w:tcPr>
          <w:p>
            <w:pPr>
              <w:jc w:val="right"/>
              <w:ind w:right="119"/>
              <w:spacing w:after="0"/>
              <w:rPr>
                <w:sz w:val="20"/>
                <w:szCs w:val="20"/>
                <w:color w:val="auto"/>
              </w:rPr>
            </w:pPr>
            <w:r>
              <w:rPr>
                <w:rFonts w:ascii="Times New Roman" w:cs="Times New Roman" w:eastAsia="Times New Roman" w:hAnsi="Times New Roman"/>
                <w:sz w:val="17"/>
                <w:szCs w:val="17"/>
                <w:color w:val="0000FF"/>
              </w:rPr>
              <w:t>05/27/2026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5,590,000</w:t>
            </w:r>
          </w:p>
        </w:tc>
        <w:tc>
          <w:tcPr>
            <w:tcW w:w="4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Pr>
          <w:p>
            <w:pPr>
              <w:spacing w:after="0"/>
              <w:rPr>
                <w:sz w:val="18"/>
                <w:szCs w:val="18"/>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50.415</w:t>
            </w:r>
          </w:p>
        </w:tc>
        <w:tc>
          <w:tcPr>
            <w:tcW w:w="440" w:type="dxa"/>
            <w:vAlign w:val="bottom"/>
          </w:tcPr>
          <w:p>
            <w:pPr>
              <w:spacing w:after="0"/>
              <w:rPr>
                <w:sz w:val="18"/>
                <w:szCs w:val="18"/>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Sponsor</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III (DE)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20" w:type="dxa"/>
            <w:vAlign w:val="bottom"/>
            <w:gridSpan w:val="19"/>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60" w:type="dxa"/>
            <w:vAlign w:val="bottom"/>
            <w:gridSpan w:val="15"/>
          </w:tcPr>
          <w:p>
            <w:pPr>
              <w:jc w:val="center"/>
              <w:ind w:left="61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60" w:type="dxa"/>
            <w:vAlign w:val="bottom"/>
          </w:tcPr>
          <w:p>
            <w:pPr>
              <w:spacing w:after="0"/>
              <w:rPr>
                <w:sz w:val="15"/>
                <w:szCs w:val="15"/>
                <w:color w:val="auto"/>
              </w:rPr>
            </w:pPr>
          </w:p>
        </w:tc>
        <w:tc>
          <w:tcPr>
            <w:tcW w:w="1360" w:type="dxa"/>
            <w:vAlign w:val="bottom"/>
            <w:gridSpan w:val="3"/>
          </w:tcPr>
          <w:p>
            <w:pPr>
              <w:ind w:left="2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36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4"/>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SVF Sponsor III (DE) LLC</w:t>
              </w:r>
            </w:hyperlink>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60" w:type="dxa"/>
            <w:vAlign w:val="bottom"/>
          </w:tcPr>
          <w:p>
            <w:pPr>
              <w:spacing w:after="0"/>
              <w:rPr>
                <w:sz w:val="24"/>
                <w:szCs w:val="24"/>
                <w:color w:val="auto"/>
              </w:rPr>
            </w:pPr>
          </w:p>
        </w:tc>
        <w:tc>
          <w:tcPr>
            <w:tcW w:w="1360" w:type="dxa"/>
            <w:vAlign w:val="bottom"/>
            <w:gridSpan w:val="3"/>
          </w:tcPr>
          <w:p>
            <w:pPr>
              <w:ind w:left="4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1521 CONCORD PIKE</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19803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3"/>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60" w:type="dxa"/>
            <w:vAlign w:val="bottom"/>
          </w:tcPr>
          <w:p>
            <w:pPr>
              <w:spacing w:after="0"/>
              <w:rPr>
                <w:sz w:val="24"/>
                <w:szCs w:val="24"/>
                <w:color w:val="auto"/>
              </w:rPr>
            </w:pPr>
          </w:p>
        </w:tc>
        <w:tc>
          <w:tcPr>
            <w:tcW w:w="1360" w:type="dxa"/>
            <w:vAlign w:val="bottom"/>
            <w:gridSpan w:val="3"/>
          </w:tcPr>
          <w:p>
            <w:pPr>
              <w:ind w:left="4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4"/>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tcBorders>
              <w:bottom w:val="single" w:sz="8" w:color="0000EE"/>
            </w:tcBorders>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SB INVESTMENT ADVISERS (US) INC.</w:t>
              </w:r>
            </w:hyperlink>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60" w:type="dxa"/>
            <w:vAlign w:val="bottom"/>
          </w:tcPr>
          <w:p>
            <w:pPr>
              <w:spacing w:after="0"/>
              <w:rPr>
                <w:sz w:val="24"/>
                <w:szCs w:val="24"/>
                <w:color w:val="auto"/>
              </w:rPr>
            </w:pPr>
          </w:p>
        </w:tc>
        <w:tc>
          <w:tcPr>
            <w:tcW w:w="1360" w:type="dxa"/>
            <w:vAlign w:val="bottom"/>
            <w:gridSpan w:val="3"/>
          </w:tcPr>
          <w:p>
            <w:pPr>
              <w:ind w:left="4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1521 CONCORD PIKE,</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19803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3"/>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60" w:type="dxa"/>
            <w:vAlign w:val="bottom"/>
          </w:tcPr>
          <w:p>
            <w:pPr>
              <w:spacing w:after="0"/>
              <w:rPr>
                <w:sz w:val="24"/>
                <w:szCs w:val="24"/>
                <w:color w:val="auto"/>
              </w:rPr>
            </w:pPr>
          </w:p>
        </w:tc>
        <w:tc>
          <w:tcPr>
            <w:tcW w:w="1360" w:type="dxa"/>
            <w:vAlign w:val="bottom"/>
            <w:gridSpan w:val="3"/>
          </w:tcPr>
          <w:p>
            <w:pPr>
              <w:ind w:left="4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SoftBank Group Corp. ("SoftBank"), a publicly traded company listed on the Tokyo Stock Exchange, is the sole shareholder of SB Global Advisers Limited, which has been appointed as manager and</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80"/>
        <w:spacing w:after="0" w:line="244" w:lineRule="auto"/>
        <w:rPr>
          <w:sz w:val="20"/>
          <w:szCs w:val="20"/>
          <w:color w:val="auto"/>
        </w:rPr>
      </w:pPr>
      <w:r>
        <w:rPr>
          <w:rFonts w:ascii="Times New Roman" w:cs="Times New Roman" w:eastAsia="Times New Roman" w:hAnsi="Times New Roman"/>
          <w:sz w:val="13"/>
          <w:szCs w:val="13"/>
          <w:color w:val="008000"/>
        </w:rPr>
        <w:t>is responsible for making final decisions related to the acquisition, structuring, financing and disposal of SoftBank Vision Fund II-2 L.P.'s investments. SoftBank Vision Fund II-2 L.P. is the sole limited partner of SVF II Aggregator (Jersey) L.P., which is the sole member of SVF II Holdings (DE) LLC, which is the sole member of SVF II SPAC Investment 3 (DE) LLC. SoftBank is the parent company of SVF II Strategic Investments AIV LLC and the parent company of Silver Brick Management PTE. LTD., which has been appointed as investment manager of SB Northstar LP and is responsible for making voting and investment decisions with respect to SB Northstar LP's investments. SoftBank is the sole shareholder of SB Investment Advisers (US) Inc., which is the sole member of SVF Sponsor III (DE) LLC.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3"/>
          <w:szCs w:val="13"/>
          <w:color w:val="008000"/>
        </w:rPr>
        <w:t>Due to the limitations of the electronic filing system, each of SoftBank Group Corp., SB Global Advisers Limited, SoftBank Vision Fund II-2 L.P., SVF II Aggregator (Jersey) L.P., SVF II Holdings (DE) LLC, SVF II SPAC Investment 3 (DE) LLC, Silver Brick Management PTE. LTD., SB Northstar LP and SVF II Strategic Investments AIV LLC are filing on a separate Form 4.</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SVF Sponsor III (DE)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7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By: /s/ Jonathan Duckles,</w:t>
      </w:r>
      <w:r>
        <w:rPr>
          <w:sz w:val="20"/>
          <w:szCs w:val="20"/>
          <w:color w:val="auto"/>
        </w:rPr>
        <w:tab/>
      </w: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SB Investment Advisers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Inc., By: /s/ Amanda Sanchez- 05/29/2026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Barry,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44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3" Type="http://schemas.openxmlformats.org/officeDocument/2006/relationships/hyperlink" Target="http://www.sec.gov/cgi-bin/browse-edgar?action=getcompany&amp;CIK=0001838428" TargetMode="External"/><Relationship Id="rId14" Type="http://schemas.openxmlformats.org/officeDocument/2006/relationships/hyperlink" Target="http://www.sec.gov/cgi-bin/browse-edgar?action=getcompany&amp;CIK=0001837240" TargetMode="External"/><Relationship Id="rId15" Type="http://schemas.openxmlformats.org/officeDocument/2006/relationships/hyperlink" Target="http://www.sec.gov/cgi-bin/browse-edgar?action=getcompany&amp;CIK=00017308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2026-05-29T20:02:10Z</dcterms:created>
  <dcterms:modified xsi:type="dcterms:W3CDTF">2026-05-29T20:02:10Z</dcterms:modified>
</cp:coreProperties>
</file>